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F08A9" w14:textId="32B8262E" w:rsidR="00C663A8" w:rsidRDefault="00256F32" w:rsidP="00C663A8">
      <w:pPr>
        <w:pStyle w:val="ListParagraph"/>
        <w:spacing w:line="24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5D9D7F10" wp14:editId="720E5984">
                <wp:simplePos x="0" y="0"/>
                <wp:positionH relativeFrom="column">
                  <wp:posOffset>4591878</wp:posOffset>
                </wp:positionH>
                <wp:positionV relativeFrom="paragraph">
                  <wp:posOffset>-556591</wp:posOffset>
                </wp:positionV>
                <wp:extent cx="1789044" cy="506895"/>
                <wp:effectExtent l="0" t="0" r="1905" b="7620"/>
                <wp:wrapNone/>
                <wp:docPr id="1" name="Text Box 1"/>
                <wp:cNvGraphicFramePr/>
                <a:graphic xmlns:a="http://schemas.openxmlformats.org/drawingml/2006/main">
                  <a:graphicData uri="http://schemas.microsoft.com/office/word/2010/wordprocessingShape">
                    <wps:wsp>
                      <wps:cNvSpPr txBox="1"/>
                      <wps:spPr>
                        <a:xfrm>
                          <a:off x="0" y="0"/>
                          <a:ext cx="1789044" cy="506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DBDEE" w14:textId="0CD7A81C" w:rsidR="00256F32" w:rsidRPr="00256F32" w:rsidRDefault="00256F32">
                            <w:pPr>
                              <w:rPr>
                                <w:rFonts w:ascii="Arial" w:hAnsi="Arial" w:cs="Arial"/>
                                <w:sz w:val="44"/>
                                <w:szCs w:val="44"/>
                              </w:rPr>
                            </w:pPr>
                            <w:r w:rsidRPr="00256F32">
                              <w:rPr>
                                <w:rFonts w:ascii="Arial" w:hAnsi="Arial" w:cs="Arial"/>
                                <w:color w:val="000000"/>
                                <w:sz w:val="44"/>
                                <w:szCs w:val="44"/>
                              </w:rPr>
                              <w:t>88940</w:t>
                            </w:r>
                            <w:r>
                              <w:rPr>
                                <w:rFonts w:ascii="Arial" w:hAnsi="Arial" w:cs="Arial"/>
                                <w:color w:val="000000"/>
                                <w:sz w:val="44"/>
                                <w:szCs w:val="44"/>
                              </w:rPr>
                              <w:t xml:space="preserve">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1.55pt;margin-top:-43.85pt;width:140.85pt;height:39.9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" fillcolor="white [3201]" stroked="f" strokeweight=".5pt">
                <v:textbox>
                  <w:txbxContent>
                    <w:p w14:paraId="629DBDEE" w14:textId="0CD7A81C" w:rsidR="00256F32" w:rsidRPr="00256F32" w:rsidRDefault="00256F32">
                      <w:pPr>
                        <w:rPr>
                          <w:rFonts w:ascii="Arial" w:hAnsi="Arial" w:cs="Arial"/>
                          <w:sz w:val="44"/>
                          <w:szCs w:val="44"/>
                        </w:rPr>
                      </w:pPr>
                      <w:r w:rsidRPr="00256F32">
                        <w:rPr>
                          <w:rFonts w:ascii="Arial" w:hAnsi="Arial" w:cs="Arial"/>
                          <w:color w:val="000000"/>
                          <w:sz w:val="44"/>
                          <w:szCs w:val="44"/>
                        </w:rPr>
                        <w:t>88940</w:t>
                      </w:r>
                      <w:r>
                        <w:rPr>
                          <w:rFonts w:ascii="Arial" w:hAnsi="Arial" w:cs="Arial"/>
                          <w:color w:val="000000"/>
                          <w:sz w:val="44"/>
                          <w:szCs w:val="44"/>
                        </w:rPr>
                        <w:t xml:space="preserve"> v3</w:t>
                      </w:r>
                    </w:p>
                  </w:txbxContent>
                </v:textbox>
              </v:shape>
            </w:pict>
          </mc:Fallback>
        </mc:AlternateContent>
      </w:r>
    </w:p>
    <w:p w14:paraId="6862AFA2" w14:textId="77777777" w:rsidR="00C663A8" w:rsidRDefault="00C663A8" w:rsidP="00C663A8">
      <w:pPr>
        <w:pStyle w:val="ListParagraph"/>
        <w:spacing w:line="240" w:lineRule="auto"/>
        <w:ind w:left="0"/>
        <w:contextualSpacing w:val="0"/>
        <w:jc w:val="both"/>
        <w:rPr>
          <w:rFonts w:ascii="Times New Roman" w:hAnsi="Times New Roman" w:cs="Times New Roman"/>
          <w:sz w:val="24"/>
          <w:szCs w:val="24"/>
        </w:rPr>
      </w:pPr>
      <w:bookmarkStart w:id="0" w:name="_GoBack"/>
      <w:bookmarkEnd w:id="0"/>
    </w:p>
    <w:p w14:paraId="2CF8D569" w14:textId="611FE4C6" w:rsidR="00C663A8" w:rsidRPr="00C663A8" w:rsidRDefault="00C663A8" w:rsidP="00C663A8">
      <w:pPr>
        <w:pStyle w:val="ListParagraph"/>
        <w:spacing w:after="0" w:line="240" w:lineRule="auto"/>
        <w:ind w:left="0"/>
        <w:contextualSpacing w:val="0"/>
        <w:jc w:val="both"/>
        <w:rPr>
          <w:rFonts w:ascii="Times New Roman" w:hAnsi="Times New Roman" w:cs="Times New Roman"/>
          <w:b/>
          <w:sz w:val="72"/>
          <w:szCs w:val="72"/>
        </w:rPr>
      </w:pPr>
      <w:r w:rsidRPr="00C663A8">
        <w:rPr>
          <w:rFonts w:ascii="Times New Roman" w:hAnsi="Times New Roman" w:cs="Times New Roman"/>
          <w:b/>
          <w:sz w:val="72"/>
          <w:szCs w:val="72"/>
        </w:rPr>
        <w:t>KENYA</w:t>
      </w:r>
    </w:p>
    <w:p w14:paraId="5688D641" w14:textId="3133DDC1" w:rsidR="001B4A7D" w:rsidRPr="00C663A8" w:rsidRDefault="00C663A8" w:rsidP="00C663A8">
      <w:pPr>
        <w:pStyle w:val="ListParagraph"/>
        <w:spacing w:after="0" w:line="240" w:lineRule="auto"/>
        <w:ind w:left="0"/>
        <w:contextualSpacing w:val="0"/>
        <w:jc w:val="both"/>
        <w:rPr>
          <w:rFonts w:ascii="Times New Roman" w:hAnsi="Times New Roman" w:cs="Times New Roman"/>
          <w:b/>
          <w:sz w:val="48"/>
          <w:szCs w:val="48"/>
        </w:rPr>
      </w:pPr>
      <w:r w:rsidRPr="00C663A8">
        <w:rPr>
          <w:rFonts w:ascii="Times New Roman" w:hAnsi="Times New Roman" w:cs="Times New Roman"/>
          <w:b/>
          <w:sz w:val="48"/>
          <w:szCs w:val="48"/>
        </w:rPr>
        <w:t>COUNTRY PARTNERSHIP STRATEGY</w:t>
      </w:r>
    </w:p>
    <w:p w14:paraId="5A905633" w14:textId="2B3E01EE" w:rsidR="005B520B" w:rsidRPr="00C663A8" w:rsidRDefault="00C663A8" w:rsidP="00C663A8">
      <w:pPr>
        <w:spacing w:after="0" w:line="240" w:lineRule="auto"/>
        <w:rPr>
          <w:rFonts w:ascii="Times New Roman" w:hAnsi="Times New Roman" w:cs="Times New Roman"/>
          <w:b/>
          <w:sz w:val="48"/>
          <w:szCs w:val="48"/>
        </w:rPr>
      </w:pPr>
      <w:r>
        <w:rPr>
          <w:rFonts w:ascii="Times New Roman" w:hAnsi="Times New Roman" w:cs="Times New Roman"/>
          <w:b/>
          <w:sz w:val="48"/>
          <w:szCs w:val="48"/>
        </w:rPr>
        <w:t>FY2014-2018</w:t>
      </w:r>
    </w:p>
    <w:p w14:paraId="6E47D384" w14:textId="77777777" w:rsidR="007B1333" w:rsidRPr="00C663A8" w:rsidRDefault="007B1333" w:rsidP="00C663A8">
      <w:pPr>
        <w:spacing w:after="0" w:line="240" w:lineRule="auto"/>
        <w:rPr>
          <w:rFonts w:ascii="Times New Roman" w:hAnsi="Times New Roman" w:cs="Times New Roman"/>
          <w:b/>
          <w:sz w:val="48"/>
          <w:szCs w:val="48"/>
        </w:rPr>
      </w:pPr>
    </w:p>
    <w:p w14:paraId="548A6BDC" w14:textId="77777777" w:rsidR="009C5CB0" w:rsidRPr="009C5CB0" w:rsidRDefault="009C5CB0" w:rsidP="009C5CB0">
      <w:pPr>
        <w:spacing w:line="240" w:lineRule="auto"/>
        <w:rPr>
          <w:rFonts w:ascii="Times New Roman" w:hAnsi="Times New Roman" w:cs="Times New Roman"/>
          <w:sz w:val="24"/>
          <w:szCs w:val="24"/>
          <w:vertAlign w:val="superscript"/>
        </w:rPr>
        <w:sectPr w:rsidR="009C5CB0" w:rsidRPr="009C5CB0" w:rsidSect="00934CAB">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1440" w:right="1440" w:bottom="1350" w:left="1440" w:header="720" w:footer="720" w:gutter="0"/>
          <w:cols w:space="720"/>
          <w:docGrid w:linePitch="360"/>
        </w:sectPr>
      </w:pPr>
    </w:p>
    <w:p w14:paraId="5D58A8F8"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1" w:name="_Toc387342562"/>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CPS Results Framework</w:t>
      </w:r>
      <w:bookmarkEnd w:id="1"/>
    </w:p>
    <w:tbl>
      <w:tblPr>
        <w:tblStyle w:val="TableGrid"/>
        <w:tblW w:w="13972" w:type="dxa"/>
        <w:jc w:val="center"/>
        <w:tblLook w:val="04A0" w:firstRow="1" w:lastRow="0" w:firstColumn="1" w:lastColumn="0" w:noHBand="0" w:noVBand="1"/>
      </w:tblPr>
      <w:tblGrid>
        <w:gridCol w:w="4744"/>
        <w:gridCol w:w="3918"/>
        <w:gridCol w:w="5310"/>
      </w:tblGrid>
      <w:tr w:rsidR="00B45683" w:rsidRPr="00910E96" w14:paraId="11689E52" w14:textId="77777777" w:rsidTr="000B44A7">
        <w:trPr>
          <w:trHeight w:val="3657"/>
          <w:jc w:val="center"/>
        </w:trPr>
        <w:tc>
          <w:tcPr>
            <w:tcW w:w="13972" w:type="dxa"/>
            <w:gridSpan w:val="3"/>
            <w:shd w:val="clear" w:color="auto" w:fill="FFFFFF" w:themeFill="background1"/>
          </w:tcPr>
          <w:p w14:paraId="2D5707F7" w14:textId="77777777" w:rsidR="00D324A5" w:rsidRDefault="00D324A5" w:rsidP="00F96822">
            <w:pPr>
              <w:tabs>
                <w:tab w:val="left" w:pos="300"/>
                <w:tab w:val="left" w:pos="1015"/>
                <w:tab w:val="left" w:pos="1399"/>
              </w:tabs>
              <w:spacing w:line="0" w:lineRule="atLeast"/>
              <w:ind w:firstLine="300"/>
              <w:jc w:val="center"/>
              <w:rPr>
                <w:rFonts w:ascii="Times New Roman" w:hAnsi="Times New Roman" w:cs="Times New Roman"/>
                <w:b/>
                <w:sz w:val="20"/>
                <w:szCs w:val="20"/>
              </w:rPr>
            </w:pPr>
          </w:p>
          <w:p w14:paraId="7ED94859" w14:textId="77777777" w:rsidR="00B45683" w:rsidRPr="00910E96" w:rsidRDefault="00B45683" w:rsidP="00F96822">
            <w:pPr>
              <w:tabs>
                <w:tab w:val="left" w:pos="300"/>
                <w:tab w:val="left" w:pos="1015"/>
                <w:tab w:val="left" w:pos="1399"/>
              </w:tabs>
              <w:spacing w:line="0" w:lineRule="atLeast"/>
              <w:ind w:firstLine="300"/>
              <w:jc w:val="center"/>
              <w:rPr>
                <w:rFonts w:ascii="Times New Roman" w:hAnsi="Times New Roman" w:cs="Times New Roman"/>
                <w:b/>
                <w:sz w:val="20"/>
                <w:szCs w:val="20"/>
              </w:rPr>
            </w:pPr>
            <w:r w:rsidRPr="00910E96">
              <w:rPr>
                <w:rFonts w:ascii="Times New Roman" w:hAnsi="Times New Roman" w:cs="Times New Roman"/>
                <w:b/>
                <w:sz w:val="20"/>
                <w:szCs w:val="20"/>
              </w:rPr>
              <w:t>Overarching Goals: Sustainable Reduction in Poverty and Increased Shared Prosperity</w:t>
            </w:r>
          </w:p>
          <w:p w14:paraId="70B97252" w14:textId="77777777" w:rsidR="00B45683" w:rsidRDefault="00B45683" w:rsidP="00F96822">
            <w:pPr>
              <w:tabs>
                <w:tab w:val="left" w:pos="300"/>
                <w:tab w:val="left" w:pos="1015"/>
                <w:tab w:val="left" w:pos="1399"/>
              </w:tabs>
              <w:spacing w:line="0" w:lineRule="atLeast"/>
              <w:ind w:firstLine="300"/>
              <w:jc w:val="center"/>
              <w:rPr>
                <w:rFonts w:ascii="Times New Roman" w:hAnsi="Times New Roman" w:cs="Times New Roman"/>
                <w:b/>
                <w:sz w:val="20"/>
                <w:szCs w:val="20"/>
              </w:rPr>
            </w:pPr>
          </w:p>
          <w:p w14:paraId="15639486" w14:textId="77777777" w:rsidR="00550E4F" w:rsidRDefault="00550E4F" w:rsidP="00F96822">
            <w:pPr>
              <w:tabs>
                <w:tab w:val="left" w:pos="300"/>
                <w:tab w:val="left" w:pos="1015"/>
                <w:tab w:val="left" w:pos="1399"/>
              </w:tabs>
              <w:spacing w:line="0" w:lineRule="atLeast"/>
              <w:ind w:firstLine="300"/>
              <w:jc w:val="center"/>
              <w:rPr>
                <w:rFonts w:ascii="Times New Roman" w:hAnsi="Times New Roman" w:cs="Times New Roman"/>
                <w:i/>
                <w:sz w:val="20"/>
                <w:szCs w:val="20"/>
              </w:rPr>
            </w:pPr>
            <w:r>
              <w:rPr>
                <w:rFonts w:ascii="Times New Roman" w:hAnsi="Times New Roman" w:cs="Times New Roman"/>
                <w:i/>
                <w:sz w:val="20"/>
                <w:szCs w:val="20"/>
              </w:rPr>
              <w:t>This results framework is situated against a broad ambition of reducing poverty and promoting shared prosperity.</w:t>
            </w:r>
          </w:p>
          <w:p w14:paraId="28459F57" w14:textId="77777777" w:rsidR="00550E4F" w:rsidRPr="00550E4F" w:rsidRDefault="00550E4F" w:rsidP="00F96822">
            <w:pPr>
              <w:tabs>
                <w:tab w:val="left" w:pos="300"/>
                <w:tab w:val="left" w:pos="1015"/>
                <w:tab w:val="left" w:pos="1399"/>
              </w:tabs>
              <w:spacing w:line="0" w:lineRule="atLeast"/>
              <w:ind w:firstLine="300"/>
              <w:jc w:val="center"/>
              <w:rPr>
                <w:rFonts w:ascii="Times New Roman" w:hAnsi="Times New Roman" w:cs="Times New Roman"/>
                <w:i/>
                <w:sz w:val="20"/>
                <w:szCs w:val="20"/>
              </w:rPr>
            </w:pPr>
            <w:r>
              <w:rPr>
                <w:rFonts w:ascii="Times New Roman" w:hAnsi="Times New Roman" w:cs="Times New Roman"/>
                <w:i/>
                <w:sz w:val="20"/>
                <w:szCs w:val="20"/>
              </w:rPr>
              <w:t>Even though the near-term CPS outcomes cannot really be measured on such high-level metrics, this is useful to present the</w:t>
            </w:r>
            <w:r w:rsidR="004354B9">
              <w:rPr>
                <w:rFonts w:ascii="Times New Roman" w:hAnsi="Times New Roman" w:cs="Times New Roman"/>
                <w:i/>
                <w:sz w:val="20"/>
                <w:szCs w:val="20"/>
              </w:rPr>
              <w:t>m</w:t>
            </w:r>
            <w:r>
              <w:rPr>
                <w:rFonts w:ascii="Times New Roman" w:hAnsi="Times New Roman" w:cs="Times New Roman"/>
                <w:i/>
                <w:sz w:val="20"/>
                <w:szCs w:val="20"/>
              </w:rPr>
              <w:t xml:space="preserve"> as a guiding force.</w:t>
            </w:r>
          </w:p>
          <w:p w14:paraId="11FE8B19" w14:textId="77777777" w:rsidR="00550E4F" w:rsidRPr="00910E96" w:rsidRDefault="00550E4F" w:rsidP="00F96822">
            <w:pPr>
              <w:tabs>
                <w:tab w:val="left" w:pos="300"/>
                <w:tab w:val="left" w:pos="1015"/>
                <w:tab w:val="left" w:pos="1399"/>
              </w:tabs>
              <w:spacing w:line="0" w:lineRule="atLeast"/>
              <w:ind w:firstLine="300"/>
              <w:jc w:val="left"/>
              <w:rPr>
                <w:rFonts w:ascii="Times New Roman" w:hAnsi="Times New Roman" w:cs="Times New Roman"/>
                <w:b/>
                <w:sz w:val="20"/>
                <w:szCs w:val="20"/>
              </w:rPr>
            </w:pPr>
          </w:p>
          <w:p w14:paraId="6D2B044A" w14:textId="77777777" w:rsidR="00B45683" w:rsidRPr="00910E96" w:rsidRDefault="00B45683" w:rsidP="00F96822">
            <w:pPr>
              <w:pStyle w:val="ListParagraph"/>
              <w:tabs>
                <w:tab w:val="left" w:pos="300"/>
                <w:tab w:val="left" w:pos="1015"/>
                <w:tab w:val="left" w:pos="1399"/>
              </w:tabs>
              <w:spacing w:line="0" w:lineRule="atLeast"/>
              <w:ind w:left="300" w:firstLine="0"/>
              <w:rPr>
                <w:rFonts w:ascii="Times New Roman" w:hAnsi="Times New Roman" w:cs="Times New Roman"/>
                <w:sz w:val="20"/>
                <w:szCs w:val="20"/>
              </w:rPr>
            </w:pPr>
            <w:r w:rsidRPr="00910E96">
              <w:rPr>
                <w:rFonts w:ascii="Times New Roman" w:hAnsi="Times New Roman" w:cs="Times New Roman"/>
                <w:sz w:val="20"/>
                <w:szCs w:val="20"/>
              </w:rPr>
              <w:t xml:space="preserve">Vision 2030 aspires to 10% annual GDP growth rates which are well above historical levels. </w:t>
            </w:r>
            <w:r w:rsidR="00550E4F">
              <w:rPr>
                <w:rFonts w:ascii="Times New Roman" w:hAnsi="Times New Roman" w:cs="Times New Roman"/>
                <w:sz w:val="20"/>
                <w:szCs w:val="20"/>
              </w:rPr>
              <w:t>T</w:t>
            </w:r>
            <w:r w:rsidRPr="00910E96">
              <w:rPr>
                <w:rFonts w:ascii="Times New Roman" w:hAnsi="Times New Roman" w:cs="Times New Roman"/>
                <w:sz w:val="20"/>
                <w:szCs w:val="20"/>
              </w:rPr>
              <w:t>his CPS aspires to contribute to average growth rate</w:t>
            </w:r>
            <w:r w:rsidR="00550E4F">
              <w:rPr>
                <w:rFonts w:ascii="Times New Roman" w:hAnsi="Times New Roman" w:cs="Times New Roman"/>
                <w:sz w:val="20"/>
                <w:szCs w:val="20"/>
              </w:rPr>
              <w:t xml:space="preserve">s during the CPS period. To play some part in reaching </w:t>
            </w:r>
            <w:r w:rsidRPr="00910E96">
              <w:rPr>
                <w:rFonts w:ascii="Times New Roman" w:hAnsi="Times New Roman" w:cs="Times New Roman"/>
                <w:sz w:val="20"/>
                <w:szCs w:val="20"/>
              </w:rPr>
              <w:t xml:space="preserve">these goals, the WBG program will seek to increase productivity and improve consumption in a sustainable manner, with particular attention to the poorest segments of society. The Devolution Agenda offers an opportunity to provide historically disadvantaged counties with greater transfers per citizen, setting the basis for improved decentralized service delivery. This opens new opportunities to address long-standing inequalities, but also brings new challenges that have major implications for reducing poverty and achieving shared prosperity. The CPS will contribute to address these challenges by adopting a mainstreamed approach to better governance across all three domains of engagement. </w:t>
            </w:r>
          </w:p>
          <w:p w14:paraId="26506C4B" w14:textId="77777777" w:rsidR="00B45683" w:rsidRPr="00910E96" w:rsidRDefault="00B45683" w:rsidP="00F96822">
            <w:pPr>
              <w:pStyle w:val="ListParagraph"/>
              <w:tabs>
                <w:tab w:val="left" w:pos="300"/>
                <w:tab w:val="left" w:pos="1015"/>
                <w:tab w:val="left" w:pos="1399"/>
              </w:tabs>
              <w:spacing w:line="0" w:lineRule="atLeast"/>
              <w:ind w:left="704" w:firstLine="300"/>
              <w:jc w:val="left"/>
              <w:rPr>
                <w:rFonts w:ascii="Times New Roman" w:hAnsi="Times New Roman" w:cs="Times New Roman"/>
                <w:b/>
                <w:sz w:val="20"/>
                <w:szCs w:val="20"/>
              </w:rPr>
            </w:pPr>
          </w:p>
          <w:p w14:paraId="765731D0" w14:textId="77777777" w:rsidR="00B45683" w:rsidRPr="00910E96" w:rsidRDefault="00B45683" w:rsidP="00F96822">
            <w:pPr>
              <w:pStyle w:val="ListParagraph"/>
              <w:tabs>
                <w:tab w:val="left" w:pos="300"/>
                <w:tab w:val="left" w:pos="1015"/>
                <w:tab w:val="left" w:pos="1399"/>
              </w:tabs>
              <w:spacing w:line="0" w:lineRule="atLeast"/>
              <w:ind w:left="300" w:firstLine="0"/>
              <w:jc w:val="left"/>
              <w:rPr>
                <w:rFonts w:ascii="Times New Roman" w:hAnsi="Times New Roman" w:cs="Times New Roman"/>
                <w:b/>
                <w:sz w:val="20"/>
                <w:szCs w:val="20"/>
              </w:rPr>
            </w:pPr>
            <w:r w:rsidRPr="00910E96">
              <w:rPr>
                <w:rFonts w:ascii="Times New Roman" w:hAnsi="Times New Roman" w:cs="Times New Roman"/>
                <w:b/>
                <w:sz w:val="20"/>
                <w:szCs w:val="20"/>
              </w:rPr>
              <w:t>Population: 43.18 million (2013)</w:t>
            </w:r>
          </w:p>
          <w:p w14:paraId="0A1EFE17" w14:textId="77777777" w:rsidR="00B45683" w:rsidRPr="00910E96" w:rsidRDefault="00B45683" w:rsidP="00F96822">
            <w:pPr>
              <w:pStyle w:val="ListParagraph"/>
              <w:tabs>
                <w:tab w:val="left" w:pos="300"/>
                <w:tab w:val="left" w:pos="1015"/>
                <w:tab w:val="left" w:pos="1399"/>
              </w:tabs>
              <w:spacing w:line="0" w:lineRule="atLeast"/>
              <w:ind w:left="300" w:firstLine="0"/>
              <w:jc w:val="left"/>
              <w:rPr>
                <w:rFonts w:ascii="Times New Roman" w:hAnsi="Times New Roman" w:cs="Times New Roman"/>
                <w:b/>
                <w:sz w:val="20"/>
                <w:szCs w:val="20"/>
              </w:rPr>
            </w:pPr>
            <w:r w:rsidRPr="00910E96">
              <w:rPr>
                <w:rFonts w:ascii="Times New Roman" w:hAnsi="Times New Roman" w:cs="Times New Roman"/>
                <w:b/>
                <w:sz w:val="20"/>
                <w:szCs w:val="20"/>
              </w:rPr>
              <w:t>Growth rate: 4% (2012)</w:t>
            </w:r>
          </w:p>
          <w:p w14:paraId="62065FD7" w14:textId="77777777" w:rsidR="00B45683" w:rsidRPr="00910E96" w:rsidRDefault="00B45683" w:rsidP="00F96822">
            <w:pPr>
              <w:pStyle w:val="ListParagraph"/>
              <w:tabs>
                <w:tab w:val="left" w:pos="300"/>
                <w:tab w:val="left" w:pos="1015"/>
                <w:tab w:val="left" w:pos="1399"/>
              </w:tabs>
              <w:spacing w:line="0" w:lineRule="atLeast"/>
              <w:ind w:left="300" w:firstLine="0"/>
              <w:jc w:val="left"/>
              <w:rPr>
                <w:rFonts w:ascii="Times New Roman" w:hAnsi="Times New Roman" w:cs="Times New Roman"/>
                <w:b/>
                <w:sz w:val="20"/>
                <w:szCs w:val="20"/>
              </w:rPr>
            </w:pPr>
            <w:r w:rsidRPr="00910E96">
              <w:rPr>
                <w:rFonts w:ascii="Times New Roman" w:hAnsi="Times New Roman" w:cs="Times New Roman"/>
                <w:b/>
                <w:sz w:val="20"/>
                <w:szCs w:val="20"/>
              </w:rPr>
              <w:t>Poverty rate: 47% (2005)</w:t>
            </w:r>
          </w:p>
          <w:p w14:paraId="2997B0BF" w14:textId="77777777" w:rsidR="00B45683" w:rsidRPr="00910E96" w:rsidRDefault="00B45683" w:rsidP="00F96822">
            <w:pPr>
              <w:pStyle w:val="ListParagraph"/>
              <w:tabs>
                <w:tab w:val="left" w:pos="300"/>
                <w:tab w:val="left" w:pos="1015"/>
                <w:tab w:val="left" w:pos="1399"/>
              </w:tabs>
              <w:spacing w:line="0" w:lineRule="atLeast"/>
              <w:ind w:left="300" w:firstLine="0"/>
              <w:jc w:val="left"/>
              <w:rPr>
                <w:rFonts w:ascii="Times New Roman" w:hAnsi="Times New Roman" w:cs="Times New Roman"/>
                <w:b/>
                <w:sz w:val="20"/>
                <w:szCs w:val="20"/>
              </w:rPr>
            </w:pPr>
            <w:r w:rsidRPr="00910E96">
              <w:rPr>
                <w:rFonts w:ascii="Times New Roman" w:hAnsi="Times New Roman" w:cs="Times New Roman"/>
                <w:b/>
                <w:sz w:val="20"/>
                <w:szCs w:val="20"/>
              </w:rPr>
              <w:t>GNI Coefficient: 47.7 (2013)</w:t>
            </w:r>
          </w:p>
          <w:p w14:paraId="3B64499B" w14:textId="77777777" w:rsidR="00B45683" w:rsidRPr="00910E96" w:rsidRDefault="00B45683" w:rsidP="00443F17">
            <w:pPr>
              <w:spacing w:line="0" w:lineRule="atLeast"/>
              <w:jc w:val="center"/>
              <w:rPr>
                <w:rFonts w:ascii="Times New Roman" w:hAnsi="Times New Roman" w:cs="Times New Roman"/>
                <w:b/>
                <w:sz w:val="20"/>
                <w:szCs w:val="20"/>
              </w:rPr>
            </w:pPr>
          </w:p>
        </w:tc>
      </w:tr>
      <w:tr w:rsidR="00B45683" w:rsidRPr="00910E96" w14:paraId="745A642A" w14:textId="77777777" w:rsidTr="000B44A7">
        <w:trPr>
          <w:jc w:val="center"/>
        </w:trPr>
        <w:tc>
          <w:tcPr>
            <w:tcW w:w="13972" w:type="dxa"/>
            <w:gridSpan w:val="3"/>
            <w:shd w:val="clear" w:color="auto" w:fill="C6D9F1" w:themeFill="text2" w:themeFillTint="33"/>
          </w:tcPr>
          <w:p w14:paraId="758E6F8D" w14:textId="77777777" w:rsidR="00B45683" w:rsidRPr="00910E96" w:rsidRDefault="00B45683" w:rsidP="00443F17">
            <w:pPr>
              <w:spacing w:line="0" w:lineRule="atLeast"/>
              <w:jc w:val="center"/>
              <w:rPr>
                <w:rFonts w:ascii="Times New Roman" w:hAnsi="Times New Roman" w:cs="Times New Roman"/>
                <w:b/>
                <w:sz w:val="20"/>
                <w:szCs w:val="20"/>
              </w:rPr>
            </w:pPr>
            <w:r w:rsidRPr="00F96822">
              <w:rPr>
                <w:rFonts w:ascii="Times New Roman" w:hAnsi="Times New Roman" w:cs="Times New Roman"/>
                <w:b/>
                <w:szCs w:val="20"/>
              </w:rPr>
              <w:t>Domain of Engagement 1: Competitiveness and Sustainability— Growth to Eradicate Poverty</w:t>
            </w:r>
          </w:p>
        </w:tc>
      </w:tr>
      <w:tr w:rsidR="00B45683" w:rsidRPr="00910E96" w14:paraId="0B237A6F" w14:textId="77777777" w:rsidTr="000B44A7">
        <w:trPr>
          <w:jc w:val="center"/>
        </w:trPr>
        <w:tc>
          <w:tcPr>
            <w:tcW w:w="13972" w:type="dxa"/>
            <w:gridSpan w:val="3"/>
          </w:tcPr>
          <w:p w14:paraId="4AC1877C" w14:textId="77777777" w:rsidR="00D324A5" w:rsidRDefault="00D324A5" w:rsidP="00443F17">
            <w:pPr>
              <w:spacing w:line="0" w:lineRule="atLeast"/>
              <w:ind w:left="2550" w:hanging="360"/>
              <w:rPr>
                <w:rFonts w:ascii="Times New Roman" w:hAnsi="Times New Roman" w:cs="Times New Roman"/>
                <w:b/>
                <w:sz w:val="20"/>
                <w:szCs w:val="20"/>
              </w:rPr>
            </w:pPr>
          </w:p>
          <w:p w14:paraId="7D776CFF" w14:textId="6C7A9043" w:rsidR="00B45683" w:rsidRPr="00910E96" w:rsidRDefault="00B45683" w:rsidP="00443F17">
            <w:pPr>
              <w:spacing w:line="0" w:lineRule="atLeast"/>
              <w:ind w:left="2550" w:hanging="360"/>
              <w:rPr>
                <w:rFonts w:ascii="Times New Roman" w:hAnsi="Times New Roman" w:cs="Times New Roman"/>
                <w:b/>
                <w:sz w:val="20"/>
                <w:szCs w:val="20"/>
              </w:rPr>
            </w:pPr>
            <w:r w:rsidRPr="00050430">
              <w:rPr>
                <w:b/>
                <w:noProof/>
              </w:rPr>
              <mc:AlternateContent>
                <mc:Choice Requires="wps">
                  <w:drawing>
                    <wp:anchor distT="0" distB="0" distL="114300" distR="114300" simplePos="0" relativeHeight="251844608" behindDoc="0" locked="0" layoutInCell="1" allowOverlap="1" wp14:anchorId="745D9AA9" wp14:editId="46033497">
                      <wp:simplePos x="0" y="0"/>
                      <wp:positionH relativeFrom="column">
                        <wp:posOffset>186055</wp:posOffset>
                      </wp:positionH>
                      <wp:positionV relativeFrom="paragraph">
                        <wp:posOffset>69850</wp:posOffset>
                      </wp:positionV>
                      <wp:extent cx="876300" cy="51435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solidFill>
                                  <a:srgbClr val="000000"/>
                                </a:solidFill>
                                <a:miter lim="800000"/>
                                <a:headEnd/>
                                <a:tailEnd/>
                              </a:ln>
                            </wps:spPr>
                            <wps:txbx>
                              <w:txbxContent>
                                <w:p w14:paraId="5B4674D7"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5pt;margin-top:5.5pt;width:69pt;height:4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TpJw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">
                      <v:textbox>
                        <w:txbxContent>
                          <w:p w14:paraId="5B4674D7"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v:textbox>
                    </v:shape>
                  </w:pict>
                </mc:Fallback>
              </mc:AlternateContent>
            </w:r>
            <w:r w:rsidRPr="00910E96">
              <w:rPr>
                <w:rFonts w:ascii="Times New Roman" w:hAnsi="Times New Roman" w:cs="Times New Roman"/>
                <w:b/>
                <w:sz w:val="20"/>
                <w:szCs w:val="20"/>
              </w:rPr>
              <w:t>Vision 2030 Goal</w:t>
            </w:r>
            <w:r>
              <w:rPr>
                <w:rFonts w:ascii="Times New Roman" w:hAnsi="Times New Roman" w:cs="Times New Roman"/>
                <w:b/>
                <w:sz w:val="20"/>
                <w:szCs w:val="20"/>
              </w:rPr>
              <w:t>s</w:t>
            </w:r>
            <w:r w:rsidR="00787936">
              <w:rPr>
                <w:rFonts w:ascii="Times New Roman" w:hAnsi="Times New Roman" w:cs="Times New Roman"/>
                <w:b/>
                <w:sz w:val="20"/>
                <w:szCs w:val="20"/>
              </w:rPr>
              <w:t>:</w:t>
            </w:r>
            <w:r w:rsidR="005C7D81">
              <w:rPr>
                <w:rStyle w:val="FootnoteReference"/>
                <w:rFonts w:ascii="Times New Roman" w:hAnsi="Times New Roman" w:cs="Times New Roman"/>
                <w:b/>
                <w:sz w:val="20"/>
                <w:szCs w:val="20"/>
              </w:rPr>
              <w:footnoteReference w:id="1"/>
            </w:r>
            <w:r w:rsidRPr="00910E96">
              <w:rPr>
                <w:rFonts w:ascii="Times New Roman" w:hAnsi="Times New Roman" w:cs="Times New Roman"/>
                <w:b/>
                <w:sz w:val="20"/>
                <w:szCs w:val="20"/>
              </w:rPr>
              <w:t xml:space="preserve"> </w:t>
            </w:r>
          </w:p>
          <w:p w14:paraId="699D6161" w14:textId="77777777" w:rsidR="00B45683" w:rsidRPr="00AC50A5" w:rsidRDefault="00B45683" w:rsidP="007B5E57">
            <w:pPr>
              <w:pStyle w:val="ListParagraph"/>
              <w:numPr>
                <w:ilvl w:val="0"/>
                <w:numId w:val="73"/>
              </w:numPr>
              <w:spacing w:line="0" w:lineRule="atLeast"/>
              <w:ind w:left="2550"/>
              <w:rPr>
                <w:rFonts w:ascii="Times New Roman" w:hAnsi="Times New Roman" w:cs="Times New Roman"/>
                <w:sz w:val="20"/>
                <w:szCs w:val="20"/>
              </w:rPr>
            </w:pPr>
            <w:r w:rsidRPr="00AC50A5">
              <w:rPr>
                <w:rFonts w:ascii="Times New Roman" w:hAnsi="Times New Roman" w:cs="Times New Roman"/>
                <w:sz w:val="20"/>
                <w:szCs w:val="20"/>
              </w:rPr>
              <w:t>Create a globally competitive and prosperous nation</w:t>
            </w:r>
          </w:p>
          <w:p w14:paraId="55ADB20F" w14:textId="77777777" w:rsidR="00B45683" w:rsidRPr="00910E96" w:rsidRDefault="00B45683" w:rsidP="00B45683">
            <w:pPr>
              <w:pStyle w:val="ListParagraph"/>
              <w:numPr>
                <w:ilvl w:val="0"/>
                <w:numId w:val="3"/>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Transform Kenya into a newly industrializing, middle-income country</w:t>
            </w:r>
          </w:p>
          <w:p w14:paraId="0394D1E7" w14:textId="77777777" w:rsidR="00B45683" w:rsidRPr="00910E96" w:rsidRDefault="00B45683" w:rsidP="00443F17">
            <w:pPr>
              <w:pStyle w:val="ListParagraph"/>
              <w:spacing w:line="0" w:lineRule="atLeast"/>
              <w:ind w:left="2910" w:hanging="360"/>
              <w:rPr>
                <w:rFonts w:ascii="Times New Roman" w:hAnsi="Times New Roman" w:cs="Times New Roman"/>
                <w:sz w:val="20"/>
                <w:szCs w:val="20"/>
              </w:rPr>
            </w:pPr>
          </w:p>
          <w:p w14:paraId="7F454655" w14:textId="77777777" w:rsidR="00B45683" w:rsidRDefault="00B45683" w:rsidP="00443F17">
            <w:pPr>
              <w:spacing w:line="0" w:lineRule="atLeast"/>
              <w:ind w:left="2460" w:hanging="36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846656" behindDoc="0" locked="0" layoutInCell="1" allowOverlap="1" wp14:anchorId="04054D9D" wp14:editId="5A7F41D2">
                      <wp:simplePos x="0" y="0"/>
                      <wp:positionH relativeFrom="column">
                        <wp:posOffset>655415</wp:posOffset>
                      </wp:positionH>
                      <wp:positionV relativeFrom="paragraph">
                        <wp:posOffset>28873</wp:posOffset>
                      </wp:positionV>
                      <wp:extent cx="1" cy="262254"/>
                      <wp:effectExtent l="76200" t="0" r="57150" b="62230"/>
                      <wp:wrapNone/>
                      <wp:docPr id="592" name="Straight Connector 592"/>
                      <wp:cNvGraphicFramePr/>
                      <a:graphic xmlns:a="http://schemas.openxmlformats.org/drawingml/2006/main">
                        <a:graphicData uri="http://schemas.microsoft.com/office/word/2010/wordprocessingShape">
                          <wps:wsp>
                            <wps:cNvCnPr/>
                            <wps:spPr>
                              <a:xfrm flipV="1">
                                <a:off x="0" y="0"/>
                                <a:ext cx="1" cy="262254"/>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A65A79" id="Straight Connector 592"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25pt" to="51.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" strokecolor="black [3213]">
                      <v:stroke startarrow="block"/>
                    </v:line>
                  </w:pict>
                </mc:Fallback>
              </mc:AlternateContent>
            </w:r>
          </w:p>
          <w:p w14:paraId="1FA82CA8" w14:textId="735F9CA8" w:rsidR="00B45683" w:rsidRPr="00910E96" w:rsidRDefault="00B45683" w:rsidP="00443F17">
            <w:pPr>
              <w:spacing w:line="0" w:lineRule="atLeast"/>
              <w:ind w:left="2460" w:hanging="360"/>
              <w:rPr>
                <w:rFonts w:ascii="Times New Roman" w:hAnsi="Times New Roman" w:cs="Times New Roman"/>
                <w:b/>
                <w:sz w:val="20"/>
                <w:szCs w:val="20"/>
              </w:rPr>
            </w:pPr>
            <w:r w:rsidRPr="00910E96">
              <w:rPr>
                <w:rFonts w:ascii="Times New Roman" w:hAnsi="Times New Roman" w:cs="Times New Roman"/>
                <w:b/>
                <w:sz w:val="20"/>
                <w:szCs w:val="20"/>
              </w:rPr>
              <w:t>Second Medium Term Plan 2013-2017 (MTP2) Goals</w:t>
            </w:r>
            <w:r w:rsidR="00787936">
              <w:rPr>
                <w:rFonts w:ascii="Times New Roman" w:hAnsi="Times New Roman" w:cs="Times New Roman"/>
                <w:b/>
                <w:sz w:val="20"/>
                <w:szCs w:val="20"/>
              </w:rPr>
              <w:t>:</w:t>
            </w:r>
            <w:r w:rsidR="005C7D81">
              <w:rPr>
                <w:rStyle w:val="FootnoteReference"/>
                <w:rFonts w:ascii="Times New Roman" w:hAnsi="Times New Roman" w:cs="Times New Roman"/>
                <w:b/>
                <w:sz w:val="20"/>
                <w:szCs w:val="20"/>
              </w:rPr>
              <w:footnoteReference w:id="2"/>
            </w:r>
          </w:p>
          <w:p w14:paraId="11C5F397" w14:textId="77777777" w:rsidR="00B45683" w:rsidRPr="00910E96" w:rsidRDefault="00B45683" w:rsidP="00B45683">
            <w:pPr>
              <w:pStyle w:val="ListParagraph"/>
              <w:numPr>
                <w:ilvl w:val="0"/>
                <w:numId w:val="7"/>
              </w:numPr>
              <w:spacing w:line="0" w:lineRule="atLeast"/>
              <w:ind w:left="2550"/>
              <w:rPr>
                <w:rFonts w:ascii="Times New Roman" w:hAnsi="Times New Roman" w:cs="Times New Roman"/>
                <w:b/>
                <w:sz w:val="20"/>
                <w:szCs w:val="20"/>
              </w:rPr>
            </w:pPr>
            <w:r w:rsidRPr="00050430">
              <w:rPr>
                <w:rFonts w:ascii="Times New Roman" w:hAnsi="Times New Roman" w:cs="Times New Roman"/>
                <w:b/>
                <w:noProof/>
                <w:sz w:val="20"/>
                <w:szCs w:val="20"/>
              </w:rPr>
              <mc:AlternateContent>
                <mc:Choice Requires="wps">
                  <w:drawing>
                    <wp:anchor distT="0" distB="0" distL="114300" distR="114300" simplePos="0" relativeHeight="251845632" behindDoc="1" locked="0" layoutInCell="1" allowOverlap="1" wp14:anchorId="5F0D018F" wp14:editId="1101B6D9">
                      <wp:simplePos x="0" y="0"/>
                      <wp:positionH relativeFrom="column">
                        <wp:posOffset>186055</wp:posOffset>
                      </wp:positionH>
                      <wp:positionV relativeFrom="paragraph">
                        <wp:posOffset>60960</wp:posOffset>
                      </wp:positionV>
                      <wp:extent cx="876300" cy="504825"/>
                      <wp:effectExtent l="0" t="0" r="19050" b="28575"/>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04825"/>
                              </a:xfrm>
                              <a:prstGeom prst="rect">
                                <a:avLst/>
                              </a:prstGeom>
                              <a:solidFill>
                                <a:srgbClr val="FFFFFF"/>
                              </a:solidFill>
                              <a:ln w="9525">
                                <a:solidFill>
                                  <a:srgbClr val="000000"/>
                                </a:solidFill>
                                <a:miter lim="800000"/>
                                <a:headEnd/>
                                <a:tailEnd/>
                              </a:ln>
                            </wps:spPr>
                            <wps:txbx>
                              <w:txbxContent>
                                <w:p w14:paraId="64929C04"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65pt;margin-top:4.8pt;width:69pt;height:39.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LpJQIAAE0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">
                      <v:textbox>
                        <w:txbxContent>
                          <w:p w14:paraId="64929C04"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v:textbox>
                    </v:shape>
                  </w:pict>
                </mc:Fallback>
              </mc:AlternateContent>
            </w:r>
            <w:r w:rsidRPr="00910E96">
              <w:rPr>
                <w:rFonts w:ascii="Times New Roman" w:hAnsi="Times New Roman" w:cs="Times New Roman"/>
                <w:sz w:val="20"/>
                <w:szCs w:val="20"/>
              </w:rPr>
              <w:t xml:space="preserve">Deploy world class infrastructure facilities and services </w:t>
            </w:r>
          </w:p>
          <w:p w14:paraId="721E9110" w14:textId="77777777" w:rsidR="00B45683" w:rsidRPr="00910E96" w:rsidRDefault="00B45683" w:rsidP="00B45683">
            <w:pPr>
              <w:pStyle w:val="ListParagraph"/>
              <w:numPr>
                <w:ilvl w:val="0"/>
                <w:numId w:val="7"/>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Develop and maintain an integrated safe and efficient transport network</w:t>
            </w:r>
          </w:p>
          <w:p w14:paraId="19B00F45" w14:textId="77777777" w:rsidR="00B45683" w:rsidRPr="00050430" w:rsidRDefault="00B45683" w:rsidP="00B45683">
            <w:pPr>
              <w:pStyle w:val="ListParagraph"/>
              <w:numPr>
                <w:ilvl w:val="0"/>
                <w:numId w:val="7"/>
              </w:numPr>
              <w:spacing w:line="0" w:lineRule="atLeast"/>
              <w:ind w:left="2550"/>
              <w:rPr>
                <w:rFonts w:ascii="Times New Roman" w:hAnsi="Times New Roman" w:cs="Times New Roman"/>
                <w:b/>
                <w:sz w:val="20"/>
                <w:szCs w:val="20"/>
              </w:rPr>
            </w:pPr>
            <w:r w:rsidRPr="00050430">
              <w:rPr>
                <w:rFonts w:ascii="Times New Roman" w:hAnsi="Times New Roman" w:cs="Times New Roman"/>
                <w:sz w:val="20"/>
                <w:szCs w:val="20"/>
              </w:rPr>
              <w:t>Enhance private sector participation in the provision of infrastructure facili</w:t>
            </w:r>
            <w:r>
              <w:rPr>
                <w:rFonts w:ascii="Times New Roman" w:hAnsi="Times New Roman" w:cs="Times New Roman"/>
                <w:sz w:val="20"/>
                <w:szCs w:val="20"/>
              </w:rPr>
              <w:t xml:space="preserve">ties and services strategically </w:t>
            </w:r>
            <w:r w:rsidRPr="00050430">
              <w:rPr>
                <w:rFonts w:ascii="Times New Roman" w:hAnsi="Times New Roman" w:cs="Times New Roman"/>
                <w:sz w:val="20"/>
                <w:szCs w:val="20"/>
              </w:rPr>
              <w:t>complemented by government sector interventions</w:t>
            </w:r>
          </w:p>
          <w:p w14:paraId="124698AB" w14:textId="77777777" w:rsidR="00B45683" w:rsidRPr="00910E96" w:rsidRDefault="00B45683" w:rsidP="00B45683">
            <w:pPr>
              <w:pStyle w:val="ListParagraph"/>
              <w:numPr>
                <w:ilvl w:val="0"/>
                <w:numId w:val="7"/>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 xml:space="preserve">Increase water availability in the country </w:t>
            </w:r>
          </w:p>
          <w:p w14:paraId="395BA05A" w14:textId="77777777" w:rsidR="00B45683" w:rsidRPr="00910E96" w:rsidRDefault="00B45683" w:rsidP="00443F17">
            <w:pPr>
              <w:pStyle w:val="ListParagraph"/>
              <w:spacing w:line="0" w:lineRule="atLeast"/>
              <w:ind w:firstLine="0"/>
              <w:rPr>
                <w:rFonts w:ascii="Times New Roman" w:hAnsi="Times New Roman" w:cs="Times New Roman"/>
                <w:b/>
                <w:sz w:val="20"/>
                <w:szCs w:val="20"/>
              </w:rPr>
            </w:pPr>
          </w:p>
        </w:tc>
      </w:tr>
      <w:tr w:rsidR="00B45683" w:rsidRPr="00910E96" w14:paraId="33174C78" w14:textId="77777777" w:rsidTr="000B44A7">
        <w:trPr>
          <w:jc w:val="center"/>
        </w:trPr>
        <w:tc>
          <w:tcPr>
            <w:tcW w:w="13972" w:type="dxa"/>
            <w:gridSpan w:val="3"/>
            <w:tcBorders>
              <w:bottom w:val="single" w:sz="4" w:space="0" w:color="auto"/>
            </w:tcBorders>
          </w:tcPr>
          <w:p w14:paraId="6B1CB0B7" w14:textId="77777777" w:rsidR="00D324A5" w:rsidRDefault="00D324A5" w:rsidP="00443F17">
            <w:pPr>
              <w:spacing w:line="0" w:lineRule="atLeast"/>
              <w:rPr>
                <w:rFonts w:ascii="Times New Roman" w:hAnsi="Times New Roman" w:cs="Times New Roman"/>
                <w:b/>
                <w:sz w:val="20"/>
                <w:szCs w:val="20"/>
              </w:rPr>
            </w:pPr>
          </w:p>
          <w:p w14:paraId="46B445C1" w14:textId="77777777" w:rsidR="00B45683" w:rsidRPr="00910E96" w:rsidRDefault="00B45683"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t xml:space="preserve">Issues and Obstacles: </w:t>
            </w:r>
          </w:p>
          <w:p w14:paraId="0CE4DEE6"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High growth rates alone will not have significant impact on poverty reduction without addressing equity; a more inclusive growth model that focuses on quality </w:t>
            </w:r>
            <w:r w:rsidRPr="00910E96">
              <w:rPr>
                <w:rFonts w:ascii="Times New Roman" w:hAnsi="Times New Roman" w:cs="Times New Roman"/>
                <w:sz w:val="20"/>
                <w:szCs w:val="20"/>
              </w:rPr>
              <w:lastRenderedPageBreak/>
              <w:t>job creation is needed</w:t>
            </w:r>
          </w:p>
          <w:p w14:paraId="4347D29B"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Political economy around devolution, combined with growing pains of the process may impede target growth rates in the short term</w:t>
            </w:r>
          </w:p>
          <w:p w14:paraId="35674EDD"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Implementation problems in key sectors such as urban, energy, transport and agriculture need to be addressed</w:t>
            </w:r>
          </w:p>
          <w:p w14:paraId="574943DC"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Regional integration will be important and more private sector participation is required to meet investment targets in infrastructure sectors</w:t>
            </w:r>
          </w:p>
          <w:p w14:paraId="30BD2504"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Kenya’s private sector is underperforming primarily due to constraints on infrastructure, investment climate, competitiveness; reforms that focus on the business environment, access to finance for firms, and public private partnerships are essential</w:t>
            </w:r>
          </w:p>
          <w:p w14:paraId="6341D8FA"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Economic growth and urbanization must do a better job of creating jobs and employment and internationally competitive cities</w:t>
            </w:r>
          </w:p>
          <w:p w14:paraId="702DD672"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Bridging growth of demand for energy with increases in power capacity (5,000 MW by 2017) is critical and will stimulate reduction in overall electricity prices; however the off-taker’s (KPLC) credit-worthiness needs to be safeguarded.  In addition, sustainable funding mechanisms are necessary to realize the planned 2 million new household connections where citizens benefit.</w:t>
            </w:r>
          </w:p>
          <w:p w14:paraId="2988B546" w14:textId="77777777" w:rsidR="00B45683" w:rsidRPr="00910E96" w:rsidRDefault="00B45683" w:rsidP="00443F17">
            <w:pPr>
              <w:pStyle w:val="ListParagraph"/>
              <w:spacing w:line="0" w:lineRule="atLeast"/>
              <w:rPr>
                <w:rFonts w:ascii="Times New Roman" w:hAnsi="Times New Roman" w:cs="Times New Roman"/>
                <w:sz w:val="20"/>
                <w:szCs w:val="20"/>
              </w:rPr>
            </w:pPr>
          </w:p>
          <w:p w14:paraId="7C9EFA98" w14:textId="77777777" w:rsidR="00B45683" w:rsidRPr="00910E96" w:rsidRDefault="00B45683"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t xml:space="preserve">Governance </w:t>
            </w:r>
          </w:p>
          <w:p w14:paraId="7A0093F3" w14:textId="77777777" w:rsidR="00B45683" w:rsidRPr="00910E96" w:rsidRDefault="00B45683" w:rsidP="00B45683">
            <w:pPr>
              <w:pStyle w:val="ListParagraph"/>
              <w:numPr>
                <w:ilvl w:val="0"/>
                <w:numId w:val="4"/>
              </w:numPr>
              <w:spacing w:line="0" w:lineRule="atLeast"/>
              <w:rPr>
                <w:rFonts w:ascii="Times New Roman" w:hAnsi="Times New Roman" w:cs="Times New Roman"/>
                <w:sz w:val="20"/>
                <w:szCs w:val="20"/>
              </w:rPr>
            </w:pPr>
            <w:r w:rsidRPr="00910E96">
              <w:rPr>
                <w:rFonts w:ascii="Times New Roman" w:hAnsi="Times New Roman" w:cs="Times New Roman"/>
                <w:sz w:val="20"/>
                <w:szCs w:val="20"/>
              </w:rPr>
              <w:t>Improving the governance/ enabling environment through better regulations, control of corruption, improved judiciary that impartially and speedy enforcement of contracts and administration of justice will improve the climate for doing business and attracting investments that leads to creation of more wealth and employment</w:t>
            </w:r>
          </w:p>
          <w:p w14:paraId="0338BF80" w14:textId="77777777" w:rsidR="00B45683" w:rsidRPr="00910E96" w:rsidRDefault="00B45683" w:rsidP="00443F17">
            <w:pPr>
              <w:spacing w:line="0" w:lineRule="atLeast"/>
              <w:rPr>
                <w:rFonts w:ascii="Times New Roman" w:hAnsi="Times New Roman" w:cs="Times New Roman"/>
                <w:b/>
                <w:sz w:val="20"/>
                <w:szCs w:val="20"/>
              </w:rPr>
            </w:pPr>
            <w:r w:rsidRPr="00910E96">
              <w:rPr>
                <w:rFonts w:ascii="Times New Roman" w:hAnsi="Times New Roman" w:cs="Times New Roman"/>
                <w:sz w:val="20"/>
                <w:szCs w:val="20"/>
              </w:rPr>
              <w:t xml:space="preserve"> </w:t>
            </w:r>
          </w:p>
        </w:tc>
      </w:tr>
      <w:tr w:rsidR="00F96822" w:rsidRPr="00910E96" w14:paraId="14995223" w14:textId="77777777" w:rsidTr="000B44A7">
        <w:trPr>
          <w:jc w:val="center"/>
        </w:trPr>
        <w:tc>
          <w:tcPr>
            <w:tcW w:w="4744" w:type="dxa"/>
            <w:shd w:val="pct10" w:color="auto" w:fill="auto"/>
          </w:tcPr>
          <w:p w14:paraId="1FDD6F90" w14:textId="77777777" w:rsidR="00F96822" w:rsidRPr="00F96822" w:rsidRDefault="00F96822" w:rsidP="00F96822">
            <w:pPr>
              <w:spacing w:line="0" w:lineRule="atLeast"/>
              <w:ind w:firstLine="0"/>
              <w:jc w:val="center"/>
              <w:rPr>
                <w:rFonts w:ascii="Times New Roman" w:hAnsi="Times New Roman" w:cs="Times New Roman"/>
                <w:b/>
              </w:rPr>
            </w:pPr>
            <w:r w:rsidRPr="00F96822">
              <w:rPr>
                <w:rFonts w:ascii="Times New Roman" w:hAnsi="Times New Roman" w:cs="Times New Roman"/>
                <w:b/>
              </w:rPr>
              <w:lastRenderedPageBreak/>
              <w:t>End FY18 CPS Outcomes</w:t>
            </w:r>
            <w:r w:rsidR="0071165A">
              <w:rPr>
                <w:rStyle w:val="FootnoteReference"/>
                <w:rFonts w:ascii="Times New Roman" w:hAnsi="Times New Roman" w:cs="Times New Roman"/>
                <w:b/>
              </w:rPr>
              <w:footnoteReference w:id="3"/>
            </w:r>
          </w:p>
        </w:tc>
        <w:tc>
          <w:tcPr>
            <w:tcW w:w="3918" w:type="dxa"/>
            <w:shd w:val="pct10" w:color="auto" w:fill="auto"/>
          </w:tcPr>
          <w:p w14:paraId="0D0DBB3C" w14:textId="77777777" w:rsidR="00F96822" w:rsidRPr="00F96822" w:rsidRDefault="00F96822" w:rsidP="00F96822">
            <w:pPr>
              <w:spacing w:line="0" w:lineRule="atLeast"/>
              <w:ind w:firstLine="0"/>
              <w:jc w:val="center"/>
              <w:rPr>
                <w:rFonts w:ascii="Times New Roman" w:hAnsi="Times New Roman" w:cs="Times New Roman"/>
                <w:b/>
              </w:rPr>
            </w:pPr>
            <w:r w:rsidRPr="00F96822">
              <w:rPr>
                <w:rFonts w:ascii="Times New Roman" w:hAnsi="Times New Roman" w:cs="Times New Roman"/>
                <w:b/>
              </w:rPr>
              <w:t>Selected Milestones and Outputs</w:t>
            </w:r>
          </w:p>
        </w:tc>
        <w:tc>
          <w:tcPr>
            <w:tcW w:w="5310" w:type="dxa"/>
            <w:shd w:val="pct10" w:color="auto" w:fill="auto"/>
          </w:tcPr>
          <w:p w14:paraId="62D4B10E" w14:textId="77777777" w:rsidR="00F96822" w:rsidRPr="00910E96" w:rsidRDefault="00F96822" w:rsidP="00F96822">
            <w:pPr>
              <w:spacing w:line="0" w:lineRule="atLeast"/>
              <w:ind w:firstLine="0"/>
              <w:jc w:val="center"/>
              <w:rPr>
                <w:rFonts w:ascii="Times New Roman" w:hAnsi="Times New Roman" w:cs="Times New Roman"/>
                <w:b/>
                <w:sz w:val="20"/>
                <w:szCs w:val="20"/>
              </w:rPr>
            </w:pPr>
            <w:r w:rsidRPr="00F96822">
              <w:rPr>
                <w:rFonts w:ascii="Times New Roman" w:hAnsi="Times New Roman" w:cs="Times New Roman"/>
                <w:b/>
                <w:szCs w:val="20"/>
              </w:rPr>
              <w:t>World Bank Group Program</w:t>
            </w:r>
          </w:p>
        </w:tc>
      </w:tr>
      <w:tr w:rsidR="00B45683" w:rsidRPr="00910E96" w14:paraId="479B0F1F" w14:textId="77777777" w:rsidTr="000B44A7">
        <w:trPr>
          <w:jc w:val="center"/>
        </w:trPr>
        <w:tc>
          <w:tcPr>
            <w:tcW w:w="4744" w:type="dxa"/>
          </w:tcPr>
          <w:p w14:paraId="58F0B958" w14:textId="77777777" w:rsidR="00B45683" w:rsidRPr="00101AAE" w:rsidRDefault="00B45683" w:rsidP="00443F17">
            <w:pPr>
              <w:spacing w:line="0" w:lineRule="atLeast"/>
              <w:ind w:firstLine="0"/>
              <w:jc w:val="center"/>
              <w:rPr>
                <w:rFonts w:ascii="Times New Roman" w:hAnsi="Times New Roman" w:cs="Times New Roman"/>
                <w:b/>
                <w:sz w:val="24"/>
                <w:szCs w:val="24"/>
              </w:rPr>
            </w:pPr>
            <w:r w:rsidRPr="00101AAE">
              <w:rPr>
                <w:rFonts w:ascii="Times New Roman" w:hAnsi="Times New Roman" w:cs="Times New Roman"/>
                <w:b/>
                <w:sz w:val="24"/>
                <w:szCs w:val="24"/>
              </w:rPr>
              <w:t>Outcome 1:  Enhanced Infrastructure and Logistics for Sustainable Growth</w:t>
            </w:r>
          </w:p>
          <w:p w14:paraId="26033A64" w14:textId="77777777" w:rsidR="00B45683" w:rsidRPr="00101AAE" w:rsidRDefault="00B45683" w:rsidP="00443F17">
            <w:pPr>
              <w:pStyle w:val="Default"/>
              <w:spacing w:line="0" w:lineRule="atLeast"/>
              <w:rPr>
                <w:b/>
                <w:sz w:val="20"/>
                <w:szCs w:val="20"/>
              </w:rPr>
            </w:pPr>
          </w:p>
          <w:p w14:paraId="64E3C480" w14:textId="77777777" w:rsidR="00B45683" w:rsidRPr="00101AAE" w:rsidRDefault="00B45683" w:rsidP="00443F17">
            <w:pPr>
              <w:pStyle w:val="Default"/>
              <w:spacing w:line="0" w:lineRule="atLeast"/>
              <w:ind w:firstLine="0"/>
              <w:rPr>
                <w:sz w:val="20"/>
                <w:szCs w:val="20"/>
              </w:rPr>
            </w:pPr>
            <w:r w:rsidRPr="00101AAE">
              <w:rPr>
                <w:b/>
                <w:sz w:val="20"/>
                <w:szCs w:val="20"/>
              </w:rPr>
              <w:t>Outcome 1.1:</w:t>
            </w:r>
            <w:r w:rsidRPr="00101AAE">
              <w:rPr>
                <w:sz w:val="20"/>
                <w:szCs w:val="20"/>
              </w:rPr>
              <w:t xml:space="preserve"> </w:t>
            </w:r>
            <w:r w:rsidRPr="00101AAE">
              <w:rPr>
                <w:b/>
                <w:sz w:val="20"/>
                <w:szCs w:val="20"/>
              </w:rPr>
              <w:t xml:space="preserve">Reliable and efficient energy supply, including through regional cooperation </w:t>
            </w:r>
          </w:p>
          <w:p w14:paraId="10F648DB" w14:textId="77777777" w:rsidR="00B45683" w:rsidRPr="00101AAE" w:rsidRDefault="00B45683" w:rsidP="00443F17">
            <w:pPr>
              <w:spacing w:line="0" w:lineRule="atLeast"/>
              <w:rPr>
                <w:rFonts w:ascii="Times New Roman" w:hAnsi="Times New Roman" w:cs="Times New Roman"/>
                <w:sz w:val="20"/>
                <w:szCs w:val="20"/>
              </w:rPr>
            </w:pPr>
          </w:p>
          <w:p w14:paraId="5355B1AE" w14:textId="77777777" w:rsidR="00B45683" w:rsidRPr="00101AAE" w:rsidRDefault="00B45683" w:rsidP="00B45683">
            <w:pPr>
              <w:pStyle w:val="ListParagraph"/>
              <w:numPr>
                <w:ilvl w:val="0"/>
                <w:numId w:val="5"/>
              </w:numPr>
              <w:spacing w:line="0" w:lineRule="atLeast"/>
              <w:rPr>
                <w:rFonts w:ascii="Times New Roman" w:hAnsi="Times New Roman" w:cs="Times New Roman"/>
                <w:sz w:val="20"/>
                <w:szCs w:val="20"/>
              </w:rPr>
            </w:pPr>
            <w:r w:rsidRPr="00101AAE">
              <w:rPr>
                <w:rFonts w:ascii="Times New Roman" w:hAnsi="Times New Roman" w:cs="Times New Roman"/>
                <w:sz w:val="20"/>
                <w:szCs w:val="20"/>
              </w:rPr>
              <w:t>Installed generation capacity from diversified sources (geothermal, thermal, wind) (MW)</w:t>
            </w:r>
            <w:r w:rsidRPr="00101AAE">
              <w:rPr>
                <w:rFonts w:ascii="Times New Roman" w:hAnsi="Times New Roman" w:cs="Times New Roman"/>
                <w:sz w:val="16"/>
                <w:szCs w:val="20"/>
              </w:rPr>
              <w:t>*</w:t>
            </w:r>
          </w:p>
          <w:p w14:paraId="198E3BED" w14:textId="77777777" w:rsidR="00B45683" w:rsidRPr="00101AAE" w:rsidRDefault="00B45683" w:rsidP="00443F17">
            <w:pPr>
              <w:pStyle w:val="ListParagraph"/>
              <w:spacing w:line="0" w:lineRule="atLeast"/>
              <w:ind w:left="360"/>
              <w:rPr>
                <w:rFonts w:ascii="Times New Roman" w:hAnsi="Times New Roman" w:cs="Times New Roman"/>
                <w:sz w:val="20"/>
                <w:szCs w:val="20"/>
              </w:rPr>
            </w:pPr>
            <w:r w:rsidRPr="00101AAE">
              <w:rPr>
                <w:rFonts w:ascii="Times New Roman" w:hAnsi="Times New Roman" w:cs="Times New Roman"/>
                <w:sz w:val="20"/>
                <w:szCs w:val="20"/>
              </w:rPr>
              <w:t>Baseline:  1,765 MW (2013)</w:t>
            </w:r>
          </w:p>
          <w:p w14:paraId="009DB32A" w14:textId="77777777" w:rsidR="00B45683" w:rsidRPr="00101AAE" w:rsidRDefault="00B45683" w:rsidP="00443F17">
            <w:pPr>
              <w:pStyle w:val="ListParagraph"/>
              <w:spacing w:line="0" w:lineRule="atLeast"/>
              <w:ind w:left="360"/>
              <w:rPr>
                <w:rFonts w:ascii="Times New Roman" w:hAnsi="Times New Roman" w:cs="Times New Roman"/>
                <w:sz w:val="20"/>
                <w:szCs w:val="20"/>
              </w:rPr>
            </w:pPr>
            <w:r w:rsidRPr="00101AAE">
              <w:rPr>
                <w:rFonts w:ascii="Times New Roman" w:hAnsi="Times New Roman" w:cs="Times New Roman"/>
                <w:sz w:val="20"/>
                <w:szCs w:val="20"/>
              </w:rPr>
              <w:t>Target:  4,065 MW (2018)</w:t>
            </w:r>
          </w:p>
          <w:p w14:paraId="3CEF1159" w14:textId="77777777" w:rsidR="005650F1" w:rsidRPr="00101AAE" w:rsidRDefault="005650F1" w:rsidP="00443F17">
            <w:pPr>
              <w:pStyle w:val="ListParagraph"/>
              <w:spacing w:line="0" w:lineRule="atLeast"/>
              <w:ind w:left="360"/>
              <w:rPr>
                <w:rFonts w:ascii="Times New Roman" w:hAnsi="Times New Roman" w:cs="Times New Roman"/>
                <w:sz w:val="20"/>
                <w:szCs w:val="20"/>
              </w:rPr>
            </w:pPr>
          </w:p>
          <w:p w14:paraId="3A795AED" w14:textId="77777777" w:rsidR="005650F1" w:rsidRPr="00101AAE" w:rsidRDefault="005650F1" w:rsidP="005650F1">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w:t>
            </w:r>
            <w:r w:rsidRPr="00101AAE">
              <w:rPr>
                <w:rFonts w:ascii="Times New Roman" w:hAnsi="Times New Roman" w:cs="Times New Roman"/>
                <w:i/>
                <w:sz w:val="20"/>
                <w:szCs w:val="20"/>
              </w:rPr>
              <w:t xml:space="preserve">This indicator is </w:t>
            </w:r>
            <w:r w:rsidR="008D439F" w:rsidRPr="00101AAE">
              <w:rPr>
                <w:rFonts w:ascii="Times New Roman" w:hAnsi="Times New Roman" w:cs="Times New Roman"/>
                <w:i/>
                <w:sz w:val="20"/>
                <w:szCs w:val="20"/>
              </w:rPr>
              <w:t xml:space="preserve">part of the </w:t>
            </w:r>
            <w:r w:rsidR="0071165A" w:rsidRPr="00101AAE">
              <w:rPr>
                <w:rFonts w:ascii="Times New Roman" w:hAnsi="Times New Roman" w:cs="Times New Roman"/>
                <w:i/>
                <w:sz w:val="20"/>
                <w:szCs w:val="20"/>
              </w:rPr>
              <w:t>implementation plan</w:t>
            </w:r>
            <w:r w:rsidR="008D439F" w:rsidRPr="00101AAE">
              <w:rPr>
                <w:rFonts w:ascii="Times New Roman" w:hAnsi="Times New Roman" w:cs="Times New Roman"/>
                <w:i/>
                <w:sz w:val="20"/>
                <w:szCs w:val="20"/>
              </w:rPr>
              <w:t xml:space="preserve"> of the Second Medium Term Plan (MTP) 2013-2017</w:t>
            </w:r>
            <w:r w:rsidRPr="00101AAE">
              <w:rPr>
                <w:rFonts w:ascii="Times New Roman" w:hAnsi="Times New Roman" w:cs="Times New Roman"/>
                <w:sz w:val="20"/>
                <w:szCs w:val="20"/>
              </w:rPr>
              <w:t xml:space="preserve"> </w:t>
            </w:r>
          </w:p>
          <w:p w14:paraId="5CA20200" w14:textId="77777777" w:rsidR="008D439F" w:rsidRPr="00101AAE" w:rsidRDefault="008D439F" w:rsidP="005650F1">
            <w:pPr>
              <w:spacing w:line="0" w:lineRule="atLeast"/>
              <w:ind w:firstLine="0"/>
              <w:rPr>
                <w:rFonts w:ascii="Times New Roman" w:hAnsi="Times New Roman" w:cs="Times New Roman"/>
                <w:sz w:val="20"/>
                <w:szCs w:val="20"/>
              </w:rPr>
            </w:pPr>
          </w:p>
          <w:p w14:paraId="4E3393EA" w14:textId="77777777" w:rsidR="00B45683" w:rsidRPr="00101AAE" w:rsidRDefault="00B45683" w:rsidP="00B45683">
            <w:pPr>
              <w:pStyle w:val="ListParagraph"/>
              <w:numPr>
                <w:ilvl w:val="0"/>
                <w:numId w:val="5"/>
              </w:numPr>
              <w:spacing w:line="0" w:lineRule="atLeast"/>
              <w:rPr>
                <w:rFonts w:ascii="Times New Roman" w:hAnsi="Times New Roman" w:cs="Times New Roman"/>
                <w:sz w:val="20"/>
                <w:szCs w:val="20"/>
              </w:rPr>
            </w:pPr>
            <w:r w:rsidRPr="00101AAE">
              <w:rPr>
                <w:rFonts w:ascii="Times New Roman" w:hAnsi="Times New Roman" w:cs="Times New Roman"/>
                <w:sz w:val="20"/>
                <w:szCs w:val="20"/>
              </w:rPr>
              <w:t>System loss reduction (% of output)</w:t>
            </w:r>
            <w:r w:rsidR="008D439F" w:rsidRPr="00101AAE">
              <w:rPr>
                <w:rStyle w:val="FootnoteReference"/>
                <w:rFonts w:ascii="Times New Roman" w:hAnsi="Times New Roman" w:cs="Times New Roman"/>
                <w:sz w:val="20"/>
                <w:szCs w:val="20"/>
              </w:rPr>
              <w:footnoteReference w:customMarkFollows="1" w:id="4"/>
              <w:sym w:font="Symbol" w:char="F02A"/>
            </w:r>
          </w:p>
          <w:p w14:paraId="2BBE50A6" w14:textId="77777777" w:rsidR="00B45683" w:rsidRPr="00101AAE" w:rsidRDefault="00B45683" w:rsidP="00443F17">
            <w:pPr>
              <w:pStyle w:val="ListParagraph"/>
              <w:spacing w:line="0" w:lineRule="atLeast"/>
              <w:ind w:left="360"/>
              <w:rPr>
                <w:rFonts w:ascii="Times New Roman" w:hAnsi="Times New Roman" w:cs="Times New Roman"/>
                <w:sz w:val="20"/>
                <w:szCs w:val="20"/>
              </w:rPr>
            </w:pPr>
            <w:r w:rsidRPr="00101AAE">
              <w:rPr>
                <w:rFonts w:ascii="Times New Roman" w:hAnsi="Times New Roman" w:cs="Times New Roman"/>
                <w:sz w:val="20"/>
                <w:szCs w:val="20"/>
              </w:rPr>
              <w:t>Baseline: 18.7%  of output (2013)</w:t>
            </w:r>
          </w:p>
          <w:p w14:paraId="3F28C593" w14:textId="77777777" w:rsidR="00B45683" w:rsidRPr="00101AAE" w:rsidRDefault="00B45683" w:rsidP="00443F17">
            <w:pPr>
              <w:pStyle w:val="ListParagraph"/>
              <w:spacing w:line="0" w:lineRule="atLeast"/>
              <w:ind w:left="360"/>
              <w:rPr>
                <w:rFonts w:ascii="Times New Roman" w:hAnsi="Times New Roman" w:cs="Times New Roman"/>
                <w:sz w:val="20"/>
                <w:szCs w:val="20"/>
              </w:rPr>
            </w:pPr>
            <w:r w:rsidRPr="00101AAE">
              <w:rPr>
                <w:rFonts w:ascii="Times New Roman" w:hAnsi="Times New Roman" w:cs="Times New Roman"/>
                <w:sz w:val="20"/>
                <w:szCs w:val="20"/>
              </w:rPr>
              <w:t>Target: 15.9% of output (2018)</w:t>
            </w:r>
          </w:p>
          <w:p w14:paraId="1A306701" w14:textId="77777777" w:rsidR="00B45683" w:rsidRPr="00101AAE" w:rsidRDefault="00B45683" w:rsidP="00443F17">
            <w:pPr>
              <w:pStyle w:val="ListParagraph"/>
              <w:spacing w:line="0" w:lineRule="atLeast"/>
              <w:ind w:left="360"/>
              <w:rPr>
                <w:rFonts w:ascii="Times New Roman" w:hAnsi="Times New Roman" w:cs="Times New Roman"/>
                <w:sz w:val="20"/>
                <w:szCs w:val="20"/>
              </w:rPr>
            </w:pPr>
          </w:p>
          <w:p w14:paraId="4DEC5998" w14:textId="77777777" w:rsidR="00B45683" w:rsidRPr="00101AAE" w:rsidRDefault="00B45683" w:rsidP="00443F17">
            <w:pPr>
              <w:pStyle w:val="ListParagraph"/>
              <w:spacing w:line="0" w:lineRule="atLeast"/>
              <w:ind w:left="360"/>
              <w:rPr>
                <w:rFonts w:ascii="Times New Roman" w:hAnsi="Times New Roman" w:cs="Times New Roman"/>
                <w:sz w:val="20"/>
                <w:szCs w:val="20"/>
              </w:rPr>
            </w:pPr>
          </w:p>
        </w:tc>
        <w:tc>
          <w:tcPr>
            <w:tcW w:w="3918" w:type="dxa"/>
          </w:tcPr>
          <w:p w14:paraId="7F35F9F3" w14:textId="77777777" w:rsidR="00B45683" w:rsidRPr="00101AAE" w:rsidRDefault="00B45683" w:rsidP="00B45683">
            <w:pPr>
              <w:pStyle w:val="ListParagraph"/>
              <w:numPr>
                <w:ilvl w:val="0"/>
                <w:numId w:val="10"/>
              </w:numPr>
              <w:spacing w:line="0" w:lineRule="atLeast"/>
              <w:ind w:left="432"/>
              <w:rPr>
                <w:rFonts w:ascii="Times New Roman" w:hAnsi="Times New Roman" w:cs="Times New Roman"/>
                <w:sz w:val="20"/>
                <w:szCs w:val="20"/>
              </w:rPr>
            </w:pPr>
            <w:r w:rsidRPr="00101AAE">
              <w:rPr>
                <w:rFonts w:ascii="Times New Roman" w:hAnsi="Times New Roman" w:cs="Times New Roman"/>
                <w:sz w:val="20"/>
                <w:szCs w:val="20"/>
              </w:rPr>
              <w:t>The Ethiopian- Kenya 500kV, 200MW capacity line and converter substations are commissioned by 2017.</w:t>
            </w:r>
          </w:p>
          <w:p w14:paraId="54C2E865" w14:textId="77777777" w:rsidR="00B45683" w:rsidRPr="00101AAE" w:rsidRDefault="00B45683" w:rsidP="00B45683">
            <w:pPr>
              <w:pStyle w:val="ListParagraph"/>
              <w:numPr>
                <w:ilvl w:val="0"/>
                <w:numId w:val="10"/>
              </w:numPr>
              <w:tabs>
                <w:tab w:val="left" w:pos="108"/>
              </w:tabs>
              <w:spacing w:line="0" w:lineRule="atLeast"/>
              <w:ind w:left="432"/>
              <w:rPr>
                <w:rFonts w:ascii="Times New Roman" w:hAnsi="Times New Roman" w:cs="Times New Roman"/>
                <w:sz w:val="20"/>
                <w:szCs w:val="20"/>
              </w:rPr>
            </w:pPr>
            <w:r w:rsidRPr="00101AAE">
              <w:rPr>
                <w:rFonts w:ascii="Times New Roman" w:hAnsi="Times New Roman" w:cs="Times New Roman"/>
                <w:sz w:val="20"/>
                <w:szCs w:val="20"/>
              </w:rPr>
              <w:t>Construction of 330km of transmission lines and 2,300km distribution lines together with associated substations by 2016</w:t>
            </w:r>
          </w:p>
          <w:p w14:paraId="545A541D" w14:textId="77777777" w:rsidR="00B45683" w:rsidRPr="00101AAE" w:rsidRDefault="00B45683" w:rsidP="00B45683">
            <w:pPr>
              <w:pStyle w:val="ListParagraph"/>
              <w:numPr>
                <w:ilvl w:val="0"/>
                <w:numId w:val="10"/>
              </w:numPr>
              <w:tabs>
                <w:tab w:val="left" w:pos="828"/>
              </w:tabs>
              <w:spacing w:line="0" w:lineRule="atLeast"/>
              <w:ind w:left="432"/>
              <w:rPr>
                <w:rFonts w:ascii="Times New Roman" w:hAnsi="Times New Roman" w:cs="Times New Roman"/>
                <w:sz w:val="20"/>
                <w:szCs w:val="20"/>
              </w:rPr>
            </w:pPr>
            <w:r w:rsidRPr="00101AAE">
              <w:rPr>
                <w:rFonts w:ascii="Times New Roman" w:hAnsi="Times New Roman" w:cs="Times New Roman"/>
                <w:sz w:val="20"/>
                <w:szCs w:val="20"/>
              </w:rPr>
              <w:t xml:space="preserve">System to measure system availability and repair times implemented </w:t>
            </w:r>
          </w:p>
          <w:p w14:paraId="2859CC2E" w14:textId="77777777" w:rsidR="00B45683" w:rsidRPr="00101AAE" w:rsidRDefault="00B45683" w:rsidP="00443F17">
            <w:pPr>
              <w:spacing w:line="0" w:lineRule="atLeast"/>
              <w:rPr>
                <w:rFonts w:ascii="Times New Roman" w:hAnsi="Times New Roman" w:cs="Times New Roman"/>
                <w:sz w:val="20"/>
                <w:szCs w:val="20"/>
              </w:rPr>
            </w:pPr>
          </w:p>
        </w:tc>
        <w:tc>
          <w:tcPr>
            <w:tcW w:w="5310" w:type="dxa"/>
          </w:tcPr>
          <w:p w14:paraId="17FACCEA" w14:textId="77777777" w:rsidR="00B45683" w:rsidRPr="00101AAE" w:rsidRDefault="00B45683"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b/>
                <w:sz w:val="20"/>
                <w:szCs w:val="20"/>
              </w:rPr>
              <w:t xml:space="preserve">Ongoing: </w:t>
            </w:r>
          </w:p>
          <w:p w14:paraId="0B93FC6F"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i/>
                <w:sz w:val="20"/>
                <w:szCs w:val="20"/>
              </w:rPr>
              <w:t>World Bank:</w:t>
            </w:r>
            <w:r w:rsidRPr="00101AAE">
              <w:rPr>
                <w:rFonts w:ascii="Times New Roman" w:hAnsi="Times New Roman" w:cs="Times New Roman"/>
                <w:sz w:val="20"/>
                <w:szCs w:val="20"/>
              </w:rPr>
              <w:t xml:space="preserve"> </w:t>
            </w:r>
          </w:p>
          <w:p w14:paraId="4747F67B"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 xml:space="preserve">[P083131] KE </w:t>
            </w:r>
            <w:r w:rsidRPr="00101AAE">
              <w:rPr>
                <w:rFonts w:ascii="Times New Roman" w:hAnsi="Times New Roman" w:cs="Times New Roman"/>
                <w:bCs/>
                <w:sz w:val="20"/>
                <w:szCs w:val="20"/>
              </w:rPr>
              <w:t xml:space="preserve">Energy Sec Recovery; </w:t>
            </w:r>
            <w:r w:rsidRPr="00101AAE">
              <w:rPr>
                <w:rFonts w:ascii="Times New Roman" w:hAnsi="Times New Roman" w:cs="Times New Roman"/>
                <w:sz w:val="20"/>
                <w:szCs w:val="20"/>
              </w:rPr>
              <w:t xml:space="preserve">[P103037] KE Electricity Expansion Project; [P126579] Eastern Electricity Highway Project; [P122671] Kenya Private Sector Power Generation Support; P125388] KE GPOBA Kenya Electricity; [P083131] KE </w:t>
            </w:r>
            <w:r w:rsidRPr="00101AAE">
              <w:rPr>
                <w:rFonts w:ascii="Times New Roman" w:hAnsi="Times New Roman" w:cs="Times New Roman"/>
                <w:bCs/>
                <w:sz w:val="20"/>
                <w:szCs w:val="20"/>
              </w:rPr>
              <w:t xml:space="preserve">Energy Sec Recovery Project; </w:t>
            </w:r>
            <w:r w:rsidRPr="00101AAE">
              <w:rPr>
                <w:rFonts w:ascii="Times New Roman" w:hAnsi="Times New Roman" w:cs="Times New Roman"/>
                <w:sz w:val="20"/>
                <w:szCs w:val="20"/>
              </w:rPr>
              <w:t xml:space="preserve">[P103037] KE Electricity Expansion Project; [P133675] Powering Kenya's Future: Future Role of the Public and Private Sectors (ESW) </w:t>
            </w:r>
          </w:p>
          <w:p w14:paraId="2EC7A374" w14:textId="77777777" w:rsidR="00B45683" w:rsidRPr="00101AAE" w:rsidRDefault="00B45683" w:rsidP="00443F17">
            <w:pPr>
              <w:spacing w:line="0" w:lineRule="atLeast"/>
              <w:rPr>
                <w:rFonts w:ascii="Times New Roman" w:hAnsi="Times New Roman" w:cs="Times New Roman"/>
                <w:sz w:val="20"/>
                <w:szCs w:val="20"/>
              </w:rPr>
            </w:pPr>
          </w:p>
          <w:p w14:paraId="3BD659A8" w14:textId="77777777" w:rsidR="00B45683" w:rsidRPr="00101AAE" w:rsidRDefault="00B45683"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i/>
                <w:sz w:val="20"/>
                <w:szCs w:val="20"/>
              </w:rPr>
              <w:t>IFC:</w:t>
            </w:r>
            <w:r w:rsidRPr="00101AAE">
              <w:rPr>
                <w:rFonts w:ascii="Times New Roman" w:hAnsi="Times New Roman" w:cs="Times New Roman"/>
                <w:b/>
                <w:sz w:val="20"/>
                <w:szCs w:val="20"/>
              </w:rPr>
              <w:t xml:space="preserve"> </w:t>
            </w:r>
            <w:r w:rsidRPr="00101AAE">
              <w:rPr>
                <w:rFonts w:ascii="Times New Roman" w:hAnsi="Times New Roman" w:cs="Times New Roman"/>
                <w:sz w:val="20"/>
                <w:szCs w:val="20"/>
              </w:rPr>
              <w:t>[</w:t>
            </w:r>
            <w:r w:rsidRPr="00101AAE">
              <w:rPr>
                <w:rFonts w:ascii="Times New Roman" w:hAnsi="Times New Roman" w:cs="Times New Roman"/>
                <w:color w:val="000000"/>
                <w:sz w:val="20"/>
                <w:szCs w:val="20"/>
              </w:rPr>
              <w:t>IFPPP]</w:t>
            </w:r>
          </w:p>
          <w:p w14:paraId="293A4492" w14:textId="77777777" w:rsidR="00B45683" w:rsidRPr="00101AAE" w:rsidRDefault="00B45683" w:rsidP="00443F17">
            <w:pPr>
              <w:spacing w:line="0" w:lineRule="atLeast"/>
              <w:ind w:firstLine="0"/>
              <w:rPr>
                <w:rFonts w:ascii="Times New Roman" w:hAnsi="Times New Roman" w:cs="Times New Roman"/>
                <w:color w:val="000000"/>
                <w:sz w:val="20"/>
                <w:szCs w:val="20"/>
              </w:rPr>
            </w:pPr>
            <w:r w:rsidRPr="00101AAE">
              <w:rPr>
                <w:rFonts w:ascii="Times New Roman" w:hAnsi="Times New Roman" w:cs="Times New Roman"/>
                <w:color w:val="000000"/>
                <w:sz w:val="20"/>
                <w:szCs w:val="20"/>
              </w:rPr>
              <w:t xml:space="preserve">[29801] </w:t>
            </w:r>
            <w:proofErr w:type="spellStart"/>
            <w:r w:rsidRPr="00101AAE">
              <w:rPr>
                <w:rFonts w:ascii="Times New Roman" w:hAnsi="Times New Roman" w:cs="Times New Roman"/>
                <w:color w:val="000000"/>
                <w:sz w:val="20"/>
                <w:szCs w:val="20"/>
              </w:rPr>
              <w:t>Thika</w:t>
            </w:r>
            <w:proofErr w:type="spellEnd"/>
            <w:r w:rsidRPr="00101AAE">
              <w:rPr>
                <w:rFonts w:ascii="Times New Roman" w:hAnsi="Times New Roman" w:cs="Times New Roman"/>
                <w:color w:val="000000"/>
                <w:sz w:val="20"/>
                <w:szCs w:val="20"/>
              </w:rPr>
              <w:t xml:space="preserve"> IPP (Investment); [29418] Gulf Power Ltd (Investment); [8917] </w:t>
            </w:r>
            <w:proofErr w:type="spellStart"/>
            <w:r w:rsidRPr="00101AAE">
              <w:rPr>
                <w:rFonts w:ascii="Times New Roman" w:hAnsi="Times New Roman" w:cs="Times New Roman"/>
                <w:color w:val="000000"/>
                <w:sz w:val="20"/>
                <w:szCs w:val="20"/>
              </w:rPr>
              <w:t>Kipevu</w:t>
            </w:r>
            <w:proofErr w:type="spellEnd"/>
            <w:r w:rsidRPr="00101AAE">
              <w:rPr>
                <w:rFonts w:ascii="Times New Roman" w:hAnsi="Times New Roman" w:cs="Times New Roman"/>
                <w:color w:val="000000"/>
                <w:sz w:val="20"/>
                <w:szCs w:val="20"/>
              </w:rPr>
              <w:t xml:space="preserve"> II Power Project (Investment); [28550] Kenya Power and Lighting Company (Investment); [592107] Kenya – Utility  Efficiency in Africa Program (Advisory Services); [590607] Kenya Investment Climate Power Project (Advisory Services); [555905] Lighting Kenya (Advisory Services) [P148371] Realizing PPP opportunities (ESW); KICP2 NLTA on business environment reform; NLTA on export competitiveness and innovation; NLTA on </w:t>
            </w:r>
            <w:r w:rsidRPr="00101AAE">
              <w:rPr>
                <w:rFonts w:ascii="Times New Roman" w:hAnsi="Times New Roman" w:cs="Times New Roman"/>
                <w:color w:val="000000"/>
                <w:sz w:val="20"/>
                <w:szCs w:val="20"/>
              </w:rPr>
              <w:lastRenderedPageBreak/>
              <w:t xml:space="preserve">investment climate diagnostics; KICP2 NLTA on trade and competitiveness; </w:t>
            </w:r>
          </w:p>
          <w:p w14:paraId="3B6553E8" w14:textId="77777777" w:rsidR="00B45683" w:rsidRPr="00101AAE" w:rsidRDefault="00B45683"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color w:val="000000"/>
                <w:sz w:val="20"/>
                <w:szCs w:val="20"/>
              </w:rPr>
              <w:t>Financial innovation NLTA</w:t>
            </w:r>
          </w:p>
          <w:p w14:paraId="3950ADF8" w14:textId="77777777" w:rsidR="00B45683" w:rsidRPr="00101AAE" w:rsidRDefault="00B45683" w:rsidP="00443F17">
            <w:pPr>
              <w:spacing w:line="0" w:lineRule="atLeast"/>
              <w:ind w:firstLine="0"/>
              <w:jc w:val="left"/>
              <w:rPr>
                <w:rFonts w:ascii="Times New Roman" w:hAnsi="Times New Roman" w:cs="Times New Roman"/>
                <w:i/>
                <w:sz w:val="20"/>
                <w:szCs w:val="20"/>
              </w:rPr>
            </w:pPr>
            <w:r w:rsidRPr="00101AAE">
              <w:rPr>
                <w:rFonts w:ascii="Times New Roman" w:hAnsi="Times New Roman" w:cs="Times New Roman"/>
                <w:i/>
                <w:sz w:val="20"/>
                <w:szCs w:val="20"/>
              </w:rPr>
              <w:t>MIGA:</w:t>
            </w:r>
          </w:p>
          <w:p w14:paraId="672ECFE5" w14:textId="77777777" w:rsidR="00B45683" w:rsidRPr="00101AAE" w:rsidRDefault="00B45683" w:rsidP="00443F17">
            <w:pPr>
              <w:spacing w:line="0" w:lineRule="atLeast"/>
              <w:ind w:firstLine="0"/>
              <w:jc w:val="left"/>
              <w:rPr>
                <w:rFonts w:ascii="Times New Roman" w:hAnsi="Times New Roman" w:cs="Times New Roman"/>
                <w:sz w:val="20"/>
                <w:szCs w:val="20"/>
              </w:rPr>
            </w:pPr>
            <w:r w:rsidRPr="00101AAE">
              <w:rPr>
                <w:rFonts w:ascii="Times New Roman" w:hAnsi="Times New Roman" w:cs="Times New Roman"/>
                <w:sz w:val="20"/>
                <w:szCs w:val="20"/>
              </w:rPr>
              <w:t xml:space="preserve">[9993] Triumph Power Generating Company Limited; [3658] </w:t>
            </w:r>
            <w:proofErr w:type="spellStart"/>
            <w:r w:rsidRPr="00101AAE">
              <w:rPr>
                <w:rFonts w:ascii="Times New Roman" w:hAnsi="Times New Roman" w:cs="Times New Roman"/>
                <w:sz w:val="20"/>
                <w:szCs w:val="20"/>
              </w:rPr>
              <w:t>OrPower</w:t>
            </w:r>
            <w:proofErr w:type="spellEnd"/>
            <w:r w:rsidRPr="00101AAE">
              <w:rPr>
                <w:rFonts w:ascii="Times New Roman" w:hAnsi="Times New Roman" w:cs="Times New Roman"/>
                <w:sz w:val="20"/>
                <w:szCs w:val="20"/>
              </w:rPr>
              <w:t xml:space="preserve"> 4, Inc.; [9722] </w:t>
            </w:r>
            <w:proofErr w:type="spellStart"/>
            <w:r w:rsidRPr="00101AAE">
              <w:rPr>
                <w:rFonts w:ascii="Times New Roman" w:hAnsi="Times New Roman" w:cs="Times New Roman"/>
                <w:sz w:val="20"/>
                <w:szCs w:val="20"/>
              </w:rPr>
              <w:t>Thika</w:t>
            </w:r>
            <w:proofErr w:type="spellEnd"/>
            <w:r w:rsidRPr="00101AAE">
              <w:rPr>
                <w:rFonts w:ascii="Times New Roman" w:hAnsi="Times New Roman" w:cs="Times New Roman"/>
                <w:sz w:val="20"/>
                <w:szCs w:val="20"/>
              </w:rPr>
              <w:t xml:space="preserve"> Power Ltd.</w:t>
            </w:r>
          </w:p>
          <w:p w14:paraId="09EA6501" w14:textId="77777777" w:rsidR="00B45683" w:rsidRPr="00101AAE" w:rsidRDefault="00B45683" w:rsidP="00443F17">
            <w:pPr>
              <w:spacing w:line="0" w:lineRule="atLeast"/>
              <w:ind w:firstLine="0"/>
              <w:jc w:val="left"/>
              <w:rPr>
                <w:rFonts w:ascii="Times New Roman" w:hAnsi="Times New Roman" w:cs="Times New Roman"/>
                <w:i/>
                <w:sz w:val="20"/>
                <w:szCs w:val="20"/>
              </w:rPr>
            </w:pPr>
          </w:p>
          <w:p w14:paraId="00317E8E"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b/>
                <w:sz w:val="20"/>
                <w:szCs w:val="20"/>
              </w:rPr>
              <w:t>Planned</w:t>
            </w:r>
          </w:p>
          <w:p w14:paraId="05D0C0FE" w14:textId="77777777" w:rsidR="00B45683" w:rsidRPr="00101AAE" w:rsidRDefault="00B45683" w:rsidP="00443F17">
            <w:pPr>
              <w:spacing w:line="0" w:lineRule="atLeast"/>
              <w:ind w:firstLine="0"/>
              <w:rPr>
                <w:rFonts w:ascii="Times New Roman" w:hAnsi="Times New Roman" w:cs="Times New Roman"/>
                <w:i/>
                <w:sz w:val="20"/>
                <w:szCs w:val="20"/>
              </w:rPr>
            </w:pPr>
            <w:r w:rsidRPr="00101AAE">
              <w:rPr>
                <w:rFonts w:ascii="Times New Roman" w:hAnsi="Times New Roman" w:cs="Times New Roman"/>
                <w:i/>
                <w:sz w:val="20"/>
                <w:szCs w:val="20"/>
              </w:rPr>
              <w:t>World Bank:</w:t>
            </w:r>
          </w:p>
          <w:p w14:paraId="3488749E"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 xml:space="preserve">[P129910] KE </w:t>
            </w:r>
            <w:proofErr w:type="spellStart"/>
            <w:r w:rsidRPr="00101AAE">
              <w:rPr>
                <w:rFonts w:ascii="Times New Roman" w:hAnsi="Times New Roman" w:cs="Times New Roman"/>
                <w:sz w:val="20"/>
                <w:szCs w:val="20"/>
              </w:rPr>
              <w:t>Menengai</w:t>
            </w:r>
            <w:proofErr w:type="spellEnd"/>
            <w:r w:rsidRPr="00101AAE">
              <w:rPr>
                <w:rFonts w:ascii="Times New Roman" w:hAnsi="Times New Roman" w:cs="Times New Roman"/>
                <w:sz w:val="20"/>
                <w:szCs w:val="20"/>
              </w:rPr>
              <w:t xml:space="preserve"> Geothermal Project; [P120014] KE Energy Modernization Project; [P14234] Kenya Petroleum Technical Assistance Project (TA); [P132836] Financial Sector Development in Kenya (TA); [P147897] Financial Sector Innovation (TA)</w:t>
            </w:r>
          </w:p>
          <w:p w14:paraId="71EE96EA" w14:textId="77777777" w:rsidR="00B45683" w:rsidRPr="00101AAE" w:rsidRDefault="00B45683" w:rsidP="00443F17">
            <w:pPr>
              <w:spacing w:line="0" w:lineRule="atLeast"/>
              <w:rPr>
                <w:rFonts w:ascii="Times New Roman" w:hAnsi="Times New Roman" w:cs="Times New Roman"/>
                <w:i/>
                <w:sz w:val="20"/>
                <w:szCs w:val="20"/>
              </w:rPr>
            </w:pPr>
          </w:p>
          <w:p w14:paraId="69208DE6" w14:textId="77777777" w:rsidR="00B45683" w:rsidRPr="00101AAE" w:rsidRDefault="00B45683" w:rsidP="00443F17">
            <w:pPr>
              <w:spacing w:line="0" w:lineRule="atLeast"/>
              <w:ind w:hanging="18"/>
              <w:rPr>
                <w:rFonts w:ascii="Times New Roman" w:hAnsi="Times New Roman" w:cs="Times New Roman"/>
                <w:sz w:val="20"/>
                <w:szCs w:val="20"/>
              </w:rPr>
            </w:pPr>
            <w:r w:rsidRPr="00101AAE">
              <w:rPr>
                <w:rFonts w:ascii="Times New Roman" w:hAnsi="Times New Roman" w:cs="Times New Roman"/>
                <w:i/>
                <w:sz w:val="20"/>
                <w:szCs w:val="20"/>
              </w:rPr>
              <w:t>IFC:</w:t>
            </w:r>
            <w:r w:rsidRPr="00101AAE">
              <w:rPr>
                <w:rFonts w:ascii="Times New Roman" w:hAnsi="Times New Roman" w:cs="Times New Roman"/>
                <w:sz w:val="20"/>
                <w:szCs w:val="20"/>
              </w:rPr>
              <w:t xml:space="preserve"> </w:t>
            </w:r>
          </w:p>
          <w:p w14:paraId="20F08E98" w14:textId="77777777" w:rsidR="00B45683" w:rsidRPr="00101AAE" w:rsidRDefault="00B45683" w:rsidP="00443F17">
            <w:pPr>
              <w:spacing w:line="0" w:lineRule="atLeast"/>
              <w:ind w:hanging="18"/>
              <w:rPr>
                <w:rFonts w:ascii="Times New Roman" w:hAnsi="Times New Roman" w:cs="Times New Roman"/>
                <w:sz w:val="20"/>
                <w:szCs w:val="20"/>
              </w:rPr>
            </w:pPr>
            <w:r w:rsidRPr="00101AAE">
              <w:rPr>
                <w:rFonts w:ascii="Times New Roman" w:hAnsi="Times New Roman" w:cs="Times New Roman"/>
                <w:sz w:val="20"/>
                <w:szCs w:val="20"/>
              </w:rPr>
              <w:t>A</w:t>
            </w:r>
            <w:r w:rsidRPr="00101AAE">
              <w:rPr>
                <w:rFonts w:ascii="Times New Roman" w:hAnsi="Times New Roman" w:cs="Times New Roman"/>
                <w:color w:val="000000"/>
                <w:sz w:val="20"/>
                <w:szCs w:val="20"/>
              </w:rPr>
              <w:t>dditional financing for SEZ program; AAA on PPPs; Scale up of KICP2 NLTA on business environment reforms; AAA on investment climate diagnostics; AAA on sector competitiveness including services, agribusiness and extractive industries; AAA on financial sector development; New financial sector operation.</w:t>
            </w:r>
          </w:p>
        </w:tc>
      </w:tr>
      <w:tr w:rsidR="00B45683" w:rsidRPr="00910E96" w14:paraId="48EF2EFC" w14:textId="77777777" w:rsidTr="000B44A7">
        <w:trPr>
          <w:trHeight w:val="2397"/>
          <w:jc w:val="center"/>
        </w:trPr>
        <w:tc>
          <w:tcPr>
            <w:tcW w:w="4744" w:type="dxa"/>
          </w:tcPr>
          <w:p w14:paraId="229FF10E" w14:textId="77777777" w:rsidR="00B45683" w:rsidRPr="00101AAE" w:rsidRDefault="00B45683"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b/>
                <w:sz w:val="20"/>
                <w:szCs w:val="20"/>
              </w:rPr>
              <w:lastRenderedPageBreak/>
              <w:t xml:space="preserve">Outcome 1.2: </w:t>
            </w:r>
            <w:r w:rsidRPr="00101AAE">
              <w:rPr>
                <w:rFonts w:ascii="Times New Roman" w:hAnsi="Times New Roman" w:cs="Times New Roman"/>
                <w:b/>
                <w:color w:val="000000"/>
                <w:sz w:val="20"/>
                <w:szCs w:val="20"/>
              </w:rPr>
              <w:t>Enhance</w:t>
            </w:r>
            <w:r w:rsidRPr="00101AAE">
              <w:rPr>
                <w:rFonts w:ascii="Times New Roman" w:hAnsi="Times New Roman" w:cs="Times New Roman"/>
                <w:b/>
                <w:sz w:val="20"/>
                <w:szCs w:val="20"/>
              </w:rPr>
              <w:t>d</w:t>
            </w:r>
            <w:r w:rsidRPr="00101AAE">
              <w:rPr>
                <w:rFonts w:ascii="Times New Roman" w:hAnsi="Times New Roman" w:cs="Times New Roman"/>
                <w:b/>
                <w:color w:val="000000"/>
                <w:sz w:val="20"/>
                <w:szCs w:val="20"/>
              </w:rPr>
              <w:t xml:space="preserve"> logistics and distribution network, and </w:t>
            </w:r>
            <w:r w:rsidRPr="00101AAE">
              <w:rPr>
                <w:rFonts w:ascii="Times New Roman" w:hAnsi="Times New Roman" w:cs="Times New Roman"/>
                <w:b/>
                <w:sz w:val="20"/>
                <w:szCs w:val="20"/>
              </w:rPr>
              <w:t xml:space="preserve">more efficient </w:t>
            </w:r>
            <w:r w:rsidRPr="00101AAE">
              <w:rPr>
                <w:rFonts w:ascii="Times New Roman" w:hAnsi="Times New Roman" w:cs="Times New Roman"/>
                <w:b/>
                <w:color w:val="000000"/>
                <w:sz w:val="20"/>
                <w:szCs w:val="20"/>
              </w:rPr>
              <w:t>major gateways</w:t>
            </w:r>
          </w:p>
          <w:p w14:paraId="6CEF62ED" w14:textId="77777777" w:rsidR="00B45683" w:rsidRPr="00101AAE" w:rsidRDefault="00B45683" w:rsidP="00443F17">
            <w:pPr>
              <w:spacing w:line="0" w:lineRule="atLeast"/>
              <w:rPr>
                <w:rFonts w:ascii="Times New Roman" w:hAnsi="Times New Roman" w:cs="Times New Roman"/>
                <w:b/>
                <w:sz w:val="20"/>
                <w:szCs w:val="20"/>
              </w:rPr>
            </w:pPr>
          </w:p>
          <w:p w14:paraId="36B30AD2" w14:textId="77777777" w:rsidR="00B45683" w:rsidRPr="00101AAE" w:rsidRDefault="00B45683" w:rsidP="00443F17">
            <w:pPr>
              <w:pStyle w:val="ListParagraph"/>
              <w:spacing w:line="0" w:lineRule="atLeast"/>
              <w:ind w:left="360" w:firstLine="0"/>
              <w:rPr>
                <w:rFonts w:ascii="Times New Roman" w:hAnsi="Times New Roman" w:cs="Times New Roman"/>
                <w:sz w:val="20"/>
                <w:szCs w:val="20"/>
              </w:rPr>
            </w:pPr>
            <w:r w:rsidRPr="00101AAE">
              <w:rPr>
                <w:rFonts w:ascii="Times New Roman" w:hAnsi="Times New Roman" w:cs="Times New Roman"/>
                <w:sz w:val="20"/>
                <w:szCs w:val="20"/>
              </w:rPr>
              <w:t>Waiting times at po</w:t>
            </w:r>
            <w:r w:rsidR="000B44A7" w:rsidRPr="00101AAE">
              <w:rPr>
                <w:rFonts w:ascii="Times New Roman" w:hAnsi="Times New Roman" w:cs="Times New Roman"/>
                <w:sz w:val="20"/>
                <w:szCs w:val="20"/>
              </w:rPr>
              <w:t>rts and border crossings (days)</w:t>
            </w:r>
            <w:r w:rsidR="000B44A7" w:rsidRPr="00101AAE">
              <w:rPr>
                <w:rStyle w:val="FootnoteReference"/>
                <w:rFonts w:ascii="Times New Roman" w:hAnsi="Times New Roman" w:cs="Times New Roman"/>
                <w:sz w:val="20"/>
                <w:szCs w:val="20"/>
              </w:rPr>
              <w:footnoteReference w:customMarkFollows="1" w:id="5"/>
              <w:sym w:font="Symbol" w:char="F02A"/>
            </w:r>
          </w:p>
          <w:p w14:paraId="0DB2E359" w14:textId="77777777" w:rsidR="00B45683" w:rsidRPr="00101AAE" w:rsidRDefault="00B45683" w:rsidP="00443F17">
            <w:pPr>
              <w:pStyle w:val="ListParagraph"/>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 xml:space="preserve">Baseline:  Ports: 13 days; Border crossings: 2 days (2013) </w:t>
            </w:r>
          </w:p>
          <w:p w14:paraId="22C884A2" w14:textId="77777777" w:rsidR="00B45683" w:rsidRPr="00101AAE" w:rsidRDefault="00B45683" w:rsidP="00443F17">
            <w:pPr>
              <w:pStyle w:val="ListParagraph"/>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 xml:space="preserve">Target:  Ports: </w:t>
            </w:r>
            <w:r w:rsidR="005468F6" w:rsidRPr="00101AAE">
              <w:rPr>
                <w:rFonts w:ascii="Times New Roman" w:hAnsi="Times New Roman" w:cs="Times New Roman"/>
                <w:sz w:val="20"/>
                <w:szCs w:val="20"/>
              </w:rPr>
              <w:t>8</w:t>
            </w:r>
            <w:r w:rsidRPr="00101AAE">
              <w:rPr>
                <w:rFonts w:ascii="Times New Roman" w:hAnsi="Times New Roman" w:cs="Times New Roman"/>
                <w:sz w:val="20"/>
                <w:szCs w:val="20"/>
              </w:rPr>
              <w:t xml:space="preserve"> days; Border crossings </w:t>
            </w:r>
            <w:r w:rsidR="005468F6" w:rsidRPr="00101AAE">
              <w:rPr>
                <w:rFonts w:ascii="Times New Roman" w:hAnsi="Times New Roman" w:cs="Times New Roman"/>
                <w:sz w:val="20"/>
                <w:szCs w:val="20"/>
              </w:rPr>
              <w:t xml:space="preserve">1 day </w:t>
            </w:r>
            <w:r w:rsidRPr="00101AAE">
              <w:rPr>
                <w:rFonts w:ascii="Times New Roman" w:hAnsi="Times New Roman" w:cs="Times New Roman"/>
                <w:sz w:val="20"/>
                <w:szCs w:val="20"/>
              </w:rPr>
              <w:t xml:space="preserve"> (2018)</w:t>
            </w:r>
          </w:p>
          <w:p w14:paraId="0194F048" w14:textId="77777777" w:rsidR="00B45683" w:rsidRPr="00101AAE" w:rsidRDefault="00B45683" w:rsidP="00443F17">
            <w:pPr>
              <w:pStyle w:val="ListParagraph"/>
              <w:spacing w:line="0" w:lineRule="atLeast"/>
              <w:ind w:left="360"/>
              <w:rPr>
                <w:rFonts w:ascii="Times New Roman" w:hAnsi="Times New Roman" w:cs="Times New Roman"/>
                <w:sz w:val="20"/>
                <w:szCs w:val="20"/>
              </w:rPr>
            </w:pPr>
          </w:p>
        </w:tc>
        <w:tc>
          <w:tcPr>
            <w:tcW w:w="3918" w:type="dxa"/>
          </w:tcPr>
          <w:p w14:paraId="49D29AD3" w14:textId="77777777" w:rsidR="00B45683" w:rsidRPr="00101AAE" w:rsidRDefault="00B45683" w:rsidP="00B45683">
            <w:pPr>
              <w:pStyle w:val="ListParagraph"/>
              <w:numPr>
                <w:ilvl w:val="0"/>
                <w:numId w:val="4"/>
              </w:numPr>
              <w:spacing w:line="0" w:lineRule="atLeast"/>
              <w:ind w:left="300" w:hanging="270"/>
              <w:rPr>
                <w:rFonts w:ascii="Times New Roman" w:hAnsi="Times New Roman" w:cs="Times New Roman"/>
                <w:sz w:val="20"/>
                <w:szCs w:val="20"/>
              </w:rPr>
            </w:pPr>
            <w:r w:rsidRPr="00101AAE">
              <w:rPr>
                <w:rFonts w:ascii="Times New Roman" w:hAnsi="Times New Roman" w:cs="Times New Roman"/>
                <w:sz w:val="20"/>
                <w:szCs w:val="20"/>
              </w:rPr>
              <w:t>All operators and activities at the port managed and coordinated from one focal point</w:t>
            </w:r>
          </w:p>
          <w:p w14:paraId="2F8A71FD" w14:textId="77777777" w:rsidR="00B45683" w:rsidRPr="00101AAE" w:rsidRDefault="00B45683" w:rsidP="00B45683">
            <w:pPr>
              <w:pStyle w:val="ListParagraph"/>
              <w:numPr>
                <w:ilvl w:val="0"/>
                <w:numId w:val="4"/>
              </w:numPr>
              <w:spacing w:line="0" w:lineRule="atLeast"/>
              <w:ind w:left="300" w:hanging="270"/>
              <w:rPr>
                <w:rFonts w:ascii="Times New Roman" w:hAnsi="Times New Roman" w:cs="Times New Roman"/>
                <w:sz w:val="20"/>
                <w:szCs w:val="20"/>
              </w:rPr>
            </w:pPr>
            <w:r w:rsidRPr="00101AAE">
              <w:rPr>
                <w:rFonts w:ascii="Times New Roman" w:hAnsi="Times New Roman" w:cs="Times New Roman"/>
                <w:sz w:val="20"/>
                <w:szCs w:val="20"/>
              </w:rPr>
              <w:t xml:space="preserve">A border management organization established </w:t>
            </w:r>
          </w:p>
          <w:p w14:paraId="6D43B3F9" w14:textId="77777777" w:rsidR="00B45683" w:rsidRPr="00101AAE" w:rsidRDefault="00B45683" w:rsidP="00B45683">
            <w:pPr>
              <w:pStyle w:val="ListParagraph"/>
              <w:numPr>
                <w:ilvl w:val="0"/>
                <w:numId w:val="4"/>
              </w:numPr>
              <w:spacing w:line="0" w:lineRule="atLeast"/>
              <w:ind w:left="300" w:hanging="270"/>
              <w:rPr>
                <w:rFonts w:ascii="Times New Roman" w:hAnsi="Times New Roman" w:cs="Times New Roman"/>
                <w:sz w:val="20"/>
                <w:szCs w:val="20"/>
              </w:rPr>
            </w:pPr>
            <w:r w:rsidRPr="00101AAE">
              <w:rPr>
                <w:rFonts w:ascii="Times New Roman" w:hAnsi="Times New Roman" w:cs="Times New Roman"/>
                <w:sz w:val="20"/>
                <w:szCs w:val="20"/>
              </w:rPr>
              <w:t>All operators and activities at airports managed and coordinated from one focal point.</w:t>
            </w:r>
          </w:p>
          <w:p w14:paraId="595C5915" w14:textId="77777777" w:rsidR="00B45683" w:rsidRPr="00101AAE" w:rsidRDefault="00B45683" w:rsidP="00443F17">
            <w:pPr>
              <w:pStyle w:val="ListParagraph"/>
              <w:spacing w:line="0" w:lineRule="atLeast"/>
              <w:ind w:left="300" w:firstLine="0"/>
              <w:rPr>
                <w:rFonts w:ascii="Times New Roman" w:hAnsi="Times New Roman" w:cs="Times New Roman"/>
                <w:sz w:val="20"/>
                <w:szCs w:val="20"/>
              </w:rPr>
            </w:pPr>
          </w:p>
        </w:tc>
        <w:tc>
          <w:tcPr>
            <w:tcW w:w="5310" w:type="dxa"/>
          </w:tcPr>
          <w:p w14:paraId="46D25DC2" w14:textId="77777777" w:rsidR="00B45683" w:rsidRPr="00101AAE" w:rsidRDefault="00B45683"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b/>
                <w:sz w:val="20"/>
                <w:szCs w:val="20"/>
              </w:rPr>
              <w:t>Ongoing</w:t>
            </w:r>
          </w:p>
          <w:p w14:paraId="0F63C13C"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i/>
                <w:sz w:val="20"/>
                <w:szCs w:val="20"/>
              </w:rPr>
              <w:t>World Bank:</w:t>
            </w:r>
            <w:r w:rsidRPr="00101AAE">
              <w:rPr>
                <w:rFonts w:ascii="Times New Roman" w:hAnsi="Times New Roman" w:cs="Times New Roman"/>
                <w:sz w:val="20"/>
                <w:szCs w:val="20"/>
              </w:rPr>
              <w:t xml:space="preserve"> </w:t>
            </w:r>
          </w:p>
          <w:p w14:paraId="00F8C18A"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[P082615] KE Northern Corridor Transport SIL;</w:t>
            </w:r>
          </w:p>
          <w:p w14:paraId="62257B16"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[P126321] KE National Urban Transport; [P124109] KE Kenya Transport Sector Support; [P079734] East Africa Trade and Transport Facilitation (Regional)</w:t>
            </w:r>
          </w:p>
          <w:p w14:paraId="52EFDE6C" w14:textId="77777777" w:rsidR="00B45683" w:rsidRPr="00101AAE" w:rsidRDefault="00B45683" w:rsidP="00443F17">
            <w:pPr>
              <w:spacing w:line="0" w:lineRule="atLeast"/>
              <w:ind w:firstLine="0"/>
              <w:rPr>
                <w:rFonts w:ascii="Times New Roman" w:hAnsi="Times New Roman" w:cs="Times New Roman"/>
                <w:sz w:val="20"/>
                <w:szCs w:val="20"/>
              </w:rPr>
            </w:pPr>
          </w:p>
          <w:p w14:paraId="5734BBF6" w14:textId="77777777" w:rsidR="00B45683" w:rsidRPr="00101AAE" w:rsidRDefault="00B45683" w:rsidP="00443F17">
            <w:pPr>
              <w:spacing w:line="0" w:lineRule="atLeast"/>
              <w:ind w:firstLine="0"/>
              <w:rPr>
                <w:rFonts w:ascii="Times New Roman" w:hAnsi="Times New Roman" w:cs="Times New Roman"/>
                <w:i/>
                <w:sz w:val="20"/>
                <w:szCs w:val="20"/>
              </w:rPr>
            </w:pPr>
            <w:r w:rsidRPr="00101AAE">
              <w:rPr>
                <w:rFonts w:ascii="Times New Roman" w:hAnsi="Times New Roman" w:cs="Times New Roman"/>
                <w:i/>
                <w:sz w:val="20"/>
                <w:szCs w:val="20"/>
              </w:rPr>
              <w:t>IFC:</w:t>
            </w:r>
          </w:p>
          <w:p w14:paraId="1D1BA755" w14:textId="77777777" w:rsidR="00B45683" w:rsidRPr="00101AAE" w:rsidRDefault="00B45683" w:rsidP="00443F17">
            <w:pPr>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[24766] Kenya Uganda Rail; [31650] Kenya Airways</w:t>
            </w:r>
          </w:p>
        </w:tc>
      </w:tr>
      <w:tr w:rsidR="00B45683" w:rsidRPr="00910E96" w14:paraId="0CC30656" w14:textId="77777777" w:rsidTr="000B44A7">
        <w:trPr>
          <w:trHeight w:val="908"/>
          <w:jc w:val="center"/>
        </w:trPr>
        <w:tc>
          <w:tcPr>
            <w:tcW w:w="4744" w:type="dxa"/>
          </w:tcPr>
          <w:p w14:paraId="1AEA61DA" w14:textId="77777777" w:rsidR="00B45683" w:rsidRDefault="00B45683" w:rsidP="00443F17">
            <w:pPr>
              <w:spacing w:line="0" w:lineRule="atLeast"/>
              <w:ind w:firstLine="0"/>
              <w:jc w:val="center"/>
              <w:rPr>
                <w:rFonts w:ascii="Times New Roman" w:hAnsi="Times New Roman" w:cs="Times New Roman"/>
                <w:b/>
                <w:sz w:val="24"/>
                <w:szCs w:val="24"/>
              </w:rPr>
            </w:pPr>
            <w:r w:rsidRPr="00910E96">
              <w:rPr>
                <w:rFonts w:ascii="Times New Roman" w:hAnsi="Times New Roman" w:cs="Times New Roman"/>
                <w:b/>
                <w:sz w:val="24"/>
                <w:szCs w:val="24"/>
              </w:rPr>
              <w:t xml:space="preserve">Outcome 2: </w:t>
            </w:r>
            <w:r>
              <w:rPr>
                <w:rFonts w:ascii="Times New Roman" w:hAnsi="Times New Roman" w:cs="Times New Roman"/>
                <w:b/>
                <w:sz w:val="24"/>
                <w:szCs w:val="24"/>
              </w:rPr>
              <w:t xml:space="preserve">Strengthened Planning </w:t>
            </w:r>
          </w:p>
          <w:p w14:paraId="2CB895AE" w14:textId="77777777" w:rsidR="00B45683" w:rsidRPr="000E3B16" w:rsidRDefault="00B45683" w:rsidP="00443F17">
            <w:pPr>
              <w:spacing w:line="0" w:lineRule="atLeast"/>
              <w:ind w:firstLine="0"/>
              <w:jc w:val="center"/>
              <w:rPr>
                <w:rFonts w:ascii="Times New Roman" w:hAnsi="Times New Roman" w:cs="Times New Roman"/>
                <w:b/>
                <w:sz w:val="24"/>
                <w:szCs w:val="24"/>
              </w:rPr>
            </w:pPr>
            <w:r>
              <w:rPr>
                <w:rFonts w:ascii="Times New Roman" w:hAnsi="Times New Roman" w:cs="Times New Roman"/>
                <w:b/>
                <w:sz w:val="24"/>
                <w:szCs w:val="24"/>
              </w:rPr>
              <w:t>and Management of</w:t>
            </w:r>
            <w:r w:rsidRPr="00910E96">
              <w:rPr>
                <w:rFonts w:ascii="Times New Roman" w:hAnsi="Times New Roman" w:cs="Times New Roman"/>
                <w:b/>
                <w:sz w:val="24"/>
                <w:szCs w:val="24"/>
              </w:rPr>
              <w:t xml:space="preserve"> Urban </w:t>
            </w:r>
            <w:r>
              <w:rPr>
                <w:rFonts w:ascii="Times New Roman" w:hAnsi="Times New Roman" w:cs="Times New Roman"/>
                <w:b/>
                <w:sz w:val="24"/>
                <w:szCs w:val="24"/>
              </w:rPr>
              <w:t>Growth</w:t>
            </w:r>
          </w:p>
          <w:p w14:paraId="4052F181" w14:textId="77777777" w:rsidR="00B45683" w:rsidRPr="00910E96" w:rsidRDefault="00B45683" w:rsidP="00443F17">
            <w:pPr>
              <w:pStyle w:val="ListParagraph"/>
              <w:spacing w:line="0" w:lineRule="atLeast"/>
              <w:ind w:left="342"/>
              <w:rPr>
                <w:rFonts w:ascii="Times New Roman" w:hAnsi="Times New Roman" w:cs="Times New Roman"/>
                <w:sz w:val="20"/>
                <w:szCs w:val="20"/>
              </w:rPr>
            </w:pPr>
          </w:p>
          <w:p w14:paraId="4907ABAB" w14:textId="77777777" w:rsidR="00B45683" w:rsidRDefault="00B45683" w:rsidP="00443F17">
            <w:pPr>
              <w:pStyle w:val="ListParagraph"/>
              <w:ind w:left="360" w:firstLine="0"/>
              <w:rPr>
                <w:rFonts w:ascii="Times New Roman" w:hAnsi="Times New Roman" w:cs="Times New Roman"/>
                <w:sz w:val="20"/>
                <w:szCs w:val="20"/>
              </w:rPr>
            </w:pPr>
            <w:r>
              <w:rPr>
                <w:rFonts w:ascii="Times New Roman" w:hAnsi="Times New Roman" w:cs="Times New Roman"/>
                <w:sz w:val="20"/>
                <w:szCs w:val="20"/>
              </w:rPr>
              <w:t>Urban centers with integrated strategic plans (number)</w:t>
            </w:r>
          </w:p>
          <w:p w14:paraId="465195BD" w14:textId="77777777" w:rsidR="00B45683" w:rsidRPr="00910E96" w:rsidRDefault="00B45683" w:rsidP="00443F17">
            <w:pPr>
              <w:pStyle w:val="ListParagraph"/>
              <w:ind w:left="1110" w:firstLine="0"/>
              <w:rPr>
                <w:rFonts w:ascii="Times New Roman" w:hAnsi="Times New Roman" w:cs="Times New Roman"/>
                <w:color w:val="000000" w:themeColor="text1"/>
                <w:sz w:val="20"/>
                <w:szCs w:val="20"/>
              </w:rPr>
            </w:pPr>
            <w:r w:rsidRPr="00910E96">
              <w:rPr>
                <w:rFonts w:ascii="Times New Roman" w:hAnsi="Times New Roman" w:cs="Times New Roman"/>
                <w:color w:val="000000" w:themeColor="text1"/>
                <w:sz w:val="20"/>
                <w:szCs w:val="20"/>
              </w:rPr>
              <w:t>Baseline: 0 (2014)</w:t>
            </w:r>
          </w:p>
          <w:p w14:paraId="42EA4C9A" w14:textId="77777777" w:rsidR="00B45683" w:rsidRPr="00910E96" w:rsidRDefault="00B45683" w:rsidP="00443F17">
            <w:pPr>
              <w:pStyle w:val="ListParagraph"/>
              <w:ind w:left="1110"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Target: 14</w:t>
            </w:r>
            <w:r w:rsidRPr="00910E96">
              <w:rPr>
                <w:rFonts w:ascii="Times New Roman" w:hAnsi="Times New Roman" w:cs="Times New Roman"/>
                <w:color w:val="000000" w:themeColor="text1"/>
                <w:sz w:val="20"/>
                <w:szCs w:val="20"/>
              </w:rPr>
              <w:t xml:space="preserve"> (2018)</w:t>
            </w:r>
          </w:p>
          <w:p w14:paraId="31897ABA" w14:textId="77777777" w:rsidR="00B45683" w:rsidRPr="00910E96" w:rsidRDefault="00B45683" w:rsidP="00443F17">
            <w:pPr>
              <w:pStyle w:val="ListParagraph"/>
              <w:ind w:left="1494" w:firstLine="0"/>
              <w:rPr>
                <w:rFonts w:ascii="Times New Roman" w:hAnsi="Times New Roman" w:cs="Times New Roman"/>
                <w:sz w:val="20"/>
                <w:szCs w:val="20"/>
              </w:rPr>
            </w:pPr>
          </w:p>
          <w:p w14:paraId="0235EFB1" w14:textId="77777777" w:rsidR="00B45683" w:rsidRPr="00910E96" w:rsidRDefault="00B45683" w:rsidP="00443F17">
            <w:pPr>
              <w:pStyle w:val="ListParagraph"/>
              <w:ind w:left="360"/>
              <w:rPr>
                <w:rFonts w:ascii="Times New Roman" w:hAnsi="Times New Roman" w:cs="Times New Roman"/>
              </w:rPr>
            </w:pPr>
          </w:p>
        </w:tc>
        <w:tc>
          <w:tcPr>
            <w:tcW w:w="3918" w:type="dxa"/>
          </w:tcPr>
          <w:p w14:paraId="6A38FCAA" w14:textId="77777777" w:rsidR="00B45683" w:rsidRPr="00910E96" w:rsidRDefault="00B45683" w:rsidP="00443F17">
            <w:pPr>
              <w:spacing w:line="0" w:lineRule="atLeast"/>
              <w:rPr>
                <w:rFonts w:ascii="Times New Roman" w:hAnsi="Times New Roman" w:cs="Times New Roman"/>
                <w:b/>
                <w:sz w:val="20"/>
                <w:szCs w:val="20"/>
              </w:rPr>
            </w:pPr>
          </w:p>
        </w:tc>
        <w:tc>
          <w:tcPr>
            <w:tcW w:w="5310" w:type="dxa"/>
          </w:tcPr>
          <w:p w14:paraId="2741FBC6" w14:textId="77777777" w:rsidR="00B45683" w:rsidRPr="00910E96" w:rsidRDefault="00B45683"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Ongoing</w:t>
            </w:r>
          </w:p>
          <w:p w14:paraId="2964A8A2" w14:textId="77777777" w:rsidR="00B45683" w:rsidRPr="00910E96" w:rsidRDefault="00B45683" w:rsidP="00443F17">
            <w:pPr>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15A61031" w14:textId="77777777" w:rsidR="00B45683" w:rsidRPr="00910E96" w:rsidRDefault="00B45683"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[P107314] KE Nairobi Metropolitan Services; [P126321] KE National Urban Transport; [P124109] KE Transport Sector Support Project; [P149019] KE AF Transparency and Infrastructure Project;  [P096367] KE Water &amp; Sanitation Service Improvement ; [P123367] Additional Finance</w:t>
            </w:r>
          </w:p>
          <w:p w14:paraId="1EC7EA44" w14:textId="77777777" w:rsidR="00B45683" w:rsidRPr="00910E96" w:rsidRDefault="00B45683" w:rsidP="00443F17">
            <w:pPr>
              <w:rPr>
                <w:rFonts w:ascii="Times New Roman" w:hAnsi="Times New Roman" w:cs="Times New Roman"/>
                <w:sz w:val="20"/>
                <w:szCs w:val="20"/>
              </w:rPr>
            </w:pPr>
          </w:p>
          <w:p w14:paraId="7672EA99" w14:textId="77777777" w:rsidR="00B45683" w:rsidRPr="00910E96" w:rsidRDefault="00B45683" w:rsidP="00443F17">
            <w:pPr>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319EDCC1" w14:textId="77777777" w:rsidR="00B45683" w:rsidRPr="00910E96" w:rsidRDefault="00B45683"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World Bank:</w:t>
            </w:r>
          </w:p>
          <w:p w14:paraId="3687A49E" w14:textId="77777777" w:rsidR="00B45683" w:rsidRPr="00910E96" w:rsidRDefault="00B45683"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[P145559] KE Water Security and Climate Resilience in the Coastal Region Project</w:t>
            </w:r>
          </w:p>
        </w:tc>
      </w:tr>
      <w:tr w:rsidR="00B45683" w:rsidRPr="00910E96" w14:paraId="3C23B97F" w14:textId="77777777" w:rsidTr="000B44A7">
        <w:trPr>
          <w:trHeight w:val="2550"/>
          <w:jc w:val="center"/>
        </w:trPr>
        <w:tc>
          <w:tcPr>
            <w:tcW w:w="4744" w:type="dxa"/>
          </w:tcPr>
          <w:p w14:paraId="30D6C8EA" w14:textId="77777777" w:rsidR="00B45683" w:rsidRPr="00910E96" w:rsidRDefault="00B45683" w:rsidP="00443F17">
            <w:pPr>
              <w:pStyle w:val="ListParagraph"/>
              <w:spacing w:line="0" w:lineRule="atLeast"/>
              <w:ind w:left="0" w:firstLine="0"/>
              <w:jc w:val="center"/>
              <w:rPr>
                <w:rFonts w:ascii="Times New Roman" w:hAnsi="Times New Roman" w:cs="Times New Roman"/>
                <w:b/>
                <w:sz w:val="24"/>
                <w:szCs w:val="24"/>
              </w:rPr>
            </w:pPr>
            <w:r w:rsidRPr="00910E96">
              <w:rPr>
                <w:rFonts w:ascii="Times New Roman" w:hAnsi="Times New Roman" w:cs="Times New Roman"/>
                <w:b/>
                <w:sz w:val="24"/>
                <w:szCs w:val="24"/>
              </w:rPr>
              <w:lastRenderedPageBreak/>
              <w:t xml:space="preserve">Outcome 3: </w:t>
            </w:r>
            <w:r>
              <w:rPr>
                <w:rFonts w:ascii="Times New Roman" w:hAnsi="Times New Roman" w:cs="Times New Roman"/>
                <w:b/>
                <w:sz w:val="24"/>
                <w:szCs w:val="24"/>
              </w:rPr>
              <w:t xml:space="preserve">Improved Enabling </w:t>
            </w:r>
            <w:r w:rsidRPr="00910E96">
              <w:rPr>
                <w:rFonts w:ascii="Times New Roman" w:hAnsi="Times New Roman" w:cs="Times New Roman"/>
                <w:b/>
                <w:sz w:val="24"/>
                <w:szCs w:val="24"/>
              </w:rPr>
              <w:t xml:space="preserve">Environment </w:t>
            </w:r>
            <w:r>
              <w:rPr>
                <w:rFonts w:ascii="Times New Roman" w:hAnsi="Times New Roman" w:cs="Times New Roman"/>
                <w:b/>
                <w:sz w:val="24"/>
                <w:szCs w:val="24"/>
              </w:rPr>
              <w:t xml:space="preserve">for Private Investment </w:t>
            </w:r>
            <w:r w:rsidRPr="00910E96">
              <w:rPr>
                <w:rFonts w:ascii="Times New Roman" w:hAnsi="Times New Roman" w:cs="Times New Roman"/>
                <w:b/>
                <w:i/>
                <w:sz w:val="24"/>
                <w:szCs w:val="24"/>
              </w:rPr>
              <w:t>(</w:t>
            </w:r>
            <w:r w:rsidR="000B44A7">
              <w:rPr>
                <w:rFonts w:ascii="Times New Roman" w:hAnsi="Times New Roman" w:cs="Times New Roman"/>
                <w:b/>
                <w:i/>
                <w:sz w:val="24"/>
                <w:szCs w:val="24"/>
              </w:rPr>
              <w:t>Capturing the Connecting Platform Outcome of Garnering Good Governance</w:t>
            </w:r>
            <w:r w:rsidRPr="00910E96">
              <w:rPr>
                <w:rFonts w:ascii="Times New Roman" w:hAnsi="Times New Roman" w:cs="Times New Roman"/>
                <w:b/>
                <w:i/>
                <w:sz w:val="24"/>
                <w:szCs w:val="24"/>
              </w:rPr>
              <w:t>)</w:t>
            </w:r>
          </w:p>
          <w:p w14:paraId="3AE69146" w14:textId="77777777" w:rsidR="00B45683" w:rsidRDefault="00B45683" w:rsidP="00443F17">
            <w:pPr>
              <w:spacing w:line="0" w:lineRule="atLeast"/>
              <w:rPr>
                <w:rFonts w:ascii="Times New Roman" w:hAnsi="Times New Roman" w:cs="Times New Roman"/>
                <w:sz w:val="20"/>
                <w:szCs w:val="20"/>
              </w:rPr>
            </w:pPr>
          </w:p>
          <w:p w14:paraId="3A600338" w14:textId="77777777" w:rsidR="00B45683" w:rsidRPr="00910E96" w:rsidRDefault="00B45683" w:rsidP="00443F17">
            <w:pPr>
              <w:spacing w:line="0" w:lineRule="atLeast"/>
              <w:ind w:left="387" w:firstLine="0"/>
              <w:rPr>
                <w:rFonts w:ascii="Times New Roman" w:hAnsi="Times New Roman" w:cs="Times New Roman"/>
                <w:sz w:val="20"/>
                <w:szCs w:val="20"/>
              </w:rPr>
            </w:pPr>
            <w:r w:rsidRPr="00910E96">
              <w:rPr>
                <w:rFonts w:ascii="Times New Roman" w:hAnsi="Times New Roman" w:cs="Times New Roman"/>
                <w:sz w:val="20"/>
                <w:szCs w:val="20"/>
              </w:rPr>
              <w:t xml:space="preserve">Completed </w:t>
            </w:r>
            <w:r>
              <w:rPr>
                <w:rFonts w:ascii="Times New Roman" w:hAnsi="Times New Roman" w:cs="Times New Roman"/>
                <w:sz w:val="20"/>
                <w:szCs w:val="20"/>
              </w:rPr>
              <w:t xml:space="preserve">key </w:t>
            </w:r>
            <w:r w:rsidRPr="00910E96">
              <w:rPr>
                <w:rFonts w:ascii="Times New Roman" w:hAnsi="Times New Roman" w:cs="Times New Roman"/>
                <w:sz w:val="20"/>
                <w:szCs w:val="20"/>
              </w:rPr>
              <w:t>investment reforms</w:t>
            </w:r>
            <w:r>
              <w:rPr>
                <w:rFonts w:ascii="Times New Roman" w:hAnsi="Times New Roman" w:cs="Times New Roman"/>
                <w:sz w:val="20"/>
                <w:szCs w:val="20"/>
              </w:rPr>
              <w:t xml:space="preserve"> in business regulation, trade logistics and industry</w:t>
            </w:r>
            <w:r w:rsidRPr="00910E96">
              <w:rPr>
                <w:rFonts w:ascii="Times New Roman" w:hAnsi="Times New Roman" w:cs="Times New Roman"/>
                <w:sz w:val="20"/>
                <w:szCs w:val="20"/>
              </w:rPr>
              <w:t xml:space="preserve"> (number)</w:t>
            </w:r>
          </w:p>
          <w:p w14:paraId="10685E8D" w14:textId="77777777" w:rsidR="00B45683" w:rsidRPr="00910E96" w:rsidRDefault="00B45683" w:rsidP="00443F17">
            <w:pPr>
              <w:spacing w:line="0" w:lineRule="atLeast"/>
              <w:ind w:left="1110" w:firstLine="0"/>
              <w:rPr>
                <w:rFonts w:ascii="Times New Roman" w:hAnsi="Times New Roman" w:cs="Times New Roman"/>
                <w:sz w:val="20"/>
                <w:szCs w:val="20"/>
              </w:rPr>
            </w:pPr>
            <w:r w:rsidRPr="00910E96">
              <w:rPr>
                <w:rFonts w:ascii="Times New Roman" w:hAnsi="Times New Roman" w:cs="Times New Roman"/>
                <w:sz w:val="20"/>
                <w:szCs w:val="20"/>
              </w:rPr>
              <w:t>Baseline: 0 (2014)</w:t>
            </w:r>
          </w:p>
          <w:p w14:paraId="0F000D95" w14:textId="77777777" w:rsidR="00B45683" w:rsidRDefault="00B45683" w:rsidP="00443F17">
            <w:pPr>
              <w:spacing w:line="0" w:lineRule="atLeast"/>
              <w:ind w:left="1110" w:firstLine="0"/>
              <w:rPr>
                <w:rFonts w:ascii="Times New Roman" w:hAnsi="Times New Roman" w:cs="Times New Roman"/>
                <w:b/>
                <w:sz w:val="20"/>
                <w:szCs w:val="20"/>
              </w:rPr>
            </w:pPr>
            <w:r w:rsidRPr="00910E96">
              <w:rPr>
                <w:rFonts w:ascii="Times New Roman" w:hAnsi="Times New Roman" w:cs="Times New Roman"/>
                <w:sz w:val="20"/>
                <w:szCs w:val="20"/>
              </w:rPr>
              <w:t xml:space="preserve">Target: </w:t>
            </w:r>
            <w:r>
              <w:rPr>
                <w:rFonts w:ascii="Times New Roman" w:hAnsi="Times New Roman" w:cs="Times New Roman"/>
                <w:sz w:val="20"/>
                <w:szCs w:val="20"/>
              </w:rPr>
              <w:t>1</w:t>
            </w:r>
            <w:r w:rsidRPr="00910E96">
              <w:rPr>
                <w:rFonts w:ascii="Times New Roman" w:hAnsi="Times New Roman" w:cs="Times New Roman"/>
                <w:sz w:val="20"/>
                <w:szCs w:val="20"/>
              </w:rPr>
              <w:t>5 (2018)</w:t>
            </w:r>
          </w:p>
          <w:p w14:paraId="1015D61D" w14:textId="77777777" w:rsidR="00B45683" w:rsidRDefault="00B45683" w:rsidP="00443F17">
            <w:pPr>
              <w:spacing w:line="0" w:lineRule="atLeast"/>
              <w:ind w:firstLine="0"/>
              <w:rPr>
                <w:rFonts w:ascii="Times New Roman" w:hAnsi="Times New Roman" w:cs="Times New Roman"/>
                <w:b/>
                <w:sz w:val="20"/>
                <w:szCs w:val="20"/>
              </w:rPr>
            </w:pPr>
          </w:p>
          <w:p w14:paraId="30C3C6DD" w14:textId="77777777" w:rsidR="00B45683" w:rsidRDefault="00B45683" w:rsidP="00443F17">
            <w:pPr>
              <w:spacing w:line="0" w:lineRule="atLeast"/>
              <w:ind w:firstLine="0"/>
              <w:rPr>
                <w:rFonts w:ascii="Times New Roman" w:hAnsi="Times New Roman" w:cs="Times New Roman"/>
                <w:b/>
                <w:sz w:val="20"/>
                <w:szCs w:val="20"/>
              </w:rPr>
            </w:pPr>
          </w:p>
          <w:p w14:paraId="61B0EC31" w14:textId="77777777" w:rsidR="00B45683" w:rsidRDefault="00B45683" w:rsidP="00443F17">
            <w:pPr>
              <w:spacing w:line="0" w:lineRule="atLeast"/>
              <w:ind w:firstLine="0"/>
              <w:rPr>
                <w:rFonts w:ascii="Times New Roman" w:hAnsi="Times New Roman" w:cs="Times New Roman"/>
                <w:b/>
                <w:sz w:val="20"/>
                <w:szCs w:val="20"/>
              </w:rPr>
            </w:pPr>
          </w:p>
          <w:p w14:paraId="5B6200D2" w14:textId="77777777" w:rsidR="00B45683" w:rsidRPr="00910E96" w:rsidRDefault="00B45683" w:rsidP="00443F17">
            <w:pPr>
              <w:spacing w:line="0" w:lineRule="atLeast"/>
              <w:ind w:firstLine="0"/>
              <w:rPr>
                <w:rFonts w:ascii="Times New Roman" w:hAnsi="Times New Roman" w:cs="Times New Roman"/>
                <w:sz w:val="20"/>
                <w:szCs w:val="20"/>
              </w:rPr>
            </w:pPr>
          </w:p>
          <w:p w14:paraId="59C65D24" w14:textId="77777777" w:rsidR="00B45683" w:rsidRPr="00910E96" w:rsidRDefault="00B45683" w:rsidP="00443F17">
            <w:pPr>
              <w:spacing w:line="0" w:lineRule="atLeast"/>
              <w:ind w:left="1107" w:firstLine="0"/>
              <w:rPr>
                <w:rFonts w:ascii="Times New Roman" w:hAnsi="Times New Roman" w:cs="Times New Roman"/>
                <w:sz w:val="20"/>
                <w:szCs w:val="20"/>
              </w:rPr>
            </w:pPr>
          </w:p>
          <w:p w14:paraId="29F01AA7" w14:textId="77777777" w:rsidR="00B45683" w:rsidRPr="00910E96" w:rsidRDefault="00B45683" w:rsidP="00443F17">
            <w:pPr>
              <w:pStyle w:val="ListParagraph"/>
              <w:spacing w:line="0" w:lineRule="atLeast"/>
              <w:ind w:left="0"/>
              <w:jc w:val="left"/>
              <w:rPr>
                <w:rFonts w:ascii="Times New Roman" w:hAnsi="Times New Roman" w:cs="Times New Roman"/>
                <w:b/>
                <w:sz w:val="20"/>
                <w:szCs w:val="20"/>
              </w:rPr>
            </w:pPr>
          </w:p>
        </w:tc>
        <w:tc>
          <w:tcPr>
            <w:tcW w:w="3918" w:type="dxa"/>
          </w:tcPr>
          <w:p w14:paraId="7B3B33B5" w14:textId="77777777" w:rsidR="00B45683" w:rsidRPr="00910E96" w:rsidRDefault="00B45683" w:rsidP="00B45683">
            <w:pPr>
              <w:pStyle w:val="ListParagraph"/>
              <w:numPr>
                <w:ilvl w:val="0"/>
                <w:numId w:val="15"/>
              </w:numPr>
              <w:spacing w:line="0" w:lineRule="atLeast"/>
              <w:rPr>
                <w:rFonts w:ascii="Times New Roman" w:hAnsi="Times New Roman" w:cs="Times New Roman"/>
                <w:color w:val="000000" w:themeColor="text1"/>
                <w:sz w:val="20"/>
                <w:szCs w:val="20"/>
              </w:rPr>
            </w:pPr>
            <w:r>
              <w:rPr>
                <w:rFonts w:ascii="Times New Roman" w:hAnsi="Times New Roman" w:cs="Times New Roman"/>
                <w:sz w:val="20"/>
                <w:szCs w:val="20"/>
              </w:rPr>
              <w:t xml:space="preserve">Investment climate assessments in business regulation, trade logistics and industry completed </w:t>
            </w:r>
            <w:r w:rsidRPr="00050430">
              <w:rPr>
                <w:rFonts w:ascii="Times New Roman" w:hAnsi="Times New Roman" w:cs="Times New Roman"/>
                <w:color w:val="000000" w:themeColor="text1"/>
                <w:sz w:val="20"/>
                <w:szCs w:val="20"/>
              </w:rPr>
              <w:t>Impact assessment of export promotion and support schemes and business and technology incubator services completed by 2015</w:t>
            </w:r>
          </w:p>
        </w:tc>
        <w:tc>
          <w:tcPr>
            <w:tcW w:w="5310" w:type="dxa"/>
          </w:tcPr>
          <w:p w14:paraId="293BAC0E" w14:textId="77777777" w:rsidR="00B45683" w:rsidRPr="00910E96" w:rsidRDefault="00B45683"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Ongoing</w:t>
            </w:r>
          </w:p>
          <w:p w14:paraId="71444DF4" w14:textId="77777777" w:rsidR="00B45683" w:rsidRPr="00910E96" w:rsidRDefault="00B45683" w:rsidP="00443F17">
            <w:pPr>
              <w:tabs>
                <w:tab w:val="left" w:pos="4698"/>
                <w:tab w:val="left" w:pos="6138"/>
                <w:tab w:val="left" w:pos="7938"/>
              </w:tabs>
              <w:spacing w:line="0" w:lineRule="atLeast"/>
              <w:ind w:hanging="18"/>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646F84AC" w14:textId="77777777" w:rsidR="00B45683" w:rsidRPr="00910E96" w:rsidRDefault="00B45683"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Judicial Performance Improvement Project;</w:t>
            </w:r>
          </w:p>
          <w:p w14:paraId="25419E37" w14:textId="77777777" w:rsidR="00B45683" w:rsidRPr="00910E96" w:rsidRDefault="00B45683" w:rsidP="00443F17">
            <w:pPr>
              <w:spacing w:line="0" w:lineRule="atLeast"/>
              <w:ind w:firstLine="0"/>
              <w:rPr>
                <w:rFonts w:ascii="Times New Roman" w:hAnsi="Times New Roman" w:cs="Times New Roman"/>
                <w:sz w:val="20"/>
                <w:szCs w:val="20"/>
              </w:rPr>
            </w:pPr>
            <w:r w:rsidRPr="00910E96">
              <w:rPr>
                <w:rFonts w:ascii="Times New Roman" w:hAnsi="Times New Roman" w:cs="Times New Roman"/>
                <w:color w:val="000000" w:themeColor="text1"/>
                <w:sz w:val="20"/>
                <w:szCs w:val="20"/>
              </w:rPr>
              <w:t xml:space="preserve">[P147220] KE Export Competitiveness and Innovation (TA); [P121019] KE Infrastructure Finance PPP; </w:t>
            </w:r>
            <w:r w:rsidRPr="00910E96">
              <w:rPr>
                <w:rFonts w:ascii="Times New Roman" w:hAnsi="Times New Roman" w:cs="Times New Roman"/>
                <w:sz w:val="20"/>
                <w:szCs w:val="20"/>
              </w:rPr>
              <w:t>[P144507] KE Commercial Financing for Urban Water and Sanitation (TA); [P133163] KE Investment Climate Assessment (ESW); [P133164] Manufacturing Export Competitiveness in Kenya Policy Note (TA)</w:t>
            </w:r>
          </w:p>
          <w:p w14:paraId="615F74C0" w14:textId="77777777" w:rsidR="00B45683" w:rsidRPr="00910E96" w:rsidRDefault="00B45683" w:rsidP="00443F17">
            <w:pPr>
              <w:spacing w:line="0" w:lineRule="atLeast"/>
              <w:ind w:firstLine="0"/>
              <w:rPr>
                <w:rFonts w:ascii="Times New Roman" w:hAnsi="Times New Roman" w:cs="Times New Roman"/>
                <w:sz w:val="20"/>
                <w:szCs w:val="20"/>
              </w:rPr>
            </w:pPr>
          </w:p>
          <w:p w14:paraId="260EE29C" w14:textId="77777777" w:rsidR="00B45683" w:rsidRPr="00910E96" w:rsidRDefault="00B45683" w:rsidP="00443F17">
            <w:pPr>
              <w:spacing w:line="0" w:lineRule="atLeast"/>
              <w:ind w:firstLine="0"/>
              <w:rPr>
                <w:rFonts w:ascii="Times New Roman" w:hAnsi="Times New Roman" w:cs="Times New Roman"/>
                <w:color w:val="000000" w:themeColor="text1"/>
                <w:sz w:val="20"/>
                <w:szCs w:val="20"/>
              </w:rPr>
            </w:pPr>
            <w:r w:rsidRPr="00910E96">
              <w:rPr>
                <w:rFonts w:ascii="Times New Roman" w:hAnsi="Times New Roman" w:cs="Times New Roman"/>
                <w:i/>
                <w:color w:val="000000" w:themeColor="text1"/>
                <w:sz w:val="20"/>
                <w:szCs w:val="20"/>
              </w:rPr>
              <w:t>IFC</w:t>
            </w:r>
            <w:r w:rsidRPr="00910E96">
              <w:rPr>
                <w:rFonts w:ascii="Times New Roman" w:hAnsi="Times New Roman" w:cs="Times New Roman"/>
                <w:color w:val="000000" w:themeColor="text1"/>
                <w:sz w:val="20"/>
                <w:szCs w:val="20"/>
              </w:rPr>
              <w:t>:</w:t>
            </w:r>
          </w:p>
          <w:p w14:paraId="241853FD" w14:textId="77777777" w:rsidR="00B45683" w:rsidRPr="00910E96" w:rsidRDefault="00B45683" w:rsidP="00443F17">
            <w:pPr>
              <w:spacing w:line="0" w:lineRule="atLeast"/>
              <w:ind w:firstLine="0"/>
              <w:rPr>
                <w:rFonts w:ascii="Times New Roman" w:hAnsi="Times New Roman" w:cs="Times New Roman"/>
                <w:color w:val="000000" w:themeColor="text1"/>
                <w:sz w:val="20"/>
                <w:szCs w:val="20"/>
              </w:rPr>
            </w:pPr>
            <w:r w:rsidRPr="00910E96">
              <w:rPr>
                <w:rFonts w:ascii="Times New Roman" w:hAnsi="Times New Roman" w:cs="Times New Roman"/>
                <w:color w:val="000000" w:themeColor="text1"/>
                <w:sz w:val="20"/>
                <w:szCs w:val="20"/>
              </w:rPr>
              <w:t>[593208] IC Sub-National Business Regulation; [570008] IC Trade Logistics; [594987] IC for Industry; [27728] KMIP (Advisory Services in ICT)</w:t>
            </w:r>
          </w:p>
          <w:p w14:paraId="545AD82B" w14:textId="77777777" w:rsidR="00B45683" w:rsidRPr="00910E96" w:rsidRDefault="00B45683" w:rsidP="00443F17">
            <w:pPr>
              <w:spacing w:line="0" w:lineRule="atLeast"/>
              <w:ind w:hanging="18"/>
              <w:rPr>
                <w:rFonts w:ascii="Times New Roman" w:hAnsi="Times New Roman" w:cs="Times New Roman"/>
                <w:b/>
                <w:sz w:val="20"/>
                <w:szCs w:val="20"/>
              </w:rPr>
            </w:pPr>
          </w:p>
        </w:tc>
      </w:tr>
      <w:tr w:rsidR="00B45683" w:rsidRPr="00910E96" w14:paraId="4DAC1F10" w14:textId="77777777" w:rsidTr="000B44A7">
        <w:trPr>
          <w:jc w:val="center"/>
        </w:trPr>
        <w:tc>
          <w:tcPr>
            <w:tcW w:w="13972" w:type="dxa"/>
            <w:gridSpan w:val="3"/>
            <w:shd w:val="clear" w:color="auto" w:fill="C6D9F1" w:themeFill="text2" w:themeFillTint="33"/>
          </w:tcPr>
          <w:p w14:paraId="419008BD" w14:textId="77777777" w:rsidR="00B45683" w:rsidRPr="00910E96" w:rsidRDefault="00B45683" w:rsidP="00443F17">
            <w:pPr>
              <w:spacing w:line="0" w:lineRule="atLeast"/>
              <w:jc w:val="center"/>
              <w:rPr>
                <w:rFonts w:ascii="Times New Roman" w:hAnsi="Times New Roman" w:cs="Times New Roman"/>
                <w:b/>
                <w:sz w:val="20"/>
                <w:szCs w:val="20"/>
              </w:rPr>
            </w:pPr>
            <w:r w:rsidRPr="00F96822">
              <w:rPr>
                <w:rFonts w:ascii="Times New Roman" w:hAnsi="Times New Roman" w:cs="Times New Roman"/>
                <w:b/>
                <w:szCs w:val="20"/>
              </w:rPr>
              <w:t>Domain of Engagement 2: Protection and Potential— Human Resource Development for Shared Prosperity</w:t>
            </w:r>
          </w:p>
        </w:tc>
      </w:tr>
      <w:tr w:rsidR="00B45683" w:rsidRPr="00910E96" w14:paraId="06F6E845" w14:textId="77777777" w:rsidTr="000B44A7">
        <w:trPr>
          <w:jc w:val="center"/>
        </w:trPr>
        <w:tc>
          <w:tcPr>
            <w:tcW w:w="13972" w:type="dxa"/>
            <w:gridSpan w:val="3"/>
          </w:tcPr>
          <w:p w14:paraId="5F3091EF" w14:textId="77777777" w:rsidR="000B44A7" w:rsidRDefault="000B44A7" w:rsidP="00443F17">
            <w:pPr>
              <w:spacing w:line="0" w:lineRule="atLeast"/>
              <w:ind w:left="2550" w:hanging="360"/>
              <w:rPr>
                <w:rFonts w:ascii="Times New Roman" w:hAnsi="Times New Roman" w:cs="Times New Roman"/>
                <w:b/>
                <w:sz w:val="20"/>
                <w:szCs w:val="20"/>
              </w:rPr>
            </w:pPr>
          </w:p>
          <w:p w14:paraId="655B77F5" w14:textId="77777777" w:rsidR="00B45683" w:rsidRPr="00910E96" w:rsidRDefault="00B45683" w:rsidP="00443F17">
            <w:pPr>
              <w:spacing w:line="0" w:lineRule="atLeast"/>
              <w:ind w:left="2550" w:hanging="360"/>
              <w:rPr>
                <w:rFonts w:ascii="Times New Roman" w:hAnsi="Times New Roman" w:cs="Times New Roman"/>
                <w:b/>
                <w:sz w:val="20"/>
                <w:szCs w:val="20"/>
              </w:rPr>
            </w:pPr>
            <w:r w:rsidRPr="00910E96">
              <w:rPr>
                <w:rFonts w:ascii="Times New Roman" w:hAnsi="Times New Roman" w:cs="Times New Roman"/>
                <w:b/>
                <w:sz w:val="20"/>
                <w:szCs w:val="20"/>
              </w:rPr>
              <w:t>Vision 2030 Goal</w:t>
            </w:r>
            <w:r>
              <w:rPr>
                <w:rFonts w:ascii="Times New Roman" w:hAnsi="Times New Roman" w:cs="Times New Roman"/>
                <w:b/>
                <w:sz w:val="20"/>
                <w:szCs w:val="20"/>
              </w:rPr>
              <w:t>s</w:t>
            </w:r>
            <w:r w:rsidR="005C7D81">
              <w:rPr>
                <w:rStyle w:val="FootnoteReference"/>
                <w:rFonts w:ascii="Times New Roman" w:hAnsi="Times New Roman" w:cs="Times New Roman"/>
                <w:b/>
                <w:sz w:val="20"/>
                <w:szCs w:val="20"/>
              </w:rPr>
              <w:footnoteReference w:id="6"/>
            </w:r>
            <w:r w:rsidRPr="00910E96">
              <w:rPr>
                <w:rFonts w:ascii="Times New Roman" w:hAnsi="Times New Roman" w:cs="Times New Roman"/>
                <w:b/>
                <w:sz w:val="20"/>
                <w:szCs w:val="20"/>
              </w:rPr>
              <w:t xml:space="preserve">: </w:t>
            </w:r>
          </w:p>
          <w:p w14:paraId="0115CEB2"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050430">
              <w:rPr>
                <w:rFonts w:ascii="Times New Roman" w:hAnsi="Times New Roman" w:cs="Times New Roman"/>
                <w:b/>
                <w:noProof/>
                <w:sz w:val="20"/>
                <w:szCs w:val="20"/>
              </w:rPr>
              <mc:AlternateContent>
                <mc:Choice Requires="wps">
                  <w:drawing>
                    <wp:anchor distT="0" distB="0" distL="114300" distR="114300" simplePos="0" relativeHeight="251847680" behindDoc="0" locked="0" layoutInCell="1" allowOverlap="1" wp14:anchorId="09D06BE4" wp14:editId="1BC7C121">
                      <wp:simplePos x="0" y="0"/>
                      <wp:positionH relativeFrom="column">
                        <wp:posOffset>176530</wp:posOffset>
                      </wp:positionH>
                      <wp:positionV relativeFrom="paragraph">
                        <wp:posOffset>147320</wp:posOffset>
                      </wp:positionV>
                      <wp:extent cx="876300" cy="514350"/>
                      <wp:effectExtent l="0" t="0" r="19050" b="1905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solidFill>
                                  <a:srgbClr val="000000"/>
                                </a:solidFill>
                                <a:miter lim="800000"/>
                                <a:headEnd/>
                                <a:tailEnd/>
                              </a:ln>
                            </wps:spPr>
                            <wps:txbx>
                              <w:txbxContent>
                                <w:p w14:paraId="093530D0"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9pt;margin-top:11.6pt;width:69pt;height: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">
                      <v:textbox>
                        <w:txbxContent>
                          <w:p w14:paraId="093530D0"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v:textbox>
                    </v:shape>
                  </w:pict>
                </mc:Fallback>
              </mc:AlternateContent>
            </w:r>
            <w:r w:rsidRPr="00910E96">
              <w:rPr>
                <w:rFonts w:ascii="Times New Roman" w:hAnsi="Times New Roman" w:cs="Times New Roman"/>
                <w:sz w:val="20"/>
                <w:szCs w:val="20"/>
              </w:rPr>
              <w:t>Provide a high quality of life to all its citizens by 2030 in a clean and secure environment</w:t>
            </w:r>
            <w:r w:rsidRPr="00910E96">
              <w:rPr>
                <w:rFonts w:ascii="Times New Roman" w:hAnsi="Times New Roman" w:cs="Times New Roman"/>
                <w:sz w:val="20"/>
                <w:szCs w:val="20"/>
              </w:rPr>
              <w:tab/>
            </w:r>
          </w:p>
          <w:p w14:paraId="3CA72A3A"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Improve livelihoods of vulnerable groups</w:t>
            </w:r>
          </w:p>
          <w:p w14:paraId="740BC950"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Provide an efficient and high quality health care system</w:t>
            </w:r>
          </w:p>
          <w:p w14:paraId="0336E9FE"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 xml:space="preserve">Provide a globally competitive quality education, training and research </w:t>
            </w:r>
          </w:p>
          <w:p w14:paraId="6CBB6659"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Enhance drought resilience and climate change adaptation</w:t>
            </w:r>
          </w:p>
          <w:p w14:paraId="6C52638F" w14:textId="77777777" w:rsidR="00B45683" w:rsidRPr="00910E96" w:rsidRDefault="00B45683" w:rsidP="00443F17">
            <w:pPr>
              <w:pStyle w:val="ListParagraph"/>
              <w:spacing w:line="0" w:lineRule="atLeast"/>
              <w:ind w:firstLine="0"/>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849728" behindDoc="0" locked="0" layoutInCell="1" allowOverlap="1" wp14:anchorId="5948C469" wp14:editId="57A3DD8A">
                      <wp:simplePos x="0" y="0"/>
                      <wp:positionH relativeFrom="column">
                        <wp:posOffset>645687</wp:posOffset>
                      </wp:positionH>
                      <wp:positionV relativeFrom="paragraph">
                        <wp:posOffset>-7349</wp:posOffset>
                      </wp:positionV>
                      <wp:extent cx="0" cy="184784"/>
                      <wp:effectExtent l="76200" t="0" r="57150" b="63500"/>
                      <wp:wrapNone/>
                      <wp:docPr id="601" name="Straight Connector 601"/>
                      <wp:cNvGraphicFramePr/>
                      <a:graphic xmlns:a="http://schemas.openxmlformats.org/drawingml/2006/main">
                        <a:graphicData uri="http://schemas.microsoft.com/office/word/2010/wordprocessingShape">
                          <wps:wsp>
                            <wps:cNvCnPr/>
                            <wps:spPr>
                              <a:xfrm flipV="1">
                                <a:off x="0" y="0"/>
                                <a:ext cx="0" cy="184784"/>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A158EA" id="Straight Connector 601"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6pt" to="50.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" strokecolor="black [3213]">
                      <v:stroke startarrow="block"/>
                    </v:line>
                  </w:pict>
                </mc:Fallback>
              </mc:AlternateContent>
            </w:r>
          </w:p>
          <w:p w14:paraId="2FC26634" w14:textId="77777777" w:rsidR="00B45683" w:rsidRPr="00910E96" w:rsidRDefault="00B45683" w:rsidP="00443F17">
            <w:pPr>
              <w:spacing w:line="0" w:lineRule="atLeast"/>
              <w:ind w:left="2550" w:hanging="360"/>
              <w:rPr>
                <w:rFonts w:ascii="Times New Roman" w:hAnsi="Times New Roman" w:cs="Times New Roman"/>
                <w:b/>
                <w:sz w:val="20"/>
                <w:szCs w:val="20"/>
              </w:rPr>
            </w:pPr>
            <w:r w:rsidRPr="00AC50A5">
              <w:rPr>
                <w:rFonts w:ascii="Times New Roman" w:hAnsi="Times New Roman" w:cs="Times New Roman"/>
                <w:b/>
                <w:noProof/>
                <w:sz w:val="20"/>
                <w:szCs w:val="20"/>
              </w:rPr>
              <mc:AlternateContent>
                <mc:Choice Requires="wps">
                  <w:drawing>
                    <wp:anchor distT="0" distB="0" distL="114300" distR="114300" simplePos="0" relativeHeight="251848704" behindDoc="0" locked="0" layoutInCell="1" allowOverlap="1" wp14:anchorId="4476D877" wp14:editId="1E5B2533">
                      <wp:simplePos x="0" y="0"/>
                      <wp:positionH relativeFrom="column">
                        <wp:posOffset>176530</wp:posOffset>
                      </wp:positionH>
                      <wp:positionV relativeFrom="paragraph">
                        <wp:posOffset>130175</wp:posOffset>
                      </wp:positionV>
                      <wp:extent cx="876300" cy="514350"/>
                      <wp:effectExtent l="0" t="0" r="19050" b="1905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solidFill>
                                  <a:srgbClr val="000000"/>
                                </a:solidFill>
                                <a:miter lim="800000"/>
                                <a:headEnd/>
                                <a:tailEnd/>
                              </a:ln>
                            </wps:spPr>
                            <wps:txbx>
                              <w:txbxContent>
                                <w:p w14:paraId="4F19A3F9"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pt;margin-top:10.25pt;width:69pt;height:4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6TJwIAAE0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">
                      <v:textbox>
                        <w:txbxContent>
                          <w:p w14:paraId="4F19A3F9"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v:textbox>
                    </v:shape>
                  </w:pict>
                </mc:Fallback>
              </mc:AlternateContent>
            </w:r>
            <w:r w:rsidRPr="00910E96">
              <w:rPr>
                <w:rFonts w:ascii="Times New Roman" w:hAnsi="Times New Roman" w:cs="Times New Roman"/>
                <w:b/>
                <w:sz w:val="20"/>
                <w:szCs w:val="20"/>
              </w:rPr>
              <w:t>Second Medium Term Plan 2013-2017 (MTP2) Goals</w:t>
            </w:r>
            <w:r w:rsidR="005C7D81">
              <w:rPr>
                <w:rStyle w:val="FootnoteReference"/>
                <w:rFonts w:ascii="Times New Roman" w:hAnsi="Times New Roman" w:cs="Times New Roman"/>
                <w:b/>
                <w:sz w:val="20"/>
                <w:szCs w:val="20"/>
              </w:rPr>
              <w:footnoteReference w:id="7"/>
            </w:r>
            <w:r w:rsidRPr="00910E96">
              <w:rPr>
                <w:rFonts w:ascii="Times New Roman" w:hAnsi="Times New Roman" w:cs="Times New Roman"/>
                <w:b/>
                <w:sz w:val="20"/>
                <w:szCs w:val="20"/>
              </w:rPr>
              <w:t>:</w:t>
            </w:r>
          </w:p>
          <w:p w14:paraId="4FD7991B"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Improve the socioeconomic status of citizens and vulnerable groups</w:t>
            </w:r>
          </w:p>
          <w:p w14:paraId="1D196DD6"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 xml:space="preserve">Advance an Innovative, commercially-oriented, competitive and modern agriculture </w:t>
            </w:r>
          </w:p>
          <w:p w14:paraId="73977A17"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Scale up high impact interventions to reduce maternal and neonatal mortality and morbidity in the country</w:t>
            </w:r>
          </w:p>
          <w:p w14:paraId="1533ABE9" w14:textId="77777777" w:rsidR="00B45683" w:rsidRPr="00910E96"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Develop human resources within employment; to equip the youth with appropriate technical and vocational skills for the industry</w:t>
            </w:r>
          </w:p>
          <w:p w14:paraId="7A56BE51" w14:textId="77777777" w:rsidR="00B45683" w:rsidRPr="000B44A7" w:rsidRDefault="00B45683" w:rsidP="00B45683">
            <w:pPr>
              <w:pStyle w:val="ListParagraph"/>
              <w:numPr>
                <w:ilvl w:val="0"/>
                <w:numId w:val="16"/>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Reduce drought vulnerability to natural disasters, such as droughts, and enhance adaptation to climate change</w:t>
            </w:r>
          </w:p>
          <w:p w14:paraId="6CD01DDD" w14:textId="77777777" w:rsidR="000B44A7" w:rsidRDefault="000B44A7" w:rsidP="000B44A7">
            <w:pPr>
              <w:pStyle w:val="ListParagraph"/>
              <w:spacing w:line="0" w:lineRule="atLeast"/>
              <w:ind w:left="2550" w:firstLine="0"/>
              <w:rPr>
                <w:rFonts w:ascii="Times New Roman" w:hAnsi="Times New Roman" w:cs="Times New Roman"/>
                <w:b/>
                <w:sz w:val="20"/>
                <w:szCs w:val="20"/>
              </w:rPr>
            </w:pPr>
          </w:p>
          <w:p w14:paraId="07168B9E" w14:textId="77777777" w:rsidR="00000103" w:rsidRPr="00910E96" w:rsidRDefault="00000103" w:rsidP="000B44A7">
            <w:pPr>
              <w:pStyle w:val="ListParagraph"/>
              <w:spacing w:line="0" w:lineRule="atLeast"/>
              <w:ind w:left="2550" w:firstLine="0"/>
              <w:rPr>
                <w:rFonts w:ascii="Times New Roman" w:hAnsi="Times New Roman" w:cs="Times New Roman"/>
                <w:b/>
                <w:sz w:val="20"/>
                <w:szCs w:val="20"/>
              </w:rPr>
            </w:pPr>
          </w:p>
        </w:tc>
      </w:tr>
      <w:tr w:rsidR="00B45683" w:rsidRPr="00910E96" w14:paraId="4B87EB02" w14:textId="77777777" w:rsidTr="000B44A7">
        <w:trPr>
          <w:jc w:val="center"/>
        </w:trPr>
        <w:tc>
          <w:tcPr>
            <w:tcW w:w="13972" w:type="dxa"/>
            <w:gridSpan w:val="3"/>
            <w:tcBorders>
              <w:bottom w:val="single" w:sz="4" w:space="0" w:color="auto"/>
            </w:tcBorders>
          </w:tcPr>
          <w:p w14:paraId="49395790" w14:textId="77777777" w:rsidR="00B45683" w:rsidRPr="00910E96" w:rsidRDefault="00B45683"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lastRenderedPageBreak/>
              <w:t xml:space="preserve">Issues and Obstacles: </w:t>
            </w:r>
          </w:p>
          <w:p w14:paraId="37E10781"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High rates of poverty persist among vulnerable groups, especially children (53.5 percent), including orphans and vulnerable children (54.1 percent). </w:t>
            </w:r>
          </w:p>
          <w:p w14:paraId="4EE9B1AF"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Expenditure on safety net, including cash transfers, is still low compared to the size of the population in need. Cash transfer programs tend to be limited in size, fragmented and are largely uncoordinated. </w:t>
            </w:r>
          </w:p>
          <w:p w14:paraId="76526DE6"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Maternal mortality is among the highest in Africa at 488 deaths per 100,000 live births. The proportion of women who deliver with skilled attendance is only 44 percent and has remained largely unchanged since 1993. </w:t>
            </w:r>
          </w:p>
          <w:p w14:paraId="534EFCE6"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Over a third of Kenyan children are stunted, while 14 percent are severely stunted. </w:t>
            </w:r>
          </w:p>
          <w:p w14:paraId="1848F693"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Unemployment rate for youth is double the adult average, at about 21 percent, with 28 percent of youth neither in school nor at work. Ensuring that young people are successfully integrated into the economy and are employed will open the pathway to a demographic dividend for development that will improve Kenya’s competitiveness, raise household incomes, reduce poverty and create a virtuous circle of investment and growth. </w:t>
            </w:r>
          </w:p>
          <w:p w14:paraId="422811E9"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Livelihoods and economic activities in Kenya are highly vulnerable to climate fluctuations. The country’s inland areas are largely arid with two-thirds of the country receiving less than 500 mm of rainfall per year, limiting the potential for agriculture. </w:t>
            </w:r>
          </w:p>
          <w:p w14:paraId="1643ED71" w14:textId="77777777" w:rsidR="00B45683" w:rsidRPr="00910E96" w:rsidRDefault="00B45683" w:rsidP="00443F17">
            <w:pPr>
              <w:pStyle w:val="ListParagraph"/>
              <w:spacing w:line="0" w:lineRule="atLeast"/>
              <w:rPr>
                <w:rFonts w:ascii="Times New Roman" w:hAnsi="Times New Roman" w:cs="Times New Roman"/>
                <w:sz w:val="20"/>
                <w:szCs w:val="20"/>
              </w:rPr>
            </w:pPr>
          </w:p>
          <w:p w14:paraId="46F8BAB4" w14:textId="77777777" w:rsidR="00B45683" w:rsidRPr="00910E96" w:rsidRDefault="00B45683"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t xml:space="preserve">Governance </w:t>
            </w:r>
          </w:p>
          <w:p w14:paraId="4F1F5D23" w14:textId="77777777" w:rsidR="00B45683" w:rsidRPr="00910E96" w:rsidRDefault="00B45683" w:rsidP="00B45683">
            <w:pPr>
              <w:pStyle w:val="ListParagraph"/>
              <w:numPr>
                <w:ilvl w:val="0"/>
                <w:numId w:val="17"/>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Weak governance in sectors manifested in poor quality of public expenditure, elite capture,   leakages, inefficiencies and mismanagement have impact on quality of, and access to services and service delivery outcomes in infrastructure and social sectors (e.g. electricity, water, agriculture, health and education. The poorest Kenyans have most difficulties accessing services due to these constraints. </w:t>
            </w:r>
          </w:p>
          <w:p w14:paraId="0144E814" w14:textId="77777777" w:rsidR="00B45683" w:rsidRPr="00910E96" w:rsidRDefault="00B45683" w:rsidP="00443F17">
            <w:pPr>
              <w:pStyle w:val="ListParagraph"/>
              <w:spacing w:line="0" w:lineRule="atLeast"/>
              <w:rPr>
                <w:rFonts w:ascii="Times New Roman" w:hAnsi="Times New Roman" w:cs="Times New Roman"/>
                <w:sz w:val="20"/>
                <w:szCs w:val="20"/>
              </w:rPr>
            </w:pPr>
          </w:p>
        </w:tc>
      </w:tr>
      <w:tr w:rsidR="00F96822" w:rsidRPr="00910E96" w14:paraId="7F1F1398" w14:textId="77777777" w:rsidTr="000B44A7">
        <w:trPr>
          <w:jc w:val="center"/>
        </w:trPr>
        <w:tc>
          <w:tcPr>
            <w:tcW w:w="4744" w:type="dxa"/>
            <w:shd w:val="pct10" w:color="auto" w:fill="auto"/>
          </w:tcPr>
          <w:p w14:paraId="384F77DB" w14:textId="77777777" w:rsidR="00F96822" w:rsidRPr="00F96822" w:rsidRDefault="00F96822" w:rsidP="005650F1">
            <w:pPr>
              <w:spacing w:line="0" w:lineRule="atLeast"/>
              <w:ind w:firstLine="0"/>
              <w:jc w:val="center"/>
              <w:rPr>
                <w:rFonts w:ascii="Times New Roman" w:hAnsi="Times New Roman" w:cs="Times New Roman"/>
                <w:b/>
              </w:rPr>
            </w:pPr>
            <w:r w:rsidRPr="00F96822">
              <w:rPr>
                <w:rFonts w:ascii="Times New Roman" w:hAnsi="Times New Roman" w:cs="Times New Roman"/>
                <w:b/>
              </w:rPr>
              <w:t>End FY18 CPS Outcomes</w:t>
            </w:r>
            <w:r w:rsidR="005C7D81">
              <w:rPr>
                <w:rStyle w:val="FootnoteReference"/>
                <w:rFonts w:ascii="Times New Roman" w:hAnsi="Times New Roman" w:cs="Times New Roman"/>
                <w:b/>
              </w:rPr>
              <w:footnoteReference w:id="8"/>
            </w:r>
          </w:p>
        </w:tc>
        <w:tc>
          <w:tcPr>
            <w:tcW w:w="3918" w:type="dxa"/>
            <w:shd w:val="pct10" w:color="auto" w:fill="auto"/>
          </w:tcPr>
          <w:p w14:paraId="5BB5E07A" w14:textId="77777777" w:rsidR="00F96822" w:rsidRPr="00F96822" w:rsidRDefault="00F96822" w:rsidP="005650F1">
            <w:pPr>
              <w:spacing w:line="0" w:lineRule="atLeast"/>
              <w:ind w:firstLine="0"/>
              <w:jc w:val="center"/>
              <w:rPr>
                <w:rFonts w:ascii="Times New Roman" w:hAnsi="Times New Roman" w:cs="Times New Roman"/>
                <w:b/>
              </w:rPr>
            </w:pPr>
            <w:r w:rsidRPr="00F96822">
              <w:rPr>
                <w:rFonts w:ascii="Times New Roman" w:hAnsi="Times New Roman" w:cs="Times New Roman"/>
                <w:b/>
              </w:rPr>
              <w:t>Selected Milestones and Outputs</w:t>
            </w:r>
          </w:p>
        </w:tc>
        <w:tc>
          <w:tcPr>
            <w:tcW w:w="5310" w:type="dxa"/>
            <w:shd w:val="pct10" w:color="auto" w:fill="auto"/>
          </w:tcPr>
          <w:p w14:paraId="6B7192F1" w14:textId="77777777" w:rsidR="00F96822" w:rsidRPr="00910E96" w:rsidRDefault="00F96822" w:rsidP="005650F1">
            <w:pPr>
              <w:spacing w:line="0" w:lineRule="atLeast"/>
              <w:ind w:firstLine="0"/>
              <w:jc w:val="center"/>
              <w:rPr>
                <w:rFonts w:ascii="Times New Roman" w:hAnsi="Times New Roman" w:cs="Times New Roman"/>
                <w:b/>
                <w:sz w:val="20"/>
                <w:szCs w:val="20"/>
              </w:rPr>
            </w:pPr>
            <w:r w:rsidRPr="00F96822">
              <w:rPr>
                <w:rFonts w:ascii="Times New Roman" w:hAnsi="Times New Roman" w:cs="Times New Roman"/>
                <w:b/>
                <w:szCs w:val="20"/>
              </w:rPr>
              <w:t>World Bank Group Program</w:t>
            </w:r>
          </w:p>
        </w:tc>
      </w:tr>
      <w:tr w:rsidR="00F96822" w:rsidRPr="00910E96" w14:paraId="0960B9B1" w14:textId="77777777" w:rsidTr="000B44A7">
        <w:trPr>
          <w:jc w:val="center"/>
        </w:trPr>
        <w:tc>
          <w:tcPr>
            <w:tcW w:w="4744" w:type="dxa"/>
          </w:tcPr>
          <w:p w14:paraId="663FABB9" w14:textId="77777777" w:rsidR="00F96822" w:rsidRPr="00101AAE" w:rsidRDefault="00F96822" w:rsidP="00443F17">
            <w:pPr>
              <w:pStyle w:val="ListParagraph"/>
              <w:spacing w:line="0" w:lineRule="atLeast"/>
              <w:ind w:left="0" w:firstLine="0"/>
              <w:jc w:val="center"/>
              <w:rPr>
                <w:rFonts w:ascii="Times New Roman" w:hAnsi="Times New Roman" w:cs="Times New Roman"/>
                <w:b/>
                <w:sz w:val="24"/>
                <w:szCs w:val="24"/>
              </w:rPr>
            </w:pPr>
            <w:r w:rsidRPr="00101AAE">
              <w:rPr>
                <w:rFonts w:ascii="Times New Roman" w:hAnsi="Times New Roman" w:cs="Times New Roman"/>
                <w:b/>
                <w:sz w:val="24"/>
                <w:szCs w:val="24"/>
              </w:rPr>
              <w:t>Outcome 4:  Greater Agricultural Productivity</w:t>
            </w:r>
          </w:p>
          <w:p w14:paraId="33ABBBA3" w14:textId="77777777" w:rsidR="00F96822" w:rsidRPr="00101AAE" w:rsidRDefault="00F96822" w:rsidP="00443F17">
            <w:pPr>
              <w:pStyle w:val="ListParagraph"/>
              <w:spacing w:line="0" w:lineRule="atLeast"/>
              <w:ind w:left="0"/>
              <w:rPr>
                <w:rFonts w:ascii="Times New Roman" w:hAnsi="Times New Roman" w:cs="Times New Roman"/>
                <w:sz w:val="20"/>
                <w:szCs w:val="20"/>
              </w:rPr>
            </w:pPr>
          </w:p>
          <w:p w14:paraId="5E4A377A" w14:textId="77777777" w:rsidR="00F96822" w:rsidRPr="00101AAE" w:rsidRDefault="00F96822" w:rsidP="00B45683">
            <w:pPr>
              <w:pStyle w:val="ListParagraph"/>
              <w:numPr>
                <w:ilvl w:val="0"/>
                <w:numId w:val="6"/>
              </w:numPr>
              <w:spacing w:line="0" w:lineRule="atLeast"/>
              <w:rPr>
                <w:rFonts w:ascii="Times New Roman" w:hAnsi="Times New Roman" w:cs="Times New Roman"/>
                <w:sz w:val="20"/>
                <w:szCs w:val="20"/>
              </w:rPr>
            </w:pPr>
            <w:r w:rsidRPr="00101AAE">
              <w:rPr>
                <w:rFonts w:ascii="Times New Roman" w:hAnsi="Times New Roman" w:cs="Times New Roman"/>
                <w:sz w:val="20"/>
                <w:szCs w:val="20"/>
              </w:rPr>
              <w:t>Annual increase in yields of smallholder farmers of selected agricultural commodities (average percentage)</w:t>
            </w:r>
            <w:r w:rsidR="000B44A7" w:rsidRPr="00101AAE">
              <w:rPr>
                <w:rStyle w:val="FootnoteReference"/>
                <w:rFonts w:ascii="Times New Roman" w:hAnsi="Times New Roman" w:cs="Times New Roman"/>
                <w:sz w:val="20"/>
                <w:szCs w:val="20"/>
              </w:rPr>
              <w:footnoteReference w:customMarkFollows="1" w:id="9"/>
              <w:sym w:font="Symbol" w:char="F02A"/>
            </w:r>
          </w:p>
          <w:p w14:paraId="603F264D" w14:textId="77777777" w:rsidR="00F96822" w:rsidRPr="00101AAE" w:rsidRDefault="00F96822" w:rsidP="00443F17">
            <w:pPr>
              <w:pStyle w:val="ListParagraph"/>
              <w:spacing w:line="0" w:lineRule="atLeast"/>
              <w:ind w:left="1017" w:firstLine="0"/>
              <w:rPr>
                <w:rFonts w:ascii="Times New Roman" w:hAnsi="Times New Roman" w:cs="Times New Roman"/>
                <w:sz w:val="20"/>
                <w:szCs w:val="20"/>
              </w:rPr>
            </w:pPr>
            <w:r w:rsidRPr="00101AAE">
              <w:rPr>
                <w:rFonts w:ascii="Times New Roman" w:hAnsi="Times New Roman" w:cs="Times New Roman"/>
                <w:sz w:val="20"/>
                <w:szCs w:val="20"/>
              </w:rPr>
              <w:t>Baseline: 17 bags/ha maize; 4.5 bags/ha beans; 60 bags/ha Irish potatoes  (2013)</w:t>
            </w:r>
          </w:p>
          <w:p w14:paraId="71AD2FC9" w14:textId="77777777" w:rsidR="00F96822" w:rsidRPr="00101AAE" w:rsidRDefault="00F96822" w:rsidP="00443F17">
            <w:pPr>
              <w:pStyle w:val="ListParagraph"/>
              <w:spacing w:line="0" w:lineRule="atLeast"/>
              <w:ind w:left="1017" w:firstLine="0"/>
              <w:rPr>
                <w:rFonts w:ascii="Times New Roman" w:hAnsi="Times New Roman" w:cs="Times New Roman"/>
                <w:sz w:val="20"/>
                <w:szCs w:val="20"/>
              </w:rPr>
            </w:pPr>
            <w:r w:rsidRPr="00101AAE">
              <w:rPr>
                <w:rFonts w:ascii="Times New Roman" w:hAnsi="Times New Roman" w:cs="Times New Roman"/>
                <w:sz w:val="20"/>
                <w:szCs w:val="20"/>
              </w:rPr>
              <w:t xml:space="preserve">Target: </w:t>
            </w:r>
            <w:r w:rsidR="005468F6" w:rsidRPr="00101AAE">
              <w:rPr>
                <w:rFonts w:ascii="Times New Roman" w:hAnsi="Times New Roman" w:cs="Times New Roman"/>
                <w:sz w:val="20"/>
                <w:szCs w:val="20"/>
              </w:rPr>
              <w:t>5</w:t>
            </w:r>
            <w:r w:rsidRPr="00101AAE">
              <w:rPr>
                <w:rFonts w:ascii="Times New Roman" w:hAnsi="Times New Roman" w:cs="Times New Roman"/>
                <w:sz w:val="20"/>
                <w:szCs w:val="20"/>
              </w:rPr>
              <w:t>% bags/ha increase for maize, beans and Irish potatoes (2018)</w:t>
            </w:r>
          </w:p>
          <w:p w14:paraId="1C0F2DBB" w14:textId="77777777" w:rsidR="00F96822" w:rsidRPr="00101AAE" w:rsidRDefault="00F96822" w:rsidP="00443F17">
            <w:pPr>
              <w:tabs>
                <w:tab w:val="left" w:pos="342"/>
              </w:tabs>
              <w:spacing w:line="0" w:lineRule="atLeast"/>
              <w:ind w:firstLine="0"/>
              <w:rPr>
                <w:rFonts w:ascii="Times New Roman" w:hAnsi="Times New Roman" w:cs="Times New Roman"/>
                <w:b/>
                <w:sz w:val="24"/>
                <w:szCs w:val="24"/>
              </w:rPr>
            </w:pPr>
          </w:p>
          <w:p w14:paraId="0D5A0E37" w14:textId="77777777" w:rsidR="00F96822" w:rsidRPr="00101AAE" w:rsidRDefault="00F96822" w:rsidP="00B45683">
            <w:pPr>
              <w:pStyle w:val="ListParagraph"/>
              <w:numPr>
                <w:ilvl w:val="0"/>
                <w:numId w:val="6"/>
              </w:numPr>
              <w:spacing w:line="0" w:lineRule="atLeast"/>
              <w:rPr>
                <w:rFonts w:ascii="Times New Roman" w:hAnsi="Times New Roman" w:cs="Times New Roman"/>
                <w:sz w:val="20"/>
                <w:szCs w:val="20"/>
              </w:rPr>
            </w:pPr>
            <w:r w:rsidRPr="00101AAE">
              <w:rPr>
                <w:rFonts w:ascii="Times New Roman" w:hAnsi="Times New Roman" w:cs="Times New Roman"/>
                <w:sz w:val="20"/>
                <w:szCs w:val="20"/>
              </w:rPr>
              <w:t>Agricultural irrigated land (ha)</w:t>
            </w:r>
            <w:r w:rsidRPr="00101AAE">
              <w:rPr>
                <w:rFonts w:ascii="Times New Roman" w:hAnsi="Times New Roman" w:cs="Times New Roman"/>
                <w:sz w:val="16"/>
                <w:szCs w:val="20"/>
              </w:rPr>
              <w:t>*</w:t>
            </w:r>
          </w:p>
          <w:p w14:paraId="52E01F0F" w14:textId="77777777" w:rsidR="00F96822" w:rsidRPr="00101AAE" w:rsidRDefault="00F96822" w:rsidP="00443F17">
            <w:pPr>
              <w:pStyle w:val="ListParagraph"/>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Baseline: 130,000 hectares of irrigation and 30,000 hectares of drainage (2013)</w:t>
            </w:r>
          </w:p>
          <w:p w14:paraId="7B145C6F" w14:textId="77777777" w:rsidR="00F96822" w:rsidRPr="00101AAE" w:rsidRDefault="00F96822" w:rsidP="00443F17">
            <w:pPr>
              <w:pStyle w:val="ListParagraph"/>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 xml:space="preserve">Target: </w:t>
            </w:r>
            <w:r w:rsidR="005468F6" w:rsidRPr="00101AAE">
              <w:rPr>
                <w:rFonts w:ascii="Times New Roman" w:hAnsi="Times New Roman" w:cs="Times New Roman"/>
                <w:sz w:val="20"/>
                <w:szCs w:val="20"/>
              </w:rPr>
              <w:t>175</w:t>
            </w:r>
            <w:r w:rsidRPr="00101AAE">
              <w:rPr>
                <w:rFonts w:ascii="Times New Roman" w:hAnsi="Times New Roman" w:cs="Times New Roman"/>
                <w:sz w:val="20"/>
                <w:szCs w:val="20"/>
              </w:rPr>
              <w:t>,000 hectares of irrigation and 4</w:t>
            </w:r>
            <w:r w:rsidR="005468F6" w:rsidRPr="00101AAE">
              <w:rPr>
                <w:rFonts w:ascii="Times New Roman" w:hAnsi="Times New Roman" w:cs="Times New Roman"/>
                <w:sz w:val="20"/>
                <w:szCs w:val="20"/>
              </w:rPr>
              <w:t>0</w:t>
            </w:r>
            <w:r w:rsidRPr="00101AAE">
              <w:rPr>
                <w:rFonts w:ascii="Times New Roman" w:hAnsi="Times New Roman" w:cs="Times New Roman"/>
                <w:sz w:val="20"/>
                <w:szCs w:val="20"/>
              </w:rPr>
              <w:t>,000 hectares of drainage (2018)</w:t>
            </w:r>
          </w:p>
          <w:p w14:paraId="572B144B" w14:textId="77777777" w:rsidR="00F96822" w:rsidRPr="00101AAE" w:rsidRDefault="00F96822" w:rsidP="00443F17">
            <w:pPr>
              <w:tabs>
                <w:tab w:val="left" w:pos="342"/>
              </w:tabs>
              <w:spacing w:line="0" w:lineRule="atLeast"/>
              <w:ind w:firstLine="0"/>
              <w:rPr>
                <w:rFonts w:ascii="Times New Roman" w:hAnsi="Times New Roman" w:cs="Times New Roman"/>
                <w:b/>
                <w:sz w:val="24"/>
                <w:szCs w:val="24"/>
              </w:rPr>
            </w:pPr>
          </w:p>
        </w:tc>
        <w:tc>
          <w:tcPr>
            <w:tcW w:w="3918" w:type="dxa"/>
          </w:tcPr>
          <w:p w14:paraId="2AB678C2" w14:textId="77777777" w:rsidR="00F96822" w:rsidRPr="00101AAE" w:rsidRDefault="00F96822" w:rsidP="00B45683">
            <w:pPr>
              <w:pStyle w:val="ListParagraph"/>
              <w:numPr>
                <w:ilvl w:val="0"/>
                <w:numId w:val="11"/>
              </w:numPr>
              <w:spacing w:line="0" w:lineRule="atLeast"/>
              <w:rPr>
                <w:rFonts w:ascii="Times New Roman" w:hAnsi="Times New Roman" w:cs="Times New Roman"/>
                <w:sz w:val="20"/>
                <w:szCs w:val="20"/>
              </w:rPr>
            </w:pPr>
            <w:r w:rsidRPr="00101AAE">
              <w:rPr>
                <w:rFonts w:ascii="Times New Roman" w:hAnsi="Times New Roman" w:cs="Times New Roman"/>
                <w:sz w:val="20"/>
                <w:szCs w:val="20"/>
              </w:rPr>
              <w:t>Harmonized agricultural sector development strategy and its implementation framework completed by 2014</w:t>
            </w:r>
          </w:p>
          <w:p w14:paraId="35437974" w14:textId="77777777" w:rsidR="00F96822" w:rsidRPr="00101AAE" w:rsidRDefault="00F96822" w:rsidP="00B45683">
            <w:pPr>
              <w:pStyle w:val="ListParagraph"/>
              <w:numPr>
                <w:ilvl w:val="0"/>
                <w:numId w:val="11"/>
              </w:numPr>
              <w:spacing w:line="0" w:lineRule="atLeast"/>
              <w:rPr>
                <w:rFonts w:ascii="Times New Roman" w:hAnsi="Times New Roman" w:cs="Times New Roman"/>
                <w:sz w:val="20"/>
                <w:szCs w:val="20"/>
              </w:rPr>
            </w:pPr>
            <w:r w:rsidRPr="00101AAE">
              <w:rPr>
                <w:rFonts w:ascii="Times New Roman" w:hAnsi="Times New Roman" w:cs="Times New Roman"/>
                <w:sz w:val="20"/>
                <w:szCs w:val="20"/>
              </w:rPr>
              <w:t>Technologies and innovations that respond to women and men smallholder priorities along selected product value chains generated  (target: 82)</w:t>
            </w:r>
          </w:p>
          <w:p w14:paraId="78971BD9" w14:textId="77777777" w:rsidR="00F96822" w:rsidRPr="00101AAE" w:rsidRDefault="00F96822" w:rsidP="00B45683">
            <w:pPr>
              <w:pStyle w:val="ListParagraph"/>
              <w:numPr>
                <w:ilvl w:val="0"/>
                <w:numId w:val="11"/>
              </w:numPr>
              <w:spacing w:line="0" w:lineRule="atLeast"/>
              <w:rPr>
                <w:rFonts w:ascii="Times New Roman" w:hAnsi="Times New Roman" w:cs="Times New Roman"/>
                <w:sz w:val="20"/>
                <w:szCs w:val="20"/>
              </w:rPr>
            </w:pPr>
            <w:r w:rsidRPr="00101AAE">
              <w:rPr>
                <w:rFonts w:ascii="Times New Roman" w:hAnsi="Times New Roman" w:cs="Times New Roman"/>
                <w:sz w:val="20"/>
                <w:szCs w:val="20"/>
              </w:rPr>
              <w:t>National sustainable land management planning framework established by 2015</w:t>
            </w:r>
          </w:p>
          <w:p w14:paraId="58144353" w14:textId="77777777" w:rsidR="00F96822" w:rsidRPr="00101AAE" w:rsidRDefault="00F96822" w:rsidP="00B45683">
            <w:pPr>
              <w:pStyle w:val="ListParagraph"/>
              <w:numPr>
                <w:ilvl w:val="0"/>
                <w:numId w:val="11"/>
              </w:numPr>
              <w:spacing w:line="0" w:lineRule="atLeast"/>
              <w:rPr>
                <w:rFonts w:ascii="Times New Roman" w:hAnsi="Times New Roman" w:cs="Times New Roman"/>
                <w:sz w:val="20"/>
                <w:szCs w:val="20"/>
              </w:rPr>
            </w:pPr>
            <w:r w:rsidRPr="00101AAE">
              <w:rPr>
                <w:rFonts w:ascii="Times New Roman" w:hAnsi="Times New Roman" w:cs="Times New Roman"/>
                <w:sz w:val="20"/>
                <w:szCs w:val="20"/>
              </w:rPr>
              <w:t>Water policy adopted and water bill submitted to Parliament by 2016</w:t>
            </w:r>
          </w:p>
          <w:p w14:paraId="1C67ABC9" w14:textId="77777777" w:rsidR="00F96822" w:rsidRPr="00101AAE" w:rsidRDefault="00F96822" w:rsidP="00B45683">
            <w:pPr>
              <w:pStyle w:val="ListParagraph"/>
              <w:numPr>
                <w:ilvl w:val="0"/>
                <w:numId w:val="11"/>
              </w:numPr>
              <w:spacing w:line="0" w:lineRule="atLeast"/>
              <w:rPr>
                <w:rFonts w:ascii="Times New Roman" w:hAnsi="Times New Roman" w:cs="Times New Roman"/>
                <w:sz w:val="20"/>
                <w:szCs w:val="20"/>
              </w:rPr>
            </w:pPr>
            <w:r w:rsidRPr="00101AAE">
              <w:rPr>
                <w:rFonts w:ascii="Times New Roman" w:hAnsi="Times New Roman" w:cs="Times New Roman"/>
                <w:sz w:val="20"/>
                <w:szCs w:val="20"/>
              </w:rPr>
              <w:t>Staff and water resources users association trained in areas related to water management and planning (target: 600)</w:t>
            </w:r>
          </w:p>
        </w:tc>
        <w:tc>
          <w:tcPr>
            <w:tcW w:w="5310" w:type="dxa"/>
          </w:tcPr>
          <w:p w14:paraId="5035EF52"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Ongoing</w:t>
            </w:r>
          </w:p>
          <w:p w14:paraId="402B0A8F" w14:textId="77777777" w:rsidR="00F96822" w:rsidRPr="00910E96" w:rsidRDefault="00F96822" w:rsidP="00443F17">
            <w:pPr>
              <w:tabs>
                <w:tab w:val="left" w:pos="4698"/>
                <w:tab w:val="left" w:pos="6138"/>
                <w:tab w:val="left" w:pos="7938"/>
              </w:tabs>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4E40EDC2" w14:textId="77777777" w:rsidR="00F96822" w:rsidRPr="00910E96" w:rsidRDefault="00F96822" w:rsidP="00443F17">
            <w:pPr>
              <w:tabs>
                <w:tab w:val="left" w:pos="4698"/>
                <w:tab w:val="left" w:pos="6138"/>
                <w:tab w:val="left" w:pos="7938"/>
              </w:tabs>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[P109683] KE Agricultural Productivity &amp; Agribusiness; [PO74106] Eastern Africa Agricultural Productivity Project; [P088600] KE Agricultural Productivity &amp; Sustainable Land Management Project; [P094692] KE Coastal Development Project; [P091979] KE Adaptation Climate Change;  [P074106] KE W Kenya CDD Flood Mitigation; [P108845] KE FMSCEDP Coastal CD GEF Fish; [P117635] KE Enhancing Water Security and Climate Resistance; [P129610] Readiness for Climate-Smart Agriculture (TA); [P149891] KE Political Economy of the Agriculture Sector (ESW); [P149072 &amp; P149796] Political Economy Analysis of Kenya’s Agriculture – the Food Sector (ESW); [P148649] KE Agriculture Sector Review (ESW)</w:t>
            </w:r>
          </w:p>
          <w:p w14:paraId="2BEE1534" w14:textId="77777777" w:rsidR="00F96822" w:rsidRPr="00910E96" w:rsidRDefault="00F96822" w:rsidP="00443F17">
            <w:pPr>
              <w:tabs>
                <w:tab w:val="left" w:pos="4698"/>
              </w:tabs>
              <w:spacing w:line="0" w:lineRule="atLeast"/>
              <w:ind w:firstLine="0"/>
              <w:rPr>
                <w:rFonts w:ascii="Times New Roman" w:hAnsi="Times New Roman" w:cs="Times New Roman"/>
                <w:sz w:val="20"/>
                <w:szCs w:val="20"/>
              </w:rPr>
            </w:pPr>
          </w:p>
          <w:p w14:paraId="67B02AAE" w14:textId="77777777" w:rsidR="00F96822" w:rsidRPr="00910E96" w:rsidRDefault="00F96822" w:rsidP="00443F17">
            <w:pPr>
              <w:tabs>
                <w:tab w:val="left" w:pos="4698"/>
              </w:tabs>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IFC:</w:t>
            </w:r>
          </w:p>
          <w:p w14:paraId="6C62374A" w14:textId="77777777" w:rsidR="00F96822" w:rsidRPr="00910E96" w:rsidRDefault="00F96822" w:rsidP="00443F17">
            <w:pPr>
              <w:tabs>
                <w:tab w:val="left" w:pos="4698"/>
              </w:tabs>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[32216] Kenya Tea Development Agency</w:t>
            </w:r>
          </w:p>
          <w:p w14:paraId="0EF0092C" w14:textId="77777777" w:rsidR="00F96822" w:rsidRDefault="00F96822" w:rsidP="00443F17">
            <w:pPr>
              <w:tabs>
                <w:tab w:val="left" w:pos="4698"/>
              </w:tabs>
              <w:spacing w:line="0" w:lineRule="atLeast"/>
              <w:ind w:firstLine="0"/>
              <w:rPr>
                <w:rFonts w:ascii="Times New Roman" w:hAnsi="Times New Roman" w:cs="Times New Roman"/>
                <w:i/>
                <w:sz w:val="20"/>
                <w:szCs w:val="20"/>
              </w:rPr>
            </w:pPr>
          </w:p>
          <w:p w14:paraId="299C970E" w14:textId="77777777" w:rsidR="00F96822" w:rsidRPr="00910E96" w:rsidRDefault="00F96822" w:rsidP="00443F17">
            <w:pPr>
              <w:tabs>
                <w:tab w:val="left" w:pos="4698"/>
              </w:tabs>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lastRenderedPageBreak/>
              <w:t xml:space="preserve">MIGA: </w:t>
            </w:r>
          </w:p>
          <w:p w14:paraId="775BC528" w14:textId="77777777" w:rsidR="00F96822" w:rsidRPr="00910E96" w:rsidRDefault="00F96822" w:rsidP="00443F17">
            <w:pPr>
              <w:tabs>
                <w:tab w:val="left" w:pos="4698"/>
              </w:tabs>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[6734] </w:t>
            </w:r>
            <w:proofErr w:type="spellStart"/>
            <w:r w:rsidRPr="00910E96">
              <w:rPr>
                <w:rFonts w:ascii="Times New Roman" w:hAnsi="Times New Roman" w:cs="Times New Roman"/>
                <w:sz w:val="20"/>
                <w:szCs w:val="20"/>
              </w:rPr>
              <w:t>Kibos</w:t>
            </w:r>
            <w:proofErr w:type="spellEnd"/>
            <w:r w:rsidRPr="00910E96">
              <w:rPr>
                <w:rFonts w:ascii="Times New Roman" w:hAnsi="Times New Roman" w:cs="Times New Roman"/>
                <w:sz w:val="20"/>
                <w:szCs w:val="20"/>
              </w:rPr>
              <w:t xml:space="preserve"> Sugar and Allied Industries Limited</w:t>
            </w:r>
          </w:p>
          <w:p w14:paraId="16A77DE7" w14:textId="77777777" w:rsidR="00F96822" w:rsidRPr="00910E96" w:rsidRDefault="00F96822" w:rsidP="00443F17">
            <w:pPr>
              <w:tabs>
                <w:tab w:val="left" w:pos="4698"/>
              </w:tabs>
              <w:spacing w:line="0" w:lineRule="atLeast"/>
              <w:ind w:firstLine="0"/>
              <w:rPr>
                <w:rFonts w:ascii="Times New Roman" w:hAnsi="Times New Roman" w:cs="Times New Roman"/>
                <w:sz w:val="20"/>
                <w:szCs w:val="20"/>
              </w:rPr>
            </w:pPr>
          </w:p>
          <w:p w14:paraId="3295CFD3"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3852A160" w14:textId="77777777" w:rsidR="00F96822" w:rsidRPr="00910E96" w:rsidRDefault="00F96822" w:rsidP="00443F17">
            <w:pPr>
              <w:tabs>
                <w:tab w:val="left" w:pos="4698"/>
                <w:tab w:val="left" w:pos="6138"/>
                <w:tab w:val="left" w:pos="7938"/>
              </w:tabs>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5505C3E7" w14:textId="77777777" w:rsidR="00F96822" w:rsidRPr="00910E96" w:rsidRDefault="00F96822" w:rsidP="00443F17">
            <w:pPr>
              <w:autoSpaceDE w:val="0"/>
              <w:autoSpaceDN w:val="0"/>
              <w:adjustRightInd w:val="0"/>
              <w:spacing w:line="0" w:lineRule="atLeast"/>
              <w:ind w:firstLine="0"/>
              <w:rPr>
                <w:rFonts w:ascii="Times New Roman" w:hAnsi="Times New Roman" w:cs="Times New Roman"/>
                <w:sz w:val="20"/>
                <w:szCs w:val="20"/>
              </w:rPr>
            </w:pPr>
            <w:r w:rsidRPr="00910E96">
              <w:rPr>
                <w:rFonts w:ascii="Times New Roman" w:hAnsi="Times New Roman" w:cs="Times New Roman"/>
                <w:bCs/>
                <w:color w:val="000000"/>
                <w:sz w:val="20"/>
                <w:szCs w:val="20"/>
              </w:rPr>
              <w:t>[P129408]</w:t>
            </w:r>
            <w:r>
              <w:rPr>
                <w:rFonts w:ascii="Times New Roman" w:hAnsi="Times New Roman" w:cs="Times New Roman"/>
                <w:bCs/>
                <w:color w:val="000000"/>
                <w:sz w:val="20"/>
                <w:szCs w:val="20"/>
              </w:rPr>
              <w:t xml:space="preserve"> </w:t>
            </w:r>
            <w:r w:rsidRPr="00910E96">
              <w:rPr>
                <w:rFonts w:ascii="Times New Roman" w:hAnsi="Times New Roman" w:cs="Times New Roman"/>
                <w:bCs/>
                <w:color w:val="000000"/>
                <w:sz w:val="20"/>
                <w:szCs w:val="20"/>
              </w:rPr>
              <w:t>Regional Pastoralism Livelihood and Climate Resilience Project; Kenya National Irrigation Program; Kenya Rural Poverty Alleviation Program; [P149129] Kenya Agriculture Devolution P4R</w:t>
            </w:r>
            <w:r w:rsidRPr="00910E96">
              <w:rPr>
                <w:rFonts w:ascii="Times New Roman" w:hAnsi="Times New Roman" w:cs="Times New Roman"/>
                <w:color w:val="000000"/>
                <w:sz w:val="20"/>
                <w:szCs w:val="20"/>
              </w:rPr>
              <w:t xml:space="preserve">; </w:t>
            </w:r>
            <w:r w:rsidRPr="00910E96">
              <w:rPr>
                <w:rFonts w:ascii="Times New Roman" w:hAnsi="Times New Roman" w:cs="Times New Roman"/>
                <w:bCs/>
                <w:color w:val="000000"/>
                <w:sz w:val="20"/>
                <w:szCs w:val="20"/>
              </w:rPr>
              <w:t xml:space="preserve">[P109683]Kenya Agriculture Productivity and Agribusiness Program; [P145559] Coastal Region Water Security and Climate Resilience Project </w:t>
            </w:r>
          </w:p>
          <w:p w14:paraId="59396190" w14:textId="77777777" w:rsidR="00F96822" w:rsidRPr="00910E96" w:rsidRDefault="00F96822" w:rsidP="00443F17">
            <w:pPr>
              <w:spacing w:line="0" w:lineRule="atLeast"/>
              <w:rPr>
                <w:rFonts w:ascii="Times New Roman" w:hAnsi="Times New Roman" w:cs="Times New Roman"/>
                <w:b/>
                <w:sz w:val="20"/>
                <w:szCs w:val="20"/>
              </w:rPr>
            </w:pPr>
          </w:p>
        </w:tc>
      </w:tr>
      <w:tr w:rsidR="00F96822" w:rsidRPr="00910E96" w14:paraId="066700C7" w14:textId="77777777" w:rsidTr="000B44A7">
        <w:trPr>
          <w:jc w:val="center"/>
        </w:trPr>
        <w:tc>
          <w:tcPr>
            <w:tcW w:w="4744" w:type="dxa"/>
          </w:tcPr>
          <w:p w14:paraId="5EC06FC0" w14:textId="77777777" w:rsidR="00F96822" w:rsidRPr="001B1E35" w:rsidRDefault="00F96822" w:rsidP="00443F17">
            <w:pPr>
              <w:spacing w:line="0" w:lineRule="atLeast"/>
              <w:ind w:firstLine="0"/>
              <w:jc w:val="center"/>
              <w:rPr>
                <w:rFonts w:ascii="Times New Roman" w:hAnsi="Times New Roman" w:cs="Times New Roman"/>
                <w:b/>
                <w:sz w:val="24"/>
                <w:szCs w:val="24"/>
              </w:rPr>
            </w:pPr>
            <w:r w:rsidRPr="001B1E35">
              <w:rPr>
                <w:rFonts w:ascii="Times New Roman" w:hAnsi="Times New Roman" w:cs="Times New Roman"/>
                <w:b/>
                <w:sz w:val="24"/>
                <w:szCs w:val="24"/>
              </w:rPr>
              <w:lastRenderedPageBreak/>
              <w:t>Outcome 5:  Improved Social Service Delivery for Vulnerable Groups, Particularly Women</w:t>
            </w:r>
          </w:p>
          <w:p w14:paraId="178BF849" w14:textId="77777777" w:rsidR="00F96822" w:rsidRPr="00910E96" w:rsidRDefault="00F96822" w:rsidP="00443F17">
            <w:pPr>
              <w:spacing w:line="0" w:lineRule="atLeast"/>
              <w:jc w:val="center"/>
              <w:rPr>
                <w:rFonts w:ascii="Times New Roman" w:hAnsi="Times New Roman" w:cs="Times New Roman"/>
                <w:b/>
                <w:sz w:val="20"/>
                <w:szCs w:val="20"/>
              </w:rPr>
            </w:pPr>
          </w:p>
          <w:p w14:paraId="6FC0D2B2"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 xml:space="preserve">Outcome 5.1: </w:t>
            </w:r>
            <w:r w:rsidRPr="00910E96">
              <w:rPr>
                <w:rFonts w:ascii="Times New Roman" w:hAnsi="Times New Roman" w:cs="Times New Roman"/>
                <w:sz w:val="20"/>
                <w:szCs w:val="20"/>
              </w:rPr>
              <w:t xml:space="preserve"> </w:t>
            </w:r>
            <w:r>
              <w:rPr>
                <w:rFonts w:ascii="Times New Roman" w:hAnsi="Times New Roman" w:cs="Times New Roman"/>
                <w:b/>
                <w:sz w:val="20"/>
                <w:szCs w:val="20"/>
              </w:rPr>
              <w:t>Increased women’s access to</w:t>
            </w:r>
            <w:r w:rsidRPr="00910E96">
              <w:rPr>
                <w:rFonts w:ascii="Times New Roman" w:hAnsi="Times New Roman" w:cs="Times New Roman"/>
                <w:b/>
                <w:sz w:val="20"/>
                <w:szCs w:val="20"/>
              </w:rPr>
              <w:t xml:space="preserve"> health services</w:t>
            </w:r>
          </w:p>
          <w:p w14:paraId="535FF01F" w14:textId="77777777" w:rsidR="00F96822" w:rsidRPr="00910E96" w:rsidRDefault="00F96822" w:rsidP="00443F17">
            <w:pPr>
              <w:spacing w:line="0" w:lineRule="atLeast"/>
              <w:ind w:firstLine="0"/>
              <w:rPr>
                <w:rFonts w:ascii="Times New Roman" w:hAnsi="Times New Roman" w:cs="Times New Roman"/>
                <w:sz w:val="20"/>
                <w:szCs w:val="20"/>
              </w:rPr>
            </w:pPr>
          </w:p>
          <w:p w14:paraId="228BC009" w14:textId="77777777" w:rsidR="00F96822" w:rsidRPr="00910E96" w:rsidRDefault="00F96822" w:rsidP="00443F17">
            <w:pPr>
              <w:tabs>
                <w:tab w:val="left" w:pos="426"/>
                <w:tab w:val="left" w:pos="522"/>
              </w:tabs>
              <w:spacing w:line="0" w:lineRule="atLeast"/>
              <w:ind w:left="210" w:firstLine="0"/>
              <w:rPr>
                <w:rFonts w:ascii="Times New Roman" w:hAnsi="Times New Roman" w:cs="Times New Roman"/>
                <w:sz w:val="20"/>
                <w:szCs w:val="20"/>
              </w:rPr>
            </w:pPr>
            <w:r>
              <w:rPr>
                <w:rFonts w:ascii="Times New Roman" w:hAnsi="Times New Roman" w:cs="Times New Roman"/>
                <w:sz w:val="20"/>
                <w:szCs w:val="20"/>
              </w:rPr>
              <w:t xml:space="preserve">Women with </w:t>
            </w:r>
            <w:r w:rsidRPr="00910E96">
              <w:rPr>
                <w:rFonts w:ascii="Times New Roman" w:hAnsi="Times New Roman" w:cs="Times New Roman"/>
                <w:sz w:val="20"/>
                <w:szCs w:val="20"/>
              </w:rPr>
              <w:t>access to a basic package of health, nutrition or reproductive health services (number)</w:t>
            </w:r>
            <w:r w:rsidR="000B44A7" w:rsidRPr="000B44A7">
              <w:rPr>
                <w:rStyle w:val="FootnoteReference"/>
                <w:rFonts w:ascii="Times New Roman" w:hAnsi="Times New Roman" w:cs="Times New Roman"/>
                <w:sz w:val="20"/>
                <w:szCs w:val="20"/>
              </w:rPr>
              <w:footnoteReference w:customMarkFollows="1" w:id="10"/>
              <w:sym w:font="Symbol" w:char="F02A"/>
            </w:r>
          </w:p>
          <w:p w14:paraId="6652ECE3" w14:textId="77777777" w:rsidR="00F96822" w:rsidRPr="00910E96" w:rsidRDefault="00F96822" w:rsidP="00443F17">
            <w:pPr>
              <w:tabs>
                <w:tab w:val="left" w:pos="426"/>
                <w:tab w:val="left" w:pos="522"/>
              </w:tabs>
              <w:spacing w:line="0" w:lineRule="atLeast"/>
              <w:ind w:left="1107" w:hanging="18"/>
              <w:rPr>
                <w:rFonts w:ascii="Times New Roman" w:hAnsi="Times New Roman" w:cs="Times New Roman"/>
                <w:sz w:val="20"/>
                <w:szCs w:val="20"/>
              </w:rPr>
            </w:pPr>
            <w:r w:rsidRPr="00910E96">
              <w:rPr>
                <w:rFonts w:ascii="Times New Roman" w:hAnsi="Times New Roman" w:cs="Times New Roman"/>
                <w:sz w:val="20"/>
                <w:szCs w:val="20"/>
              </w:rPr>
              <w:t>Baseline: 21,292,054  (2013)</w:t>
            </w:r>
          </w:p>
          <w:p w14:paraId="1656B595" w14:textId="77777777" w:rsidR="00F96822" w:rsidRPr="00910E96" w:rsidRDefault="00F96822" w:rsidP="00443F17">
            <w:pPr>
              <w:tabs>
                <w:tab w:val="left" w:pos="426"/>
                <w:tab w:val="left" w:pos="522"/>
              </w:tabs>
              <w:spacing w:line="0" w:lineRule="atLeast"/>
              <w:ind w:left="1107" w:hanging="18"/>
              <w:rPr>
                <w:rFonts w:ascii="Times New Roman" w:hAnsi="Times New Roman" w:cs="Times New Roman"/>
                <w:sz w:val="20"/>
                <w:szCs w:val="20"/>
              </w:rPr>
            </w:pPr>
            <w:r w:rsidRPr="00910E96">
              <w:rPr>
                <w:rFonts w:ascii="Times New Roman" w:hAnsi="Times New Roman" w:cs="Times New Roman"/>
                <w:sz w:val="20"/>
                <w:szCs w:val="20"/>
              </w:rPr>
              <w:t>Target: 22,500,100</w:t>
            </w:r>
            <w:r>
              <w:rPr>
                <w:rFonts w:ascii="Times New Roman" w:hAnsi="Times New Roman" w:cs="Times New Roman"/>
                <w:sz w:val="20"/>
                <w:szCs w:val="20"/>
              </w:rPr>
              <w:t xml:space="preserve"> </w:t>
            </w:r>
            <w:r w:rsidRPr="00910E96">
              <w:rPr>
                <w:rFonts w:ascii="Times New Roman" w:hAnsi="Times New Roman" w:cs="Times New Roman"/>
                <w:sz w:val="18"/>
                <w:szCs w:val="18"/>
              </w:rPr>
              <w:t>(</w:t>
            </w:r>
            <w:r w:rsidRPr="00910E96">
              <w:rPr>
                <w:rFonts w:ascii="Times New Roman" w:hAnsi="Times New Roman" w:cs="Times New Roman"/>
                <w:sz w:val="20"/>
                <w:szCs w:val="20"/>
              </w:rPr>
              <w:t>2018)</w:t>
            </w:r>
          </w:p>
          <w:p w14:paraId="1780C4F0" w14:textId="77777777" w:rsidR="00F96822" w:rsidRPr="00910E96" w:rsidRDefault="00F96822" w:rsidP="00443F17">
            <w:pPr>
              <w:spacing w:line="0" w:lineRule="atLeast"/>
              <w:ind w:firstLine="0"/>
              <w:rPr>
                <w:rFonts w:ascii="Times New Roman" w:hAnsi="Times New Roman" w:cs="Times New Roman"/>
                <w:b/>
                <w:sz w:val="20"/>
                <w:szCs w:val="20"/>
              </w:rPr>
            </w:pPr>
          </w:p>
        </w:tc>
        <w:tc>
          <w:tcPr>
            <w:tcW w:w="3918" w:type="dxa"/>
          </w:tcPr>
          <w:p w14:paraId="420FDA51" w14:textId="77777777" w:rsidR="00F96822" w:rsidRPr="00910E96" w:rsidRDefault="00F96822" w:rsidP="00B45683">
            <w:pPr>
              <w:pStyle w:val="ListParagraph"/>
              <w:numPr>
                <w:ilvl w:val="0"/>
                <w:numId w:val="12"/>
              </w:numPr>
              <w:spacing w:line="0" w:lineRule="atLeast"/>
              <w:rPr>
                <w:rFonts w:ascii="Times New Roman" w:hAnsi="Times New Roman" w:cs="Times New Roman"/>
                <w:sz w:val="20"/>
                <w:szCs w:val="20"/>
              </w:rPr>
            </w:pPr>
            <w:r w:rsidRPr="00910E96">
              <w:rPr>
                <w:rFonts w:ascii="Times New Roman" w:hAnsi="Times New Roman" w:cs="Times New Roman"/>
                <w:sz w:val="20"/>
                <w:szCs w:val="20"/>
              </w:rPr>
              <w:t>Poor households receiving health insurance subsidies (Target: 30,000).</w:t>
            </w:r>
          </w:p>
          <w:p w14:paraId="753738ED" w14:textId="77777777" w:rsidR="00F96822" w:rsidRPr="00910E96" w:rsidRDefault="00F96822" w:rsidP="00B45683">
            <w:pPr>
              <w:pStyle w:val="ListParagraph"/>
              <w:numPr>
                <w:ilvl w:val="0"/>
                <w:numId w:val="12"/>
              </w:numPr>
              <w:spacing w:line="0" w:lineRule="atLeast"/>
              <w:rPr>
                <w:rFonts w:ascii="Times New Roman" w:hAnsi="Times New Roman" w:cs="Times New Roman"/>
                <w:sz w:val="20"/>
                <w:szCs w:val="20"/>
              </w:rPr>
            </w:pPr>
            <w:r w:rsidRPr="00910E96">
              <w:rPr>
                <w:rFonts w:ascii="Times New Roman" w:hAnsi="Times New Roman" w:cs="Times New Roman"/>
                <w:sz w:val="20"/>
                <w:szCs w:val="20"/>
              </w:rPr>
              <w:t>Counties implementing Public Private Partnerships to improve delivery of basic package of health services (Target:  At least 3 counties).</w:t>
            </w:r>
          </w:p>
          <w:p w14:paraId="628FE4B1" w14:textId="77777777" w:rsidR="00F96822" w:rsidRPr="00910E96" w:rsidRDefault="00F96822" w:rsidP="00443F17">
            <w:pPr>
              <w:pStyle w:val="ListParagraph"/>
              <w:spacing w:line="0" w:lineRule="atLeast"/>
              <w:ind w:left="360"/>
              <w:rPr>
                <w:rFonts w:ascii="Times New Roman" w:hAnsi="Times New Roman" w:cs="Times New Roman"/>
                <w:sz w:val="20"/>
                <w:szCs w:val="20"/>
              </w:rPr>
            </w:pPr>
          </w:p>
        </w:tc>
        <w:tc>
          <w:tcPr>
            <w:tcW w:w="5310" w:type="dxa"/>
          </w:tcPr>
          <w:p w14:paraId="4545393C"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0BB191F6"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World Bank:</w:t>
            </w:r>
          </w:p>
          <w:p w14:paraId="363931B5"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[P074091] KE Health Sector Support; [P144197] AF KE Health Sector Support Project; [P111556] 3A East Africa Health Laboratory Networking Project; [P144629] KE Technical Capacity for Nutrition; [P129535] KE Gender Policy Notes (ESW); [P148754] KE Medium-Term Strategy to Transform the Health Sector (TA) </w:t>
            </w:r>
          </w:p>
          <w:p w14:paraId="4B34AE17" w14:textId="77777777" w:rsidR="00F96822" w:rsidRPr="00910E96" w:rsidRDefault="00F96822" w:rsidP="00443F17">
            <w:pPr>
              <w:spacing w:line="0" w:lineRule="atLeast"/>
              <w:ind w:firstLine="0"/>
              <w:rPr>
                <w:rFonts w:ascii="Times New Roman" w:hAnsi="Times New Roman" w:cs="Times New Roman"/>
                <w:b/>
                <w:sz w:val="20"/>
                <w:szCs w:val="20"/>
              </w:rPr>
            </w:pPr>
          </w:p>
          <w:p w14:paraId="3F07912E"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IFC:</w:t>
            </w:r>
          </w:p>
          <w:p w14:paraId="20596FF9"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[24994] Advanced Bio-Extracts Limited </w:t>
            </w:r>
          </w:p>
          <w:p w14:paraId="22296A44" w14:textId="77777777" w:rsidR="00F96822" w:rsidRPr="00910E96" w:rsidRDefault="00F96822" w:rsidP="00443F17">
            <w:pPr>
              <w:spacing w:line="0" w:lineRule="atLeast"/>
              <w:ind w:firstLine="0"/>
              <w:rPr>
                <w:rFonts w:ascii="Times New Roman" w:hAnsi="Times New Roman" w:cs="Times New Roman"/>
                <w:b/>
                <w:sz w:val="20"/>
                <w:szCs w:val="20"/>
              </w:rPr>
            </w:pPr>
          </w:p>
          <w:p w14:paraId="29DE7F22"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MIGA:</w:t>
            </w:r>
          </w:p>
          <w:p w14:paraId="57BFF951"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[9976] Resolution Health East Africa Limited </w:t>
            </w:r>
          </w:p>
          <w:p w14:paraId="7ACC7A94" w14:textId="77777777" w:rsidR="00F96822" w:rsidRPr="00910E96" w:rsidRDefault="00F96822" w:rsidP="00443F17">
            <w:pPr>
              <w:spacing w:line="0" w:lineRule="atLeast"/>
              <w:ind w:firstLine="0"/>
              <w:rPr>
                <w:rFonts w:ascii="Times New Roman" w:hAnsi="Times New Roman" w:cs="Times New Roman"/>
                <w:sz w:val="20"/>
                <w:szCs w:val="20"/>
              </w:rPr>
            </w:pPr>
          </w:p>
          <w:p w14:paraId="11877E06"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15FA6235"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World Bank:</w:t>
            </w:r>
          </w:p>
          <w:p w14:paraId="41963D4E"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Kenya Health Sector Support Project – Additional Financing;  Universal Health Coverage and health promotion– </w:t>
            </w:r>
            <w:proofErr w:type="spellStart"/>
            <w:r w:rsidRPr="00910E96">
              <w:rPr>
                <w:rFonts w:ascii="Times New Roman" w:hAnsi="Times New Roman" w:cs="Times New Roman"/>
                <w:sz w:val="20"/>
                <w:szCs w:val="20"/>
              </w:rPr>
              <w:t>PforR</w:t>
            </w:r>
            <w:proofErr w:type="spellEnd"/>
            <w:r w:rsidRPr="00910E96">
              <w:rPr>
                <w:rFonts w:ascii="Times New Roman" w:hAnsi="Times New Roman" w:cs="Times New Roman"/>
                <w:sz w:val="20"/>
                <w:szCs w:val="20"/>
              </w:rPr>
              <w:t xml:space="preserve">; Health Policy and Practice Forum – AAA </w:t>
            </w:r>
          </w:p>
          <w:p w14:paraId="3BBAC010" w14:textId="77777777" w:rsidR="00F96822" w:rsidRPr="00910E96" w:rsidRDefault="00F96822" w:rsidP="00443F17">
            <w:pPr>
              <w:spacing w:line="0" w:lineRule="atLeast"/>
              <w:rPr>
                <w:rFonts w:ascii="Times New Roman" w:hAnsi="Times New Roman" w:cs="Times New Roman"/>
                <w:b/>
                <w:sz w:val="20"/>
                <w:szCs w:val="20"/>
              </w:rPr>
            </w:pPr>
          </w:p>
        </w:tc>
      </w:tr>
      <w:tr w:rsidR="00F96822" w:rsidRPr="00910E96" w14:paraId="1361ADC5" w14:textId="77777777" w:rsidTr="000B44A7">
        <w:trPr>
          <w:jc w:val="center"/>
        </w:trPr>
        <w:tc>
          <w:tcPr>
            <w:tcW w:w="4744" w:type="dxa"/>
          </w:tcPr>
          <w:p w14:paraId="38959967"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Outcome 5.2:  Increased</w:t>
            </w:r>
            <w:r>
              <w:rPr>
                <w:rFonts w:ascii="Times New Roman" w:hAnsi="Times New Roman" w:cs="Times New Roman"/>
                <w:b/>
                <w:sz w:val="20"/>
                <w:szCs w:val="20"/>
              </w:rPr>
              <w:t xml:space="preserve"> women’s</w:t>
            </w:r>
            <w:r w:rsidRPr="00910E96">
              <w:rPr>
                <w:rFonts w:ascii="Times New Roman" w:hAnsi="Times New Roman" w:cs="Times New Roman"/>
                <w:b/>
                <w:sz w:val="20"/>
                <w:szCs w:val="20"/>
              </w:rPr>
              <w:t xml:space="preserve"> access to water services</w:t>
            </w:r>
          </w:p>
          <w:p w14:paraId="5E2AC65A" w14:textId="77777777" w:rsidR="00F96822" w:rsidRPr="00910E96" w:rsidRDefault="00F96822" w:rsidP="00443F17">
            <w:pPr>
              <w:spacing w:line="0" w:lineRule="atLeast"/>
              <w:rPr>
                <w:rFonts w:ascii="Times New Roman" w:hAnsi="Times New Roman" w:cs="Times New Roman"/>
                <w:sz w:val="20"/>
                <w:szCs w:val="20"/>
              </w:rPr>
            </w:pPr>
          </w:p>
          <w:p w14:paraId="2A0864E8" w14:textId="77777777" w:rsidR="00F96822" w:rsidRPr="00910E96" w:rsidRDefault="00F96822" w:rsidP="00443F17">
            <w:pPr>
              <w:pStyle w:val="ListParagraph"/>
              <w:spacing w:line="0" w:lineRule="atLeast"/>
              <w:ind w:left="360" w:firstLine="0"/>
              <w:rPr>
                <w:rFonts w:ascii="Times New Roman" w:hAnsi="Times New Roman" w:cs="Times New Roman"/>
                <w:sz w:val="20"/>
                <w:szCs w:val="20"/>
              </w:rPr>
            </w:pPr>
            <w:r w:rsidRPr="00910E96">
              <w:rPr>
                <w:rFonts w:ascii="Times New Roman" w:hAnsi="Times New Roman" w:cs="Times New Roman"/>
                <w:sz w:val="20"/>
                <w:szCs w:val="20"/>
              </w:rPr>
              <w:t xml:space="preserve">Women with access to improved water sources </w:t>
            </w:r>
            <w:r>
              <w:rPr>
                <w:rFonts w:ascii="Times New Roman" w:hAnsi="Times New Roman" w:cs="Times New Roman"/>
                <w:sz w:val="20"/>
                <w:szCs w:val="20"/>
              </w:rPr>
              <w:t xml:space="preserve">in areas supported by Bank operations </w:t>
            </w:r>
            <w:r w:rsidRPr="00910E96">
              <w:rPr>
                <w:rFonts w:ascii="Times New Roman" w:hAnsi="Times New Roman" w:cs="Times New Roman"/>
                <w:sz w:val="20"/>
                <w:szCs w:val="20"/>
              </w:rPr>
              <w:t>(number)</w:t>
            </w:r>
          </w:p>
          <w:p w14:paraId="1F13D593" w14:textId="77777777" w:rsidR="00F96822" w:rsidRPr="00910E96" w:rsidRDefault="00F96822" w:rsidP="00443F17">
            <w:pPr>
              <w:pStyle w:val="ListParagraph"/>
              <w:spacing w:line="0" w:lineRule="atLeast"/>
              <w:ind w:left="1107" w:firstLine="0"/>
              <w:rPr>
                <w:rFonts w:ascii="Times New Roman" w:hAnsi="Times New Roman" w:cs="Times New Roman"/>
                <w:sz w:val="20"/>
                <w:szCs w:val="20"/>
              </w:rPr>
            </w:pPr>
            <w:r w:rsidRPr="00910E96">
              <w:rPr>
                <w:rFonts w:ascii="Times New Roman" w:hAnsi="Times New Roman" w:cs="Times New Roman"/>
                <w:sz w:val="20"/>
                <w:szCs w:val="20"/>
              </w:rPr>
              <w:t>Baseline: 260,050 (2013)</w:t>
            </w:r>
          </w:p>
          <w:p w14:paraId="56F53235" w14:textId="77777777" w:rsidR="00F96822" w:rsidRPr="00910E96" w:rsidRDefault="00F96822" w:rsidP="00443F17">
            <w:pPr>
              <w:pStyle w:val="ListParagraph"/>
              <w:spacing w:line="0" w:lineRule="atLeast"/>
              <w:ind w:left="1107" w:firstLine="0"/>
              <w:rPr>
                <w:rFonts w:ascii="Times New Roman" w:hAnsi="Times New Roman" w:cs="Times New Roman"/>
                <w:sz w:val="20"/>
                <w:szCs w:val="20"/>
              </w:rPr>
            </w:pPr>
            <w:r w:rsidRPr="00910E96">
              <w:rPr>
                <w:rFonts w:ascii="Times New Roman" w:hAnsi="Times New Roman" w:cs="Times New Roman"/>
                <w:sz w:val="20"/>
                <w:szCs w:val="20"/>
              </w:rPr>
              <w:lastRenderedPageBreak/>
              <w:t xml:space="preserve">Target:  </w:t>
            </w:r>
            <w:r>
              <w:rPr>
                <w:rFonts w:ascii="Times New Roman" w:hAnsi="Times New Roman" w:cs="Times New Roman"/>
                <w:sz w:val="20"/>
                <w:szCs w:val="20"/>
              </w:rPr>
              <w:t>7</w:t>
            </w:r>
            <w:r w:rsidRPr="00910E96">
              <w:rPr>
                <w:rFonts w:ascii="Times New Roman" w:hAnsi="Times New Roman" w:cs="Times New Roman"/>
                <w:sz w:val="20"/>
                <w:szCs w:val="20"/>
              </w:rPr>
              <w:t>70,000 (2018)</w:t>
            </w:r>
          </w:p>
          <w:p w14:paraId="1793F1E0" w14:textId="77777777" w:rsidR="00F96822" w:rsidRPr="00910E96" w:rsidRDefault="00F96822" w:rsidP="00443F17">
            <w:pPr>
              <w:spacing w:line="0" w:lineRule="atLeast"/>
              <w:ind w:left="360"/>
              <w:rPr>
                <w:rFonts w:ascii="Times New Roman" w:hAnsi="Times New Roman" w:cs="Times New Roman"/>
                <w:sz w:val="20"/>
                <w:szCs w:val="20"/>
              </w:rPr>
            </w:pPr>
          </w:p>
          <w:p w14:paraId="21B2D0F4" w14:textId="77777777" w:rsidR="00F96822" w:rsidRPr="00910E96" w:rsidRDefault="00F96822" w:rsidP="00443F17">
            <w:pPr>
              <w:spacing w:line="0" w:lineRule="atLeast"/>
              <w:ind w:left="1107" w:firstLine="27"/>
              <w:rPr>
                <w:rFonts w:ascii="Times New Roman" w:hAnsi="Times New Roman" w:cs="Times New Roman"/>
                <w:b/>
                <w:sz w:val="20"/>
                <w:szCs w:val="20"/>
              </w:rPr>
            </w:pPr>
            <w:r w:rsidRPr="00910E96">
              <w:rPr>
                <w:rFonts w:ascii="Times New Roman" w:hAnsi="Times New Roman" w:cs="Times New Roman"/>
                <w:sz w:val="20"/>
                <w:szCs w:val="20"/>
              </w:rPr>
              <w:t xml:space="preserve"> </w:t>
            </w:r>
          </w:p>
        </w:tc>
        <w:tc>
          <w:tcPr>
            <w:tcW w:w="3918" w:type="dxa"/>
          </w:tcPr>
          <w:p w14:paraId="6406EB6B" w14:textId="77777777" w:rsidR="00F96822" w:rsidRPr="00910E96" w:rsidRDefault="00F96822" w:rsidP="00B45683">
            <w:pPr>
              <w:pStyle w:val="ListParagraph"/>
              <w:numPr>
                <w:ilvl w:val="0"/>
                <w:numId w:val="20"/>
              </w:numPr>
              <w:tabs>
                <w:tab w:val="left" w:pos="477"/>
              </w:tabs>
              <w:autoSpaceDE w:val="0"/>
              <w:autoSpaceDN w:val="0"/>
              <w:adjustRightInd w:val="0"/>
              <w:spacing w:line="0" w:lineRule="atLeast"/>
              <w:ind w:left="477"/>
              <w:rPr>
                <w:rFonts w:ascii="Times New Roman" w:hAnsi="Times New Roman" w:cs="Times New Roman"/>
                <w:color w:val="000000"/>
                <w:sz w:val="20"/>
                <w:szCs w:val="20"/>
              </w:rPr>
            </w:pPr>
            <w:r w:rsidRPr="00910E96">
              <w:rPr>
                <w:rFonts w:ascii="Times New Roman" w:hAnsi="Times New Roman" w:cs="Times New Roman"/>
                <w:color w:val="000000"/>
                <w:sz w:val="20"/>
                <w:szCs w:val="20"/>
              </w:rPr>
              <w:lastRenderedPageBreak/>
              <w:t>Options developed and financed to improve delivery and sustainability of urban services under new county structure.</w:t>
            </w:r>
          </w:p>
          <w:p w14:paraId="78824C59" w14:textId="77777777" w:rsidR="00F96822" w:rsidRPr="00910E96" w:rsidRDefault="00F96822" w:rsidP="00B45683">
            <w:pPr>
              <w:pStyle w:val="ListParagraph"/>
              <w:numPr>
                <w:ilvl w:val="0"/>
                <w:numId w:val="20"/>
              </w:numPr>
              <w:ind w:left="432"/>
              <w:jc w:val="left"/>
              <w:rPr>
                <w:rFonts w:ascii="Times New Roman" w:hAnsi="Times New Roman" w:cs="Times New Roman"/>
                <w:b/>
                <w:sz w:val="20"/>
                <w:szCs w:val="20"/>
              </w:rPr>
            </w:pPr>
            <w:r w:rsidRPr="00910E96">
              <w:rPr>
                <w:rFonts w:ascii="Times New Roman" w:hAnsi="Times New Roman" w:cs="Times New Roman"/>
                <w:sz w:val="20"/>
                <w:szCs w:val="20"/>
              </w:rPr>
              <w:t>20 sub-counties declared open defecation free (baseline is 2)</w:t>
            </w:r>
          </w:p>
          <w:p w14:paraId="39B7E26D" w14:textId="77777777" w:rsidR="00F96822" w:rsidRPr="00910E96" w:rsidRDefault="00F96822" w:rsidP="00B45683">
            <w:pPr>
              <w:pStyle w:val="Default"/>
              <w:numPr>
                <w:ilvl w:val="0"/>
                <w:numId w:val="20"/>
              </w:numPr>
              <w:spacing w:after="200" w:line="276" w:lineRule="auto"/>
              <w:ind w:left="432"/>
              <w:jc w:val="left"/>
              <w:rPr>
                <w:sz w:val="20"/>
                <w:szCs w:val="20"/>
              </w:rPr>
            </w:pPr>
            <w:r w:rsidRPr="00910E96">
              <w:rPr>
                <w:sz w:val="20"/>
                <w:szCs w:val="20"/>
              </w:rPr>
              <w:lastRenderedPageBreak/>
              <w:t xml:space="preserve">Disseminate best practices through the delivery of 2 knowledge products on innovative solutions for improved WSS access for the urban poor by June 2015 (baseline is 0). </w:t>
            </w:r>
          </w:p>
          <w:p w14:paraId="5E763F3F" w14:textId="77777777" w:rsidR="00F96822" w:rsidRPr="00910E96" w:rsidRDefault="00F96822" w:rsidP="00443F17">
            <w:pPr>
              <w:pStyle w:val="ListParagraph"/>
              <w:tabs>
                <w:tab w:val="left" w:pos="348"/>
              </w:tabs>
              <w:autoSpaceDE w:val="0"/>
              <w:autoSpaceDN w:val="0"/>
              <w:adjustRightInd w:val="0"/>
              <w:spacing w:line="0" w:lineRule="atLeast"/>
              <w:ind w:left="342" w:firstLine="0"/>
              <w:rPr>
                <w:rFonts w:ascii="Times New Roman" w:hAnsi="Times New Roman" w:cs="Times New Roman"/>
                <w:sz w:val="20"/>
                <w:szCs w:val="20"/>
              </w:rPr>
            </w:pPr>
          </w:p>
          <w:p w14:paraId="796530F2" w14:textId="77777777" w:rsidR="00F96822" w:rsidRPr="00910E96" w:rsidRDefault="00F96822" w:rsidP="00443F17">
            <w:pPr>
              <w:pStyle w:val="ListParagraph"/>
              <w:tabs>
                <w:tab w:val="left" w:pos="378"/>
              </w:tabs>
              <w:spacing w:line="0" w:lineRule="atLeast"/>
              <w:ind w:left="378"/>
              <w:rPr>
                <w:rFonts w:ascii="Times New Roman" w:hAnsi="Times New Roman" w:cs="Times New Roman"/>
                <w:sz w:val="20"/>
                <w:szCs w:val="20"/>
              </w:rPr>
            </w:pPr>
          </w:p>
          <w:p w14:paraId="3A13A4AF" w14:textId="77777777" w:rsidR="00F96822" w:rsidRPr="00910E96" w:rsidRDefault="00F96822" w:rsidP="00443F17">
            <w:pPr>
              <w:spacing w:line="0" w:lineRule="atLeast"/>
              <w:ind w:left="180"/>
              <w:rPr>
                <w:rFonts w:ascii="Times New Roman" w:hAnsi="Times New Roman" w:cs="Times New Roman"/>
                <w:sz w:val="20"/>
                <w:szCs w:val="20"/>
              </w:rPr>
            </w:pPr>
          </w:p>
        </w:tc>
        <w:tc>
          <w:tcPr>
            <w:tcW w:w="5310" w:type="dxa"/>
          </w:tcPr>
          <w:p w14:paraId="1EA18F4A" w14:textId="77777777" w:rsidR="00F96822" w:rsidRPr="00910E96" w:rsidRDefault="00F96822" w:rsidP="00443F17">
            <w:pPr>
              <w:spacing w:line="0" w:lineRule="atLeast"/>
              <w:ind w:hanging="18"/>
              <w:rPr>
                <w:rFonts w:ascii="Times New Roman" w:hAnsi="Times New Roman" w:cs="Times New Roman"/>
                <w:b/>
                <w:sz w:val="20"/>
                <w:szCs w:val="20"/>
              </w:rPr>
            </w:pPr>
            <w:r w:rsidRPr="00910E96">
              <w:rPr>
                <w:rFonts w:ascii="Times New Roman" w:hAnsi="Times New Roman" w:cs="Times New Roman"/>
                <w:b/>
                <w:sz w:val="20"/>
                <w:szCs w:val="20"/>
              </w:rPr>
              <w:lastRenderedPageBreak/>
              <w:t>Ongoing</w:t>
            </w:r>
          </w:p>
          <w:p w14:paraId="3702C8D3"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00DF1050"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 [P096367] KE Water &amp; Sanitation Service Improvement;  [P126637] Additional Finance; [P107314] KE Nairobi Metropolitan Services; </w:t>
            </w:r>
          </w:p>
          <w:p w14:paraId="08816F62" w14:textId="77777777" w:rsidR="00F96822"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[P113542] KE Informal Settlements Improvement Project; </w:t>
            </w:r>
            <w:r w:rsidRPr="00910E96">
              <w:rPr>
                <w:rFonts w:ascii="Times New Roman" w:hAnsi="Times New Roman" w:cs="Times New Roman"/>
                <w:sz w:val="20"/>
                <w:szCs w:val="20"/>
              </w:rPr>
              <w:lastRenderedPageBreak/>
              <w:t>[P066488] KE Municipal Program; [P100406] Lake Victoria Environmental Management Program; [P144507] KE Commercial Financing for Urban Water and Sanitation (TA); [P132015] Innovations in Scaling Up Water &amp; Sanitation Services to Urban Poor (TA); [P131284] Nairobi Sanitation Preparation (TA); [P131284] GPOBA (RE) Nairobi Sanitation;  [P132979] Kenya Urban Water and Sanitation OBA Fund for Low Income Areas</w:t>
            </w:r>
            <w:r w:rsidRPr="00910E96">
              <w:rPr>
                <w:rFonts w:ascii="Times New Roman" w:hAnsi="Times New Roman" w:cs="Times New Roman"/>
                <w:b/>
                <w:sz w:val="20"/>
                <w:szCs w:val="20"/>
              </w:rPr>
              <w:t xml:space="preserve">; </w:t>
            </w:r>
            <w:r w:rsidRPr="00910E96">
              <w:rPr>
                <w:rFonts w:ascii="Times New Roman" w:hAnsi="Times New Roman" w:cs="Times New Roman"/>
                <w:sz w:val="20"/>
                <w:szCs w:val="20"/>
              </w:rPr>
              <w:t>[P132161] Accelerating Access to Improved Sanitation (TA); [P125526] KE Baseline “State of the City” Surveys (TA); [P132486] Enhancing Municipal Revenue in Nairobi (TA); [P144913] KE Water Supply and Sanitation Sector Reform (TA); [P148360] KE Urbanization Review (ESW)</w:t>
            </w:r>
          </w:p>
          <w:p w14:paraId="689ABD6B" w14:textId="77777777" w:rsidR="00F96822" w:rsidRPr="00910E96" w:rsidRDefault="00F96822" w:rsidP="00443F17">
            <w:pPr>
              <w:spacing w:line="0" w:lineRule="atLeast"/>
              <w:ind w:hanging="18"/>
              <w:rPr>
                <w:rFonts w:ascii="Times New Roman" w:hAnsi="Times New Roman" w:cs="Times New Roman"/>
                <w:b/>
                <w:sz w:val="20"/>
                <w:szCs w:val="20"/>
              </w:rPr>
            </w:pPr>
          </w:p>
        </w:tc>
      </w:tr>
      <w:tr w:rsidR="00F96822" w:rsidRPr="00910E96" w14:paraId="3519D107" w14:textId="77777777" w:rsidTr="000B44A7">
        <w:trPr>
          <w:trHeight w:val="3918"/>
          <w:jc w:val="center"/>
        </w:trPr>
        <w:tc>
          <w:tcPr>
            <w:tcW w:w="4744" w:type="dxa"/>
          </w:tcPr>
          <w:p w14:paraId="25540BFA" w14:textId="77777777" w:rsidR="00F96822" w:rsidRPr="000E3B16" w:rsidRDefault="00F96822" w:rsidP="00443F17">
            <w:pPr>
              <w:spacing w:line="0" w:lineRule="atLeast"/>
              <w:ind w:firstLine="0"/>
              <w:rPr>
                <w:rFonts w:ascii="Times New Roman" w:hAnsi="Times New Roman" w:cs="Times New Roman"/>
                <w:b/>
                <w:sz w:val="20"/>
                <w:szCs w:val="20"/>
              </w:rPr>
            </w:pPr>
            <w:r>
              <w:rPr>
                <w:rFonts w:ascii="Times New Roman" w:hAnsi="Times New Roman" w:cs="Times New Roman"/>
                <w:b/>
                <w:sz w:val="20"/>
                <w:szCs w:val="20"/>
              </w:rPr>
              <w:lastRenderedPageBreak/>
              <w:t>Outcome 5.3</w:t>
            </w:r>
            <w:r w:rsidRPr="000E3B16">
              <w:rPr>
                <w:rFonts w:ascii="Times New Roman" w:hAnsi="Times New Roman" w:cs="Times New Roman"/>
                <w:b/>
                <w:sz w:val="20"/>
                <w:szCs w:val="20"/>
              </w:rPr>
              <w:t xml:space="preserve">:  Enhanced Market Skills for </w:t>
            </w:r>
            <w:r>
              <w:rPr>
                <w:rFonts w:ascii="Times New Roman" w:hAnsi="Times New Roman" w:cs="Times New Roman"/>
                <w:b/>
                <w:sz w:val="20"/>
                <w:szCs w:val="20"/>
              </w:rPr>
              <w:t>Y</w:t>
            </w:r>
            <w:r w:rsidRPr="000E3B16">
              <w:rPr>
                <w:rFonts w:ascii="Times New Roman" w:hAnsi="Times New Roman" w:cs="Times New Roman"/>
                <w:b/>
                <w:sz w:val="20"/>
                <w:szCs w:val="20"/>
              </w:rPr>
              <w:t>outh</w:t>
            </w:r>
            <w:r>
              <w:rPr>
                <w:rFonts w:ascii="Times New Roman" w:hAnsi="Times New Roman" w:cs="Times New Roman"/>
                <w:b/>
                <w:sz w:val="20"/>
                <w:szCs w:val="20"/>
              </w:rPr>
              <w:t xml:space="preserve"> at-risk</w:t>
            </w:r>
          </w:p>
          <w:p w14:paraId="245C2C25" w14:textId="77777777" w:rsidR="00F96822" w:rsidRDefault="00F96822" w:rsidP="00443F17">
            <w:pPr>
              <w:spacing w:line="0" w:lineRule="atLeast"/>
              <w:ind w:firstLine="0"/>
              <w:jc w:val="left"/>
              <w:rPr>
                <w:rFonts w:ascii="Times New Roman" w:hAnsi="Times New Roman" w:cs="Times New Roman"/>
                <w:b/>
                <w:sz w:val="20"/>
                <w:szCs w:val="20"/>
              </w:rPr>
            </w:pPr>
          </w:p>
          <w:p w14:paraId="7F16555D" w14:textId="3A2791B8" w:rsidR="00F96822" w:rsidRPr="00910E96" w:rsidRDefault="00F96822" w:rsidP="00443F17">
            <w:pPr>
              <w:pStyle w:val="ListParagraph"/>
              <w:tabs>
                <w:tab w:val="left" w:pos="366"/>
                <w:tab w:val="left" w:pos="510"/>
              </w:tabs>
              <w:spacing w:line="0" w:lineRule="atLeast"/>
              <w:ind w:left="390" w:firstLine="0"/>
              <w:rPr>
                <w:rFonts w:ascii="Times New Roman" w:hAnsi="Times New Roman" w:cs="Times New Roman"/>
                <w:sz w:val="20"/>
                <w:szCs w:val="20"/>
              </w:rPr>
            </w:pPr>
            <w:r w:rsidRPr="00910E96">
              <w:rPr>
                <w:rFonts w:ascii="Times New Roman" w:hAnsi="Times New Roman" w:cs="Times New Roman"/>
                <w:sz w:val="20"/>
                <w:szCs w:val="20"/>
              </w:rPr>
              <w:t>Interns</w:t>
            </w:r>
            <w:r w:rsidR="00696909">
              <w:rPr>
                <w:rFonts w:ascii="Times New Roman" w:hAnsi="Times New Roman" w:cs="Times New Roman"/>
                <w:sz w:val="20"/>
                <w:szCs w:val="20"/>
              </w:rPr>
              <w:t>, covered by the Bank-supported project,</w:t>
            </w:r>
            <w:r w:rsidRPr="00910E96">
              <w:rPr>
                <w:rFonts w:ascii="Times New Roman" w:hAnsi="Times New Roman" w:cs="Times New Roman"/>
                <w:sz w:val="20"/>
                <w:szCs w:val="20"/>
              </w:rPr>
              <w:t xml:space="preserve"> employed or self-employed within six months after internship completion (%)</w:t>
            </w:r>
            <w:r w:rsidR="000B44A7" w:rsidRPr="000B44A7">
              <w:rPr>
                <w:rStyle w:val="FootnoteReference"/>
                <w:rFonts w:ascii="Times New Roman" w:hAnsi="Times New Roman" w:cs="Times New Roman"/>
                <w:sz w:val="20"/>
                <w:szCs w:val="20"/>
              </w:rPr>
              <w:footnoteReference w:customMarkFollows="1" w:id="11"/>
              <w:sym w:font="Symbol" w:char="F02A"/>
            </w:r>
          </w:p>
          <w:p w14:paraId="16D5CD65" w14:textId="77777777" w:rsidR="00F96822" w:rsidRPr="00910E96" w:rsidRDefault="00F96822" w:rsidP="00443F17">
            <w:pPr>
              <w:tabs>
                <w:tab w:val="left" w:pos="366"/>
                <w:tab w:val="left" w:pos="510"/>
              </w:tabs>
              <w:spacing w:line="0" w:lineRule="atLeast"/>
              <w:ind w:left="1017" w:firstLine="27"/>
              <w:rPr>
                <w:rFonts w:ascii="Times New Roman" w:hAnsi="Times New Roman" w:cs="Times New Roman"/>
                <w:sz w:val="20"/>
                <w:szCs w:val="20"/>
              </w:rPr>
            </w:pPr>
            <w:r w:rsidRPr="00910E96">
              <w:rPr>
                <w:rFonts w:ascii="Times New Roman" w:hAnsi="Times New Roman" w:cs="Times New Roman"/>
                <w:sz w:val="20"/>
                <w:szCs w:val="20"/>
              </w:rPr>
              <w:t>Baseline: 71 % (2013)</w:t>
            </w:r>
          </w:p>
          <w:p w14:paraId="233551DE" w14:textId="77777777" w:rsidR="00F96822" w:rsidRPr="00910E96" w:rsidRDefault="00F96822" w:rsidP="00443F17">
            <w:pPr>
              <w:tabs>
                <w:tab w:val="left" w:pos="366"/>
                <w:tab w:val="left" w:pos="510"/>
              </w:tabs>
              <w:spacing w:line="0" w:lineRule="atLeast"/>
              <w:ind w:left="1017" w:firstLine="27"/>
              <w:rPr>
                <w:rFonts w:ascii="Times New Roman" w:hAnsi="Times New Roman" w:cs="Times New Roman"/>
                <w:sz w:val="20"/>
                <w:szCs w:val="20"/>
              </w:rPr>
            </w:pPr>
            <w:r w:rsidRPr="00910E96">
              <w:rPr>
                <w:rFonts w:ascii="Times New Roman" w:hAnsi="Times New Roman" w:cs="Times New Roman"/>
                <w:sz w:val="20"/>
                <w:szCs w:val="20"/>
              </w:rPr>
              <w:t xml:space="preserve">Target:    </w:t>
            </w:r>
            <w:r>
              <w:rPr>
                <w:rFonts w:ascii="Times New Roman" w:hAnsi="Times New Roman" w:cs="Times New Roman"/>
                <w:sz w:val="20"/>
                <w:szCs w:val="20"/>
              </w:rPr>
              <w:t>8</w:t>
            </w:r>
            <w:r w:rsidR="000B44A7">
              <w:rPr>
                <w:rFonts w:ascii="Times New Roman" w:hAnsi="Times New Roman" w:cs="Times New Roman"/>
                <w:sz w:val="20"/>
                <w:szCs w:val="20"/>
              </w:rPr>
              <w:t>0</w:t>
            </w:r>
            <w:r w:rsidRPr="00910E96">
              <w:rPr>
                <w:rFonts w:ascii="Times New Roman" w:hAnsi="Times New Roman" w:cs="Times New Roman"/>
                <w:sz w:val="20"/>
                <w:szCs w:val="20"/>
              </w:rPr>
              <w:t>%  (2015)</w:t>
            </w:r>
          </w:p>
          <w:p w14:paraId="4F9271A3" w14:textId="77777777" w:rsidR="00F96822" w:rsidRPr="00910E96" w:rsidRDefault="00F96822" w:rsidP="00443F17">
            <w:pPr>
              <w:spacing w:line="0" w:lineRule="atLeast"/>
              <w:ind w:firstLine="0"/>
              <w:rPr>
                <w:rFonts w:ascii="Times New Roman" w:eastAsiaTheme="minorEastAsia" w:hAnsi="Times New Roman" w:cs="Times New Roman"/>
                <w:color w:val="000000"/>
                <w:sz w:val="20"/>
                <w:szCs w:val="20"/>
                <w:lang w:eastAsia="ja-JP"/>
              </w:rPr>
            </w:pPr>
          </w:p>
          <w:p w14:paraId="401E58B3" w14:textId="77777777" w:rsidR="00F96822" w:rsidRPr="00910E96" w:rsidRDefault="00F96822" w:rsidP="00443F17">
            <w:pPr>
              <w:spacing w:line="0" w:lineRule="atLeast"/>
              <w:rPr>
                <w:rFonts w:ascii="Times New Roman" w:hAnsi="Times New Roman" w:cs="Times New Roman"/>
                <w:b/>
                <w:sz w:val="20"/>
                <w:szCs w:val="20"/>
              </w:rPr>
            </w:pPr>
          </w:p>
        </w:tc>
        <w:tc>
          <w:tcPr>
            <w:tcW w:w="3918" w:type="dxa"/>
          </w:tcPr>
          <w:p w14:paraId="673DA6BD" w14:textId="77777777" w:rsidR="00F96822" w:rsidRPr="00910E96" w:rsidRDefault="00F96822" w:rsidP="00B45683">
            <w:pPr>
              <w:pStyle w:val="ListParagraph"/>
              <w:numPr>
                <w:ilvl w:val="0"/>
                <w:numId w:val="12"/>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Total number of internships weeks provided (target: 200,000) </w:t>
            </w:r>
          </w:p>
          <w:p w14:paraId="43328716" w14:textId="77777777" w:rsidR="00F96822" w:rsidRPr="00910E96" w:rsidRDefault="00F96822" w:rsidP="00B45683">
            <w:pPr>
              <w:pStyle w:val="ListParagraph"/>
              <w:numPr>
                <w:ilvl w:val="0"/>
                <w:numId w:val="12"/>
              </w:numPr>
              <w:spacing w:line="0" w:lineRule="atLeast"/>
              <w:rPr>
                <w:rFonts w:ascii="Times New Roman" w:hAnsi="Times New Roman" w:cs="Times New Roman"/>
                <w:sz w:val="20"/>
                <w:szCs w:val="20"/>
              </w:rPr>
            </w:pPr>
            <w:r w:rsidRPr="00910E96">
              <w:rPr>
                <w:rFonts w:ascii="Times New Roman" w:hAnsi="Times New Roman" w:cs="Times New Roman"/>
                <w:sz w:val="20"/>
                <w:szCs w:val="20"/>
              </w:rPr>
              <w:t>Total number of youth completing life skills training (target: 15,000)</w:t>
            </w:r>
          </w:p>
          <w:p w14:paraId="04753C73" w14:textId="77777777" w:rsidR="00F96822" w:rsidRPr="00910E96" w:rsidRDefault="00F96822" w:rsidP="00443F17">
            <w:pPr>
              <w:autoSpaceDE w:val="0"/>
              <w:autoSpaceDN w:val="0"/>
              <w:adjustRightInd w:val="0"/>
              <w:spacing w:line="0" w:lineRule="atLeast"/>
              <w:rPr>
                <w:rFonts w:ascii="Times New Roman" w:hAnsi="Times New Roman" w:cs="Times New Roman"/>
                <w:b/>
                <w:bCs/>
                <w:sz w:val="20"/>
                <w:szCs w:val="20"/>
                <w:lang w:val="en-GB"/>
              </w:rPr>
            </w:pPr>
          </w:p>
          <w:p w14:paraId="209CB902" w14:textId="77777777" w:rsidR="00F96822" w:rsidRPr="00910E96" w:rsidRDefault="00F96822" w:rsidP="00443F17">
            <w:pPr>
              <w:autoSpaceDE w:val="0"/>
              <w:autoSpaceDN w:val="0"/>
              <w:adjustRightInd w:val="0"/>
              <w:spacing w:line="0" w:lineRule="atLeast"/>
              <w:rPr>
                <w:rFonts w:ascii="Times New Roman" w:hAnsi="Times New Roman" w:cs="Times New Roman"/>
                <w:b/>
                <w:bCs/>
                <w:sz w:val="20"/>
                <w:szCs w:val="20"/>
                <w:lang w:val="en-GB"/>
              </w:rPr>
            </w:pPr>
          </w:p>
        </w:tc>
        <w:tc>
          <w:tcPr>
            <w:tcW w:w="5310" w:type="dxa"/>
          </w:tcPr>
          <w:p w14:paraId="3772422A"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35612731"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i/>
                <w:sz w:val="20"/>
                <w:szCs w:val="20"/>
              </w:rPr>
              <w:t>World Bank:</w:t>
            </w:r>
          </w:p>
          <w:p w14:paraId="6B2945C9"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[P111546] Youth Empowerment Project; [P149334] Stocktaking Youth Employment Activities (ESW); [P133772] KE STEP Skills Measurement Study (ESW);  [P146022] KE Education Sector Financial Management Analysis; [P146381] GPE Education Plan Preparation (TA); [P130804] Integrated Education Database EFO (TA)</w:t>
            </w:r>
          </w:p>
          <w:p w14:paraId="296718B2" w14:textId="77777777" w:rsidR="00F96822" w:rsidRPr="00910E96" w:rsidRDefault="00F96822" w:rsidP="00443F17">
            <w:pPr>
              <w:spacing w:line="0" w:lineRule="atLeast"/>
              <w:ind w:hanging="18"/>
              <w:rPr>
                <w:rFonts w:ascii="Times New Roman" w:hAnsi="Times New Roman" w:cs="Times New Roman"/>
                <w:sz w:val="20"/>
                <w:szCs w:val="20"/>
              </w:rPr>
            </w:pPr>
          </w:p>
          <w:p w14:paraId="732B350F"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b/>
                <w:sz w:val="20"/>
                <w:szCs w:val="20"/>
              </w:rPr>
              <w:t>Planned</w:t>
            </w:r>
            <w:r w:rsidRPr="00910E96">
              <w:rPr>
                <w:rFonts w:ascii="Times New Roman" w:hAnsi="Times New Roman" w:cs="Times New Roman"/>
                <w:sz w:val="20"/>
                <w:szCs w:val="20"/>
              </w:rPr>
              <w:t xml:space="preserve"> </w:t>
            </w:r>
          </w:p>
          <w:p w14:paraId="5B9F7CD4"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i/>
                <w:sz w:val="20"/>
                <w:szCs w:val="20"/>
              </w:rPr>
              <w:t>World Bank:</w:t>
            </w:r>
          </w:p>
          <w:p w14:paraId="1084BEF0"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[P146797] Kenya GPE Education Sector Support Project; </w:t>
            </w:r>
          </w:p>
          <w:p w14:paraId="4F9DC292"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Youth Development investment operation</w:t>
            </w:r>
          </w:p>
          <w:p w14:paraId="723E3C85" w14:textId="77777777" w:rsidR="00F96822" w:rsidRPr="00910E96" w:rsidRDefault="00F96822" w:rsidP="00443F17">
            <w:pPr>
              <w:spacing w:line="0" w:lineRule="atLeast"/>
              <w:ind w:hanging="18"/>
              <w:rPr>
                <w:rFonts w:ascii="Times New Roman" w:hAnsi="Times New Roman" w:cs="Times New Roman"/>
                <w:sz w:val="20"/>
                <w:szCs w:val="20"/>
              </w:rPr>
            </w:pPr>
          </w:p>
          <w:p w14:paraId="58A4A038"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i/>
                <w:sz w:val="20"/>
                <w:szCs w:val="20"/>
              </w:rPr>
              <w:t>IFC:</w:t>
            </w:r>
          </w:p>
          <w:p w14:paraId="3EA35F62"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[32171] Bridge International Academies; [29350] </w:t>
            </w:r>
            <w:proofErr w:type="spellStart"/>
            <w:r w:rsidRPr="00910E96">
              <w:rPr>
                <w:rFonts w:ascii="Times New Roman" w:hAnsi="Times New Roman" w:cs="Times New Roman"/>
                <w:sz w:val="20"/>
                <w:szCs w:val="20"/>
              </w:rPr>
              <w:t>Braeburn</w:t>
            </w:r>
            <w:proofErr w:type="spellEnd"/>
            <w:r w:rsidRPr="00910E96">
              <w:rPr>
                <w:rFonts w:ascii="Times New Roman" w:hAnsi="Times New Roman" w:cs="Times New Roman"/>
                <w:sz w:val="20"/>
                <w:szCs w:val="20"/>
              </w:rPr>
              <w:t xml:space="preserve"> Schools</w:t>
            </w:r>
          </w:p>
          <w:p w14:paraId="1C8F00AE" w14:textId="77777777" w:rsidR="00F96822" w:rsidRPr="00910E96" w:rsidRDefault="00F96822" w:rsidP="00443F17">
            <w:pPr>
              <w:spacing w:line="0" w:lineRule="atLeast"/>
              <w:ind w:hanging="18"/>
              <w:rPr>
                <w:rFonts w:ascii="Times New Roman" w:hAnsi="Times New Roman" w:cs="Times New Roman"/>
                <w:b/>
                <w:sz w:val="20"/>
                <w:szCs w:val="20"/>
              </w:rPr>
            </w:pPr>
          </w:p>
        </w:tc>
      </w:tr>
      <w:tr w:rsidR="00F96822" w:rsidRPr="00910E96" w14:paraId="3F640C8C" w14:textId="77777777" w:rsidTr="000B44A7">
        <w:trPr>
          <w:trHeight w:val="2748"/>
          <w:jc w:val="center"/>
        </w:trPr>
        <w:tc>
          <w:tcPr>
            <w:tcW w:w="4744" w:type="dxa"/>
          </w:tcPr>
          <w:p w14:paraId="3A74CDC3" w14:textId="77777777" w:rsidR="00F96822" w:rsidRPr="00101AAE" w:rsidRDefault="00F96822" w:rsidP="00443F17">
            <w:pPr>
              <w:spacing w:line="0" w:lineRule="atLeast"/>
              <w:ind w:firstLine="0"/>
              <w:rPr>
                <w:rFonts w:ascii="Times New Roman" w:hAnsi="Times New Roman" w:cs="Times New Roman"/>
                <w:b/>
                <w:sz w:val="20"/>
                <w:szCs w:val="20"/>
              </w:rPr>
            </w:pPr>
            <w:r w:rsidRPr="00101AAE">
              <w:rPr>
                <w:rFonts w:ascii="Times New Roman" w:hAnsi="Times New Roman" w:cs="Times New Roman"/>
                <w:b/>
                <w:sz w:val="20"/>
                <w:szCs w:val="20"/>
              </w:rPr>
              <w:lastRenderedPageBreak/>
              <w:t>Outcome 5.4:  Enhanced and More Systematic Social Protection</w:t>
            </w:r>
          </w:p>
          <w:p w14:paraId="2E0691F9" w14:textId="77777777" w:rsidR="00F96822" w:rsidRPr="00101AAE" w:rsidRDefault="00F96822" w:rsidP="00443F17">
            <w:pPr>
              <w:spacing w:line="0" w:lineRule="atLeast"/>
              <w:ind w:firstLine="0"/>
              <w:jc w:val="left"/>
              <w:rPr>
                <w:rFonts w:ascii="Times New Roman" w:hAnsi="Times New Roman" w:cs="Times New Roman"/>
                <w:b/>
                <w:sz w:val="20"/>
                <w:szCs w:val="20"/>
              </w:rPr>
            </w:pPr>
          </w:p>
          <w:p w14:paraId="4D1AD905" w14:textId="77777777" w:rsidR="00F96822" w:rsidRPr="00101AAE" w:rsidRDefault="00F96822" w:rsidP="007B5E57">
            <w:pPr>
              <w:pStyle w:val="ListParagraph"/>
              <w:numPr>
                <w:ilvl w:val="0"/>
                <w:numId w:val="85"/>
              </w:numPr>
              <w:tabs>
                <w:tab w:val="left" w:pos="450"/>
                <w:tab w:val="left" w:pos="747"/>
              </w:tabs>
              <w:spacing w:line="0" w:lineRule="atLeast"/>
              <w:rPr>
                <w:rFonts w:ascii="Times New Roman" w:hAnsi="Times New Roman" w:cs="Times New Roman"/>
                <w:sz w:val="20"/>
                <w:szCs w:val="20"/>
              </w:rPr>
            </w:pPr>
            <w:r w:rsidRPr="00101AAE">
              <w:rPr>
                <w:rFonts w:ascii="Times New Roman" w:hAnsi="Times New Roman" w:cs="Times New Roman"/>
                <w:sz w:val="20"/>
                <w:szCs w:val="20"/>
              </w:rPr>
              <w:t xml:space="preserve">People covered by social safety nets (number) </w:t>
            </w:r>
          </w:p>
          <w:p w14:paraId="1A046D4F" w14:textId="77777777" w:rsidR="00F96822" w:rsidRPr="00101AAE" w:rsidRDefault="00F96822" w:rsidP="00443F17">
            <w:pPr>
              <w:tabs>
                <w:tab w:val="left" w:pos="747"/>
              </w:tabs>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Baseline: 1,650,000 (2013)</w:t>
            </w:r>
          </w:p>
          <w:p w14:paraId="36E23708" w14:textId="77777777" w:rsidR="00F96822" w:rsidRPr="00101AAE" w:rsidRDefault="00F96822" w:rsidP="00443F17">
            <w:pPr>
              <w:tabs>
                <w:tab w:val="left" w:pos="747"/>
              </w:tabs>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Target: 2,</w:t>
            </w:r>
            <w:r w:rsidR="005468F6" w:rsidRPr="00101AAE">
              <w:rPr>
                <w:rFonts w:ascii="Times New Roman" w:hAnsi="Times New Roman" w:cs="Times New Roman"/>
                <w:sz w:val="20"/>
                <w:szCs w:val="20"/>
              </w:rPr>
              <w:t>1</w:t>
            </w:r>
            <w:r w:rsidRPr="00101AAE">
              <w:rPr>
                <w:rFonts w:ascii="Times New Roman" w:hAnsi="Times New Roman" w:cs="Times New Roman"/>
                <w:sz w:val="20"/>
                <w:szCs w:val="20"/>
              </w:rPr>
              <w:t xml:space="preserve">00,000 (2018) </w:t>
            </w:r>
          </w:p>
          <w:p w14:paraId="1F6604C0" w14:textId="77777777" w:rsidR="00F96822" w:rsidRPr="00101AAE" w:rsidRDefault="00F96822" w:rsidP="00443F17">
            <w:pPr>
              <w:tabs>
                <w:tab w:val="left" w:pos="450"/>
                <w:tab w:val="left" w:pos="558"/>
              </w:tabs>
              <w:spacing w:line="0" w:lineRule="atLeast"/>
              <w:ind w:left="927" w:hanging="18"/>
              <w:rPr>
                <w:rFonts w:ascii="Times New Roman" w:hAnsi="Times New Roman" w:cs="Times New Roman"/>
                <w:sz w:val="20"/>
                <w:szCs w:val="20"/>
              </w:rPr>
            </w:pPr>
          </w:p>
          <w:p w14:paraId="27D1013C" w14:textId="77777777" w:rsidR="00F96822" w:rsidRPr="00101AAE" w:rsidRDefault="00F96822" w:rsidP="007B5E57">
            <w:pPr>
              <w:pStyle w:val="ListParagraph"/>
              <w:numPr>
                <w:ilvl w:val="0"/>
                <w:numId w:val="85"/>
              </w:numPr>
              <w:spacing w:line="0" w:lineRule="atLeast"/>
              <w:rPr>
                <w:rFonts w:ascii="Times New Roman" w:hAnsi="Times New Roman" w:cs="Times New Roman"/>
                <w:sz w:val="20"/>
                <w:szCs w:val="20"/>
              </w:rPr>
            </w:pPr>
            <w:r w:rsidRPr="00101AAE">
              <w:rPr>
                <w:rFonts w:ascii="Times New Roman" w:hAnsi="Times New Roman" w:cs="Times New Roman"/>
                <w:sz w:val="20"/>
                <w:szCs w:val="20"/>
              </w:rPr>
              <w:t>Beneficiaries for whom payments are made electronically using two factor authentication (percentage)</w:t>
            </w:r>
          </w:p>
          <w:p w14:paraId="18291937" w14:textId="77777777" w:rsidR="00F96822" w:rsidRPr="00101AAE" w:rsidRDefault="00F96822" w:rsidP="00443F17">
            <w:pPr>
              <w:tabs>
                <w:tab w:val="left" w:pos="747"/>
              </w:tabs>
              <w:spacing w:line="0" w:lineRule="atLeast"/>
              <w:ind w:left="1107" w:firstLine="0"/>
              <w:rPr>
                <w:rFonts w:ascii="Times New Roman" w:hAnsi="Times New Roman" w:cs="Times New Roman"/>
                <w:sz w:val="20"/>
                <w:szCs w:val="20"/>
              </w:rPr>
            </w:pPr>
            <w:r w:rsidRPr="00101AAE">
              <w:rPr>
                <w:rFonts w:ascii="Times New Roman" w:hAnsi="Times New Roman" w:cs="Times New Roman"/>
                <w:sz w:val="20"/>
                <w:szCs w:val="20"/>
              </w:rPr>
              <w:t>Baseline: 0% (2013)</w:t>
            </w:r>
          </w:p>
          <w:p w14:paraId="7BB91237" w14:textId="77777777" w:rsidR="00F96822" w:rsidRPr="00101AAE" w:rsidRDefault="00F96822" w:rsidP="005468F6">
            <w:pPr>
              <w:tabs>
                <w:tab w:val="left" w:pos="747"/>
              </w:tabs>
              <w:spacing w:line="0" w:lineRule="atLeast"/>
              <w:ind w:left="1107" w:firstLine="0"/>
              <w:rPr>
                <w:rFonts w:ascii="Times New Roman" w:hAnsi="Times New Roman" w:cs="Times New Roman"/>
                <w:b/>
                <w:sz w:val="20"/>
                <w:szCs w:val="20"/>
              </w:rPr>
            </w:pPr>
            <w:r w:rsidRPr="00101AAE">
              <w:rPr>
                <w:rFonts w:ascii="Times New Roman" w:hAnsi="Times New Roman" w:cs="Times New Roman"/>
                <w:sz w:val="20"/>
                <w:szCs w:val="20"/>
              </w:rPr>
              <w:t xml:space="preserve">Target: </w:t>
            </w:r>
            <w:r w:rsidR="005468F6" w:rsidRPr="00101AAE">
              <w:rPr>
                <w:rFonts w:ascii="Times New Roman" w:hAnsi="Times New Roman" w:cs="Times New Roman"/>
                <w:sz w:val="20"/>
                <w:szCs w:val="20"/>
              </w:rPr>
              <w:t>75</w:t>
            </w:r>
            <w:r w:rsidRPr="00101AAE">
              <w:rPr>
                <w:rFonts w:ascii="Times New Roman" w:hAnsi="Times New Roman" w:cs="Times New Roman"/>
                <w:sz w:val="20"/>
                <w:szCs w:val="20"/>
              </w:rPr>
              <w:t xml:space="preserve">% (2018) </w:t>
            </w:r>
          </w:p>
        </w:tc>
        <w:tc>
          <w:tcPr>
            <w:tcW w:w="3918" w:type="dxa"/>
          </w:tcPr>
          <w:p w14:paraId="05FCD3E0" w14:textId="77777777" w:rsidR="00F96822" w:rsidRPr="00101AAE" w:rsidRDefault="00F96822" w:rsidP="00B45683">
            <w:pPr>
              <w:pStyle w:val="ListParagraph"/>
              <w:numPr>
                <w:ilvl w:val="0"/>
                <w:numId w:val="12"/>
              </w:numPr>
              <w:spacing w:line="0" w:lineRule="atLeast"/>
              <w:rPr>
                <w:rFonts w:ascii="Times New Roman" w:hAnsi="Times New Roman" w:cs="Times New Roman"/>
                <w:sz w:val="20"/>
                <w:szCs w:val="20"/>
              </w:rPr>
            </w:pPr>
            <w:r w:rsidRPr="00101AAE">
              <w:rPr>
                <w:rFonts w:ascii="Times New Roman" w:hAnsi="Times New Roman" w:cs="Times New Roman"/>
                <w:sz w:val="20"/>
                <w:szCs w:val="20"/>
              </w:rPr>
              <w:t>93% NSNP beneficiaries conform to program targeting criteria</w:t>
            </w:r>
          </w:p>
          <w:p w14:paraId="4F58F0A5" w14:textId="77777777" w:rsidR="00F96822" w:rsidRPr="00101AAE" w:rsidRDefault="00F96822" w:rsidP="00B45683">
            <w:pPr>
              <w:pStyle w:val="ListParagraph"/>
              <w:numPr>
                <w:ilvl w:val="0"/>
                <w:numId w:val="12"/>
              </w:numPr>
              <w:spacing w:line="0" w:lineRule="atLeast"/>
              <w:rPr>
                <w:rFonts w:ascii="Times New Roman" w:hAnsi="Times New Roman" w:cs="Times New Roman"/>
                <w:sz w:val="20"/>
                <w:szCs w:val="20"/>
              </w:rPr>
            </w:pPr>
            <w:r w:rsidRPr="00101AAE">
              <w:rPr>
                <w:rFonts w:ascii="Times New Roman" w:hAnsi="Times New Roman" w:cs="Times New Roman"/>
                <w:sz w:val="20"/>
                <w:szCs w:val="20"/>
              </w:rPr>
              <w:t>70% Payments disbursed to service providers on time by 2018</w:t>
            </w:r>
          </w:p>
          <w:p w14:paraId="2214D398" w14:textId="77777777" w:rsidR="00F96822" w:rsidRPr="00101AAE" w:rsidRDefault="00F96822" w:rsidP="00443F17">
            <w:pPr>
              <w:pStyle w:val="ListParagraph"/>
              <w:spacing w:line="0" w:lineRule="atLeast"/>
              <w:ind w:left="1017"/>
              <w:rPr>
                <w:rFonts w:ascii="Times New Roman" w:hAnsi="Times New Roman" w:cs="Times New Roman"/>
                <w:b/>
                <w:bCs/>
                <w:sz w:val="20"/>
                <w:szCs w:val="20"/>
                <w:lang w:val="en-GB"/>
              </w:rPr>
            </w:pPr>
          </w:p>
        </w:tc>
        <w:tc>
          <w:tcPr>
            <w:tcW w:w="5310" w:type="dxa"/>
          </w:tcPr>
          <w:p w14:paraId="1406260B"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4AEE33D6"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w:t>
            </w:r>
          </w:p>
          <w:p w14:paraId="2F47694B"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[P111545] KE Cash transfer for OVC; [P146161] AF KE for Cash Transfers for OVC; [P131305] KE National Safety Net for Results; [P121594] Social Protection Interventions – DFID (TA); [P147507] Poverty Monitoring (TA)</w:t>
            </w:r>
          </w:p>
          <w:p w14:paraId="619F1FD6" w14:textId="77777777" w:rsidR="00F96822" w:rsidRPr="00910E96" w:rsidRDefault="00F96822" w:rsidP="00443F17">
            <w:pPr>
              <w:spacing w:line="0" w:lineRule="atLeast"/>
              <w:ind w:firstLine="0"/>
              <w:rPr>
                <w:rFonts w:ascii="Times New Roman" w:hAnsi="Times New Roman" w:cs="Times New Roman"/>
                <w:sz w:val="20"/>
                <w:szCs w:val="20"/>
              </w:rPr>
            </w:pPr>
          </w:p>
          <w:p w14:paraId="30953A6C"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b/>
                <w:sz w:val="20"/>
                <w:szCs w:val="20"/>
              </w:rPr>
              <w:t>Planned</w:t>
            </w:r>
            <w:r w:rsidRPr="00910E96">
              <w:rPr>
                <w:rFonts w:ascii="Times New Roman" w:hAnsi="Times New Roman" w:cs="Times New Roman"/>
                <w:sz w:val="20"/>
                <w:szCs w:val="20"/>
              </w:rPr>
              <w:t xml:space="preserve"> </w:t>
            </w:r>
          </w:p>
          <w:p w14:paraId="67EF075D"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w:t>
            </w:r>
          </w:p>
          <w:p w14:paraId="57FA7B96" w14:textId="77777777" w:rsidR="00F96822" w:rsidRPr="00910E96" w:rsidRDefault="00F96822" w:rsidP="000B44A7">
            <w:pPr>
              <w:spacing w:line="0" w:lineRule="atLeast"/>
              <w:ind w:firstLine="0"/>
              <w:rPr>
                <w:rFonts w:ascii="Times New Roman" w:hAnsi="Times New Roman" w:cs="Times New Roman"/>
                <w:b/>
                <w:sz w:val="20"/>
                <w:szCs w:val="20"/>
              </w:rPr>
            </w:pPr>
            <w:r w:rsidRPr="00910E96">
              <w:rPr>
                <w:rFonts w:ascii="Times New Roman" w:hAnsi="Times New Roman" w:cs="Times New Roman"/>
                <w:sz w:val="20"/>
                <w:szCs w:val="20"/>
              </w:rPr>
              <w:t xml:space="preserve">Just in time Technical Assistance and South-South Knowledge exchange; A series of policy briefs, technical papers and World Bank working papers </w:t>
            </w:r>
          </w:p>
        </w:tc>
      </w:tr>
      <w:tr w:rsidR="00F96822" w:rsidRPr="00910E96" w14:paraId="6C832A3C" w14:textId="77777777" w:rsidTr="000B44A7">
        <w:trPr>
          <w:trHeight w:val="4233"/>
          <w:jc w:val="center"/>
        </w:trPr>
        <w:tc>
          <w:tcPr>
            <w:tcW w:w="4744" w:type="dxa"/>
          </w:tcPr>
          <w:p w14:paraId="7C4235A4" w14:textId="77777777" w:rsidR="00F96822" w:rsidRPr="00101AAE" w:rsidRDefault="00F96822" w:rsidP="00443F17">
            <w:pPr>
              <w:spacing w:line="0" w:lineRule="atLeast"/>
              <w:ind w:firstLine="0"/>
              <w:jc w:val="center"/>
              <w:rPr>
                <w:rFonts w:ascii="Times New Roman" w:hAnsi="Times New Roman" w:cs="Times New Roman"/>
                <w:b/>
                <w:sz w:val="24"/>
                <w:szCs w:val="24"/>
              </w:rPr>
            </w:pPr>
            <w:r w:rsidRPr="00101AAE">
              <w:rPr>
                <w:rFonts w:ascii="Times New Roman" w:hAnsi="Times New Roman" w:cs="Times New Roman"/>
                <w:b/>
                <w:sz w:val="24"/>
                <w:szCs w:val="24"/>
              </w:rPr>
              <w:t>Outcome 6: Improved Capacity to Manage Risks from Climate Change</w:t>
            </w:r>
          </w:p>
          <w:p w14:paraId="1310CC2B" w14:textId="77777777" w:rsidR="00F96822" w:rsidRPr="00101AAE" w:rsidRDefault="00F96822" w:rsidP="00443F17">
            <w:pPr>
              <w:spacing w:line="0" w:lineRule="atLeast"/>
              <w:rPr>
                <w:rFonts w:ascii="Times New Roman" w:hAnsi="Times New Roman" w:cs="Times New Roman"/>
                <w:b/>
                <w:sz w:val="20"/>
                <w:szCs w:val="20"/>
              </w:rPr>
            </w:pPr>
          </w:p>
          <w:p w14:paraId="06753D34" w14:textId="77777777" w:rsidR="00F96822" w:rsidRPr="00101AAE" w:rsidRDefault="00F96822" w:rsidP="007B5E57">
            <w:pPr>
              <w:pStyle w:val="ListParagraph"/>
              <w:numPr>
                <w:ilvl w:val="0"/>
                <w:numId w:val="84"/>
              </w:numPr>
              <w:tabs>
                <w:tab w:val="left" w:pos="117"/>
                <w:tab w:val="left" w:pos="453"/>
              </w:tabs>
              <w:spacing w:line="0" w:lineRule="atLeast"/>
              <w:rPr>
                <w:rFonts w:ascii="Times New Roman" w:hAnsi="Times New Roman" w:cs="Times New Roman"/>
                <w:sz w:val="20"/>
                <w:szCs w:val="20"/>
              </w:rPr>
            </w:pPr>
            <w:r w:rsidRPr="00101AAE">
              <w:rPr>
                <w:rFonts w:ascii="Times New Roman" w:hAnsi="Times New Roman" w:cs="Times New Roman"/>
                <w:sz w:val="20"/>
                <w:szCs w:val="20"/>
              </w:rPr>
              <w:t>Cr</w:t>
            </w:r>
            <w:r w:rsidR="000B44A7" w:rsidRPr="00101AAE">
              <w:rPr>
                <w:rFonts w:ascii="Times New Roman" w:hAnsi="Times New Roman" w:cs="Times New Roman"/>
                <w:sz w:val="20"/>
                <w:szCs w:val="20"/>
              </w:rPr>
              <w:t>op losses due to droughts (USD)</w:t>
            </w:r>
            <w:r w:rsidR="000B44A7" w:rsidRPr="00101AAE">
              <w:rPr>
                <w:rStyle w:val="FootnoteReference"/>
                <w:rFonts w:ascii="Times New Roman" w:hAnsi="Times New Roman" w:cs="Times New Roman"/>
                <w:sz w:val="20"/>
                <w:szCs w:val="20"/>
              </w:rPr>
              <w:footnoteReference w:customMarkFollows="1" w:id="12"/>
              <w:sym w:font="Symbol" w:char="F02A"/>
            </w:r>
            <w:r w:rsidRPr="00101AAE">
              <w:rPr>
                <w:rFonts w:ascii="Times New Roman" w:hAnsi="Times New Roman" w:cs="Times New Roman"/>
                <w:sz w:val="20"/>
                <w:szCs w:val="20"/>
              </w:rPr>
              <w:t xml:space="preserve"> </w:t>
            </w:r>
          </w:p>
          <w:p w14:paraId="5AB9B47A" w14:textId="77777777" w:rsidR="00F96822" w:rsidRPr="00101AAE" w:rsidRDefault="00F96822" w:rsidP="00443F17">
            <w:pPr>
              <w:pStyle w:val="ListParagraph"/>
              <w:tabs>
                <w:tab w:val="left" w:pos="486"/>
              </w:tabs>
              <w:spacing w:line="0" w:lineRule="atLeast"/>
              <w:ind w:left="882" w:hanging="18"/>
              <w:rPr>
                <w:rFonts w:ascii="Times New Roman" w:hAnsi="Times New Roman" w:cs="Times New Roman"/>
                <w:sz w:val="20"/>
                <w:szCs w:val="20"/>
              </w:rPr>
            </w:pPr>
            <w:r w:rsidRPr="00101AAE">
              <w:rPr>
                <w:rFonts w:ascii="Times New Roman" w:hAnsi="Times New Roman" w:cs="Times New Roman"/>
                <w:sz w:val="20"/>
                <w:szCs w:val="20"/>
              </w:rPr>
              <w:t>Baseline: USD 2.8 billion (2008)</w:t>
            </w:r>
          </w:p>
          <w:p w14:paraId="214D9C31" w14:textId="77777777" w:rsidR="00F96822" w:rsidRPr="00101AAE" w:rsidRDefault="00F96822" w:rsidP="00443F17">
            <w:pPr>
              <w:pStyle w:val="ListParagraph"/>
              <w:tabs>
                <w:tab w:val="left" w:pos="486"/>
              </w:tabs>
              <w:spacing w:line="0" w:lineRule="atLeast"/>
              <w:ind w:left="882" w:hanging="18"/>
              <w:rPr>
                <w:rFonts w:ascii="Times New Roman" w:hAnsi="Times New Roman" w:cs="Times New Roman"/>
                <w:sz w:val="20"/>
                <w:szCs w:val="20"/>
              </w:rPr>
            </w:pPr>
            <w:r w:rsidRPr="00101AAE">
              <w:rPr>
                <w:rFonts w:ascii="Times New Roman" w:hAnsi="Times New Roman" w:cs="Times New Roman"/>
                <w:sz w:val="20"/>
                <w:szCs w:val="20"/>
              </w:rPr>
              <w:t>Target: 5% reduction (2018)</w:t>
            </w:r>
          </w:p>
          <w:p w14:paraId="396DBE8C" w14:textId="77777777" w:rsidR="00F96822" w:rsidRPr="00101AAE" w:rsidRDefault="00F96822" w:rsidP="00443F17">
            <w:pPr>
              <w:spacing w:line="0" w:lineRule="atLeast"/>
              <w:rPr>
                <w:rFonts w:ascii="Times New Roman" w:hAnsi="Times New Roman" w:cs="Times New Roman"/>
                <w:sz w:val="20"/>
                <w:szCs w:val="20"/>
              </w:rPr>
            </w:pPr>
          </w:p>
          <w:p w14:paraId="4233C3EC" w14:textId="77777777" w:rsidR="00F96822" w:rsidRPr="00101AAE" w:rsidRDefault="00F96822" w:rsidP="007B5E57">
            <w:pPr>
              <w:pStyle w:val="ListParagraph"/>
              <w:numPr>
                <w:ilvl w:val="0"/>
                <w:numId w:val="84"/>
              </w:numPr>
              <w:tabs>
                <w:tab w:val="left" w:pos="426"/>
              </w:tabs>
              <w:spacing w:line="0" w:lineRule="atLeast"/>
              <w:rPr>
                <w:rFonts w:ascii="Times New Roman" w:hAnsi="Times New Roman" w:cs="Times New Roman"/>
                <w:sz w:val="20"/>
                <w:szCs w:val="20"/>
              </w:rPr>
            </w:pPr>
            <w:r w:rsidRPr="00101AAE">
              <w:rPr>
                <w:rFonts w:ascii="Times New Roman" w:hAnsi="Times New Roman" w:cs="Times New Roman"/>
                <w:sz w:val="20"/>
                <w:szCs w:val="20"/>
              </w:rPr>
              <w:t>Community action plans with concrete climate risk management activities reflected in the budget (number)</w:t>
            </w:r>
          </w:p>
          <w:p w14:paraId="56EFFE03" w14:textId="77777777" w:rsidR="00F96822" w:rsidRPr="00101AAE" w:rsidRDefault="00F96822" w:rsidP="00443F17">
            <w:pPr>
              <w:tabs>
                <w:tab w:val="left" w:pos="426"/>
              </w:tabs>
              <w:spacing w:line="0" w:lineRule="atLeast"/>
              <w:ind w:left="162"/>
              <w:rPr>
                <w:rFonts w:ascii="Times New Roman" w:hAnsi="Times New Roman" w:cs="Times New Roman"/>
                <w:sz w:val="20"/>
                <w:szCs w:val="20"/>
              </w:rPr>
            </w:pPr>
            <w:r w:rsidRPr="00101AAE">
              <w:rPr>
                <w:rFonts w:ascii="Times New Roman" w:hAnsi="Times New Roman" w:cs="Times New Roman"/>
                <w:sz w:val="20"/>
                <w:szCs w:val="20"/>
              </w:rPr>
              <w:t>Baseline: 0 (2013)</w:t>
            </w:r>
          </w:p>
          <w:p w14:paraId="4FF0ABA8" w14:textId="77777777" w:rsidR="00F96822" w:rsidRPr="00101AAE" w:rsidRDefault="00F96822" w:rsidP="00443F17">
            <w:pPr>
              <w:tabs>
                <w:tab w:val="left" w:pos="426"/>
              </w:tabs>
              <w:spacing w:line="0" w:lineRule="atLeast"/>
              <w:ind w:left="162"/>
              <w:rPr>
                <w:rFonts w:ascii="Times New Roman" w:hAnsi="Times New Roman" w:cs="Times New Roman"/>
                <w:sz w:val="20"/>
                <w:szCs w:val="20"/>
              </w:rPr>
            </w:pPr>
            <w:r w:rsidRPr="00101AAE">
              <w:rPr>
                <w:rFonts w:ascii="Times New Roman" w:hAnsi="Times New Roman" w:cs="Times New Roman"/>
                <w:sz w:val="20"/>
                <w:szCs w:val="20"/>
              </w:rPr>
              <w:t>Target: 32 (2018)</w:t>
            </w:r>
          </w:p>
          <w:p w14:paraId="5EF61B74" w14:textId="77777777" w:rsidR="00F96822" w:rsidRPr="00101AAE" w:rsidRDefault="00F96822" w:rsidP="00443F17">
            <w:pPr>
              <w:spacing w:line="0" w:lineRule="atLeast"/>
              <w:rPr>
                <w:rFonts w:ascii="Times New Roman" w:hAnsi="Times New Roman" w:cs="Times New Roman"/>
                <w:b/>
                <w:sz w:val="20"/>
                <w:szCs w:val="20"/>
              </w:rPr>
            </w:pPr>
          </w:p>
        </w:tc>
        <w:tc>
          <w:tcPr>
            <w:tcW w:w="3918" w:type="dxa"/>
          </w:tcPr>
          <w:p w14:paraId="22881FA9"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Methodology and tool for screening agricultural investment programs for climate risk developed (target: 1)</w:t>
            </w:r>
          </w:p>
          <w:p w14:paraId="5B336D29"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Climate risk profiles developed and used for district management plans (target: 4)</w:t>
            </w:r>
          </w:p>
          <w:p w14:paraId="5EEFA4C5"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Community adaptation micro-projects developed and implemented (target: 80)</w:t>
            </w:r>
          </w:p>
          <w:p w14:paraId="2A910278"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Officers from lead agencies trained on integrated coastal zone management and environmental impact assessments by 2016 (target: 85)</w:t>
            </w:r>
          </w:p>
          <w:p w14:paraId="18187476"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Conservation areas receive a Management Effectiveness Tracking Tool score of at least 55 by 2016 (target: 3)</w:t>
            </w:r>
          </w:p>
          <w:p w14:paraId="7D38958D" w14:textId="77777777" w:rsidR="00F96822" w:rsidRPr="00101AAE" w:rsidRDefault="00F96822" w:rsidP="007B5E57">
            <w:pPr>
              <w:pStyle w:val="ListParagraph"/>
              <w:numPr>
                <w:ilvl w:val="0"/>
                <w:numId w:val="83"/>
              </w:numPr>
              <w:spacing w:line="0" w:lineRule="atLeast"/>
              <w:rPr>
                <w:rFonts w:ascii="Times New Roman" w:hAnsi="Times New Roman" w:cs="Times New Roman"/>
                <w:sz w:val="20"/>
                <w:szCs w:val="20"/>
              </w:rPr>
            </w:pPr>
            <w:r w:rsidRPr="00101AAE">
              <w:rPr>
                <w:rFonts w:ascii="Times New Roman" w:hAnsi="Times New Roman" w:cs="Times New Roman"/>
                <w:sz w:val="20"/>
                <w:szCs w:val="20"/>
              </w:rPr>
              <w:t>Number of district management plans with concrete climate risk management activities risk management activities reflected in the budget</w:t>
            </w:r>
          </w:p>
          <w:p w14:paraId="7ECE3562" w14:textId="77777777" w:rsidR="000B44A7" w:rsidRPr="00101AAE" w:rsidRDefault="000B44A7" w:rsidP="000B44A7">
            <w:pPr>
              <w:pStyle w:val="ListParagraph"/>
              <w:spacing w:line="0" w:lineRule="atLeast"/>
              <w:ind w:left="360" w:firstLine="0"/>
              <w:rPr>
                <w:rFonts w:ascii="Times New Roman" w:hAnsi="Times New Roman" w:cs="Times New Roman"/>
                <w:sz w:val="20"/>
                <w:szCs w:val="20"/>
              </w:rPr>
            </w:pPr>
          </w:p>
        </w:tc>
        <w:tc>
          <w:tcPr>
            <w:tcW w:w="5310" w:type="dxa"/>
          </w:tcPr>
          <w:p w14:paraId="47E2F7D9"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694B146D"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World Bank:</w:t>
            </w:r>
          </w:p>
          <w:p w14:paraId="005B7637"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[P091979] Adaptation to Climate Change in Arid and Semi-Arid Lands (KAACCAL); [P144770] KE Natural Resource Management Strategy (TA)  </w:t>
            </w:r>
          </w:p>
          <w:p w14:paraId="4FD2BC93" w14:textId="77777777" w:rsidR="00F96822" w:rsidRPr="00910E96" w:rsidRDefault="00F96822" w:rsidP="00443F17">
            <w:pPr>
              <w:spacing w:line="0" w:lineRule="atLeast"/>
              <w:ind w:firstLine="0"/>
              <w:rPr>
                <w:rFonts w:ascii="Times New Roman" w:hAnsi="Times New Roman" w:cs="Times New Roman"/>
                <w:sz w:val="20"/>
                <w:szCs w:val="20"/>
              </w:rPr>
            </w:pPr>
          </w:p>
          <w:p w14:paraId="62992DC4"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297DA2AE" w14:textId="77777777" w:rsidR="00F96822" w:rsidRPr="00910E96" w:rsidRDefault="00F96822" w:rsidP="000B44A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[P117635] KE Enhancing Water Security and Climate Resilience </w:t>
            </w:r>
          </w:p>
          <w:p w14:paraId="53D6A4F5" w14:textId="77777777" w:rsidR="00F96822" w:rsidRPr="00910E96" w:rsidRDefault="00F96822" w:rsidP="00443F17">
            <w:pPr>
              <w:spacing w:line="0" w:lineRule="atLeast"/>
              <w:rPr>
                <w:rFonts w:ascii="Times New Roman" w:hAnsi="Times New Roman" w:cs="Times New Roman"/>
                <w:sz w:val="20"/>
                <w:szCs w:val="20"/>
              </w:rPr>
            </w:pPr>
          </w:p>
        </w:tc>
      </w:tr>
      <w:tr w:rsidR="00F96822" w:rsidRPr="00910E96" w14:paraId="123B19DD" w14:textId="77777777" w:rsidTr="000B44A7">
        <w:trPr>
          <w:jc w:val="center"/>
        </w:trPr>
        <w:tc>
          <w:tcPr>
            <w:tcW w:w="4744" w:type="dxa"/>
          </w:tcPr>
          <w:p w14:paraId="7EF83AD3" w14:textId="77777777" w:rsidR="000B44A7" w:rsidRDefault="00F96822" w:rsidP="00443F17">
            <w:pPr>
              <w:spacing w:line="0" w:lineRule="atLeast"/>
              <w:ind w:firstLine="0"/>
              <w:jc w:val="center"/>
              <w:rPr>
                <w:rFonts w:ascii="Times New Roman" w:hAnsi="Times New Roman" w:cs="Times New Roman"/>
                <w:b/>
                <w:sz w:val="24"/>
                <w:szCs w:val="24"/>
              </w:rPr>
            </w:pPr>
            <w:r w:rsidRPr="00910E96">
              <w:rPr>
                <w:rFonts w:ascii="Times New Roman" w:hAnsi="Times New Roman" w:cs="Times New Roman"/>
                <w:b/>
                <w:sz w:val="24"/>
                <w:szCs w:val="24"/>
              </w:rPr>
              <w:t xml:space="preserve">Outcome </w:t>
            </w:r>
            <w:r>
              <w:rPr>
                <w:rFonts w:ascii="Times New Roman" w:hAnsi="Times New Roman" w:cs="Times New Roman"/>
                <w:b/>
                <w:sz w:val="24"/>
                <w:szCs w:val="24"/>
              </w:rPr>
              <w:t>7</w:t>
            </w:r>
            <w:r w:rsidRPr="00910E96">
              <w:rPr>
                <w:rFonts w:ascii="Times New Roman" w:hAnsi="Times New Roman" w:cs="Times New Roman"/>
                <w:b/>
                <w:sz w:val="24"/>
                <w:szCs w:val="24"/>
              </w:rPr>
              <w:t xml:space="preserve">: </w:t>
            </w:r>
            <w:r>
              <w:rPr>
                <w:rFonts w:ascii="Times New Roman" w:hAnsi="Times New Roman" w:cs="Times New Roman"/>
                <w:b/>
                <w:sz w:val="24"/>
                <w:szCs w:val="24"/>
              </w:rPr>
              <w:t>Greater Citizen Feedback</w:t>
            </w:r>
            <w:r w:rsidRPr="00910E96">
              <w:rPr>
                <w:rFonts w:ascii="Times New Roman" w:hAnsi="Times New Roman" w:cs="Times New Roman"/>
                <w:b/>
                <w:sz w:val="24"/>
                <w:szCs w:val="24"/>
              </w:rPr>
              <w:t xml:space="preserve"> </w:t>
            </w:r>
            <w:r>
              <w:rPr>
                <w:rFonts w:ascii="Times New Roman" w:hAnsi="Times New Roman" w:cs="Times New Roman"/>
                <w:b/>
                <w:sz w:val="24"/>
                <w:szCs w:val="24"/>
              </w:rPr>
              <w:t xml:space="preserve">on the Quality of Service Delivery </w:t>
            </w:r>
          </w:p>
          <w:p w14:paraId="13F5BAC0" w14:textId="77777777" w:rsidR="00F96822" w:rsidRDefault="00F96822" w:rsidP="00443F17">
            <w:pPr>
              <w:spacing w:line="0" w:lineRule="atLeast"/>
              <w:ind w:firstLine="0"/>
              <w:jc w:val="center"/>
              <w:rPr>
                <w:rFonts w:ascii="Times New Roman" w:hAnsi="Times New Roman" w:cs="Times New Roman"/>
                <w:b/>
                <w:sz w:val="24"/>
                <w:szCs w:val="24"/>
              </w:rPr>
            </w:pPr>
            <w:r>
              <w:rPr>
                <w:rFonts w:ascii="Times New Roman" w:hAnsi="Times New Roman" w:cs="Times New Roman"/>
                <w:b/>
                <w:sz w:val="24"/>
                <w:szCs w:val="24"/>
              </w:rPr>
              <w:t xml:space="preserve">in Key Sectors </w:t>
            </w:r>
          </w:p>
          <w:p w14:paraId="550A023C" w14:textId="77777777" w:rsidR="000B44A7" w:rsidRPr="00910E96" w:rsidRDefault="000B44A7" w:rsidP="00443F17">
            <w:pPr>
              <w:spacing w:line="0" w:lineRule="atLeast"/>
              <w:ind w:firstLine="0"/>
              <w:jc w:val="center"/>
              <w:rPr>
                <w:rFonts w:ascii="Times New Roman" w:hAnsi="Times New Roman" w:cs="Times New Roman"/>
                <w:b/>
                <w:sz w:val="24"/>
                <w:szCs w:val="24"/>
              </w:rPr>
            </w:pPr>
            <w:r w:rsidRPr="00910E96">
              <w:rPr>
                <w:rFonts w:ascii="Times New Roman" w:hAnsi="Times New Roman" w:cs="Times New Roman"/>
                <w:b/>
                <w:i/>
                <w:sz w:val="24"/>
                <w:szCs w:val="24"/>
              </w:rPr>
              <w:t>(</w:t>
            </w:r>
            <w:r>
              <w:rPr>
                <w:rFonts w:ascii="Times New Roman" w:hAnsi="Times New Roman" w:cs="Times New Roman"/>
                <w:b/>
                <w:i/>
                <w:sz w:val="24"/>
                <w:szCs w:val="24"/>
              </w:rPr>
              <w:t>Capturing the Connecting Platform Outcome of Garnering Good Governance</w:t>
            </w:r>
            <w:r w:rsidRPr="00910E96">
              <w:rPr>
                <w:rFonts w:ascii="Times New Roman" w:hAnsi="Times New Roman" w:cs="Times New Roman"/>
                <w:b/>
                <w:i/>
                <w:sz w:val="24"/>
                <w:szCs w:val="24"/>
              </w:rPr>
              <w:t>)</w:t>
            </w:r>
          </w:p>
          <w:p w14:paraId="7C049142" w14:textId="77777777" w:rsidR="00F96822" w:rsidRPr="00910E96" w:rsidRDefault="00F96822" w:rsidP="00443F17">
            <w:pPr>
              <w:spacing w:line="0" w:lineRule="atLeast"/>
              <w:rPr>
                <w:rFonts w:ascii="Times New Roman" w:hAnsi="Times New Roman" w:cs="Times New Roman"/>
                <w:b/>
                <w:sz w:val="20"/>
                <w:szCs w:val="20"/>
              </w:rPr>
            </w:pPr>
          </w:p>
          <w:p w14:paraId="56458C88" w14:textId="77777777" w:rsidR="00F96822" w:rsidRPr="00910E96" w:rsidRDefault="000B44A7" w:rsidP="00443F17">
            <w:pPr>
              <w:tabs>
                <w:tab w:val="left" w:pos="366"/>
                <w:tab w:val="left" w:pos="534"/>
              </w:tabs>
              <w:spacing w:line="0" w:lineRule="atLeast"/>
              <w:ind w:left="210" w:firstLine="0"/>
              <w:rPr>
                <w:rFonts w:ascii="Times New Roman" w:hAnsi="Times New Roman" w:cs="Times New Roman"/>
                <w:sz w:val="20"/>
                <w:szCs w:val="20"/>
              </w:rPr>
            </w:pPr>
            <w:r>
              <w:rPr>
                <w:rFonts w:ascii="Times New Roman" w:hAnsi="Times New Roman" w:cs="Times New Roman"/>
                <w:sz w:val="20"/>
                <w:szCs w:val="20"/>
              </w:rPr>
              <w:lastRenderedPageBreak/>
              <w:t xml:space="preserve">Health, education, or water sectors using </w:t>
            </w:r>
            <w:r w:rsidR="00F96822" w:rsidRPr="00910E96">
              <w:rPr>
                <w:rFonts w:ascii="Times New Roman" w:hAnsi="Times New Roman" w:cs="Times New Roman"/>
                <w:sz w:val="20"/>
                <w:szCs w:val="20"/>
              </w:rPr>
              <w:t xml:space="preserve">citizen report cards </w:t>
            </w:r>
            <w:r>
              <w:rPr>
                <w:rFonts w:ascii="Times New Roman" w:hAnsi="Times New Roman" w:cs="Times New Roman"/>
                <w:sz w:val="20"/>
                <w:szCs w:val="20"/>
              </w:rPr>
              <w:t>to monitor</w:t>
            </w:r>
            <w:r w:rsidR="00F96822" w:rsidRPr="00910E96">
              <w:rPr>
                <w:rFonts w:ascii="Times New Roman" w:hAnsi="Times New Roman" w:cs="Times New Roman"/>
                <w:sz w:val="20"/>
                <w:szCs w:val="20"/>
              </w:rPr>
              <w:t xml:space="preserve"> service delivery</w:t>
            </w:r>
            <w:r w:rsidR="00F96822" w:rsidRPr="00085D49">
              <w:rPr>
                <w:rFonts w:ascii="Times New Roman" w:hAnsi="Times New Roman" w:cs="Times New Roman"/>
                <w:sz w:val="20"/>
                <w:szCs w:val="20"/>
              </w:rPr>
              <w:t xml:space="preserve"> (number)</w:t>
            </w:r>
          </w:p>
          <w:p w14:paraId="452D2B7A" w14:textId="77777777" w:rsidR="00F96822" w:rsidRPr="00910E96" w:rsidRDefault="00F96822" w:rsidP="00443F17">
            <w:pPr>
              <w:spacing w:line="0" w:lineRule="atLeast"/>
              <w:ind w:left="180"/>
              <w:rPr>
                <w:rFonts w:ascii="Times New Roman" w:hAnsi="Times New Roman" w:cs="Times New Roman"/>
                <w:sz w:val="20"/>
                <w:szCs w:val="20"/>
              </w:rPr>
            </w:pPr>
            <w:r w:rsidRPr="00910E96">
              <w:rPr>
                <w:rFonts w:ascii="Times New Roman" w:hAnsi="Times New Roman" w:cs="Times New Roman"/>
                <w:sz w:val="20"/>
                <w:szCs w:val="20"/>
              </w:rPr>
              <w:t>Baseline: 0 sectors (2014)</w:t>
            </w:r>
          </w:p>
          <w:p w14:paraId="70E9BAA3" w14:textId="77777777" w:rsidR="00F96822" w:rsidRDefault="00F96822" w:rsidP="00443F17">
            <w:p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    Target:  </w:t>
            </w:r>
            <w:r>
              <w:rPr>
                <w:rFonts w:ascii="Times New Roman" w:hAnsi="Times New Roman" w:cs="Times New Roman"/>
                <w:sz w:val="20"/>
                <w:szCs w:val="20"/>
              </w:rPr>
              <w:t>2</w:t>
            </w:r>
            <w:r w:rsidRPr="00910E96">
              <w:rPr>
                <w:rFonts w:ascii="Times New Roman" w:hAnsi="Times New Roman" w:cs="Times New Roman"/>
                <w:sz w:val="20"/>
                <w:szCs w:val="20"/>
              </w:rPr>
              <w:t xml:space="preserve">   (2018)</w:t>
            </w:r>
          </w:p>
          <w:p w14:paraId="51A9FED1" w14:textId="77777777" w:rsidR="000B44A7" w:rsidRPr="00910E96" w:rsidRDefault="000B44A7" w:rsidP="00443F17">
            <w:pPr>
              <w:spacing w:line="0" w:lineRule="atLeast"/>
              <w:rPr>
                <w:rFonts w:ascii="Times New Roman" w:hAnsi="Times New Roman" w:cs="Times New Roman"/>
                <w:b/>
                <w:sz w:val="20"/>
                <w:szCs w:val="20"/>
              </w:rPr>
            </w:pPr>
          </w:p>
        </w:tc>
        <w:tc>
          <w:tcPr>
            <w:tcW w:w="3918" w:type="dxa"/>
          </w:tcPr>
          <w:p w14:paraId="01A17EA8" w14:textId="77777777" w:rsidR="00F96822" w:rsidRPr="000E3B16" w:rsidRDefault="00F96822" w:rsidP="007B5E57">
            <w:pPr>
              <w:pStyle w:val="ListParagraph"/>
              <w:numPr>
                <w:ilvl w:val="0"/>
                <w:numId w:val="86"/>
              </w:numPr>
              <w:tabs>
                <w:tab w:val="left" w:pos="390"/>
              </w:tabs>
              <w:spacing w:line="0" w:lineRule="atLeast"/>
              <w:ind w:left="390"/>
              <w:rPr>
                <w:rFonts w:ascii="Times New Roman" w:hAnsi="Times New Roman" w:cs="Times New Roman"/>
                <w:sz w:val="20"/>
                <w:szCs w:val="20"/>
              </w:rPr>
            </w:pPr>
            <w:r w:rsidRPr="000E3B16">
              <w:rPr>
                <w:rFonts w:ascii="Times New Roman" w:hAnsi="Times New Roman" w:cs="Times New Roman"/>
                <w:sz w:val="20"/>
                <w:szCs w:val="20"/>
              </w:rPr>
              <w:lastRenderedPageBreak/>
              <w:t>Public Expenditure Reviews undertaken in the education, health and water sectors</w:t>
            </w:r>
          </w:p>
          <w:p w14:paraId="2B84A7A2" w14:textId="77777777" w:rsidR="00F96822" w:rsidRPr="00910E96" w:rsidRDefault="00F96822" w:rsidP="00443F17">
            <w:pPr>
              <w:pStyle w:val="ListParagraph"/>
              <w:spacing w:line="0" w:lineRule="atLeast"/>
              <w:ind w:left="360"/>
              <w:rPr>
                <w:rFonts w:ascii="Times New Roman" w:hAnsi="Times New Roman" w:cs="Times New Roman"/>
                <w:sz w:val="20"/>
                <w:szCs w:val="20"/>
              </w:rPr>
            </w:pPr>
          </w:p>
        </w:tc>
        <w:tc>
          <w:tcPr>
            <w:tcW w:w="5310" w:type="dxa"/>
          </w:tcPr>
          <w:p w14:paraId="1B1FB8F6"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Ongoing</w:t>
            </w:r>
          </w:p>
          <w:p w14:paraId="2B0782CF"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i/>
                <w:sz w:val="20"/>
                <w:szCs w:val="20"/>
              </w:rPr>
              <w:t>World Bank</w:t>
            </w:r>
            <w:r w:rsidRPr="00910E96">
              <w:rPr>
                <w:rFonts w:ascii="Times New Roman" w:hAnsi="Times New Roman" w:cs="Times New Roman"/>
                <w:b/>
                <w:sz w:val="20"/>
                <w:szCs w:val="20"/>
              </w:rPr>
              <w:t>:</w:t>
            </w:r>
          </w:p>
          <w:p w14:paraId="5A31FB54"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sz w:val="20"/>
                <w:szCs w:val="20"/>
              </w:rPr>
              <w:t>[P133643] Kenya PER (ESW)</w:t>
            </w:r>
          </w:p>
          <w:p w14:paraId="4A83A995" w14:textId="77777777" w:rsidR="00F96822" w:rsidRPr="00910E96" w:rsidRDefault="00F96822" w:rsidP="00443F17">
            <w:pPr>
              <w:spacing w:line="0" w:lineRule="atLeast"/>
              <w:ind w:firstLine="0"/>
              <w:rPr>
                <w:rFonts w:ascii="Times New Roman" w:hAnsi="Times New Roman" w:cs="Times New Roman"/>
                <w:b/>
                <w:sz w:val="20"/>
                <w:szCs w:val="20"/>
              </w:rPr>
            </w:pPr>
          </w:p>
          <w:p w14:paraId="380D960A"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7C41E076"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 xml:space="preserve">World Bank: </w:t>
            </w:r>
          </w:p>
          <w:p w14:paraId="064CFF1D" w14:textId="77777777" w:rsidR="00F96822" w:rsidRDefault="00F96822" w:rsidP="000B44A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[P131037] KE Open Data Incubator Innovation </w:t>
            </w:r>
            <w:r w:rsidRPr="00910E96">
              <w:rPr>
                <w:rFonts w:ascii="Times New Roman" w:hAnsi="Times New Roman" w:cs="Times New Roman"/>
                <w:sz w:val="20"/>
                <w:szCs w:val="20"/>
              </w:rPr>
              <w:lastRenderedPageBreak/>
              <w:t xml:space="preserve">(TA);[P143245] Country Analysis on Social Inclusion and Enhancing the application of OP 4.1 in Kenya (Indigenous Peoples) </w:t>
            </w:r>
          </w:p>
          <w:p w14:paraId="52E3B2E8" w14:textId="77777777" w:rsidR="000B44A7" w:rsidRDefault="000B44A7" w:rsidP="000B44A7">
            <w:pPr>
              <w:spacing w:line="0" w:lineRule="atLeast"/>
              <w:ind w:firstLine="0"/>
              <w:rPr>
                <w:rFonts w:ascii="Times New Roman" w:hAnsi="Times New Roman" w:cs="Times New Roman"/>
                <w:sz w:val="20"/>
                <w:szCs w:val="20"/>
              </w:rPr>
            </w:pPr>
          </w:p>
          <w:p w14:paraId="0453510A" w14:textId="77777777" w:rsidR="000B44A7" w:rsidRDefault="000B44A7" w:rsidP="000B44A7">
            <w:pPr>
              <w:spacing w:line="0" w:lineRule="atLeast"/>
              <w:ind w:firstLine="0"/>
              <w:rPr>
                <w:rFonts w:ascii="Times New Roman" w:hAnsi="Times New Roman" w:cs="Times New Roman"/>
                <w:sz w:val="20"/>
                <w:szCs w:val="20"/>
              </w:rPr>
            </w:pPr>
          </w:p>
          <w:p w14:paraId="0B58AF8C" w14:textId="77777777" w:rsidR="000B44A7" w:rsidRDefault="000B44A7" w:rsidP="000B44A7">
            <w:pPr>
              <w:spacing w:line="0" w:lineRule="atLeast"/>
              <w:ind w:firstLine="0"/>
              <w:rPr>
                <w:rFonts w:ascii="Times New Roman" w:hAnsi="Times New Roman" w:cs="Times New Roman"/>
                <w:sz w:val="20"/>
                <w:szCs w:val="20"/>
              </w:rPr>
            </w:pPr>
          </w:p>
          <w:p w14:paraId="64534933" w14:textId="77777777" w:rsidR="000B44A7" w:rsidRDefault="000B44A7" w:rsidP="000B44A7">
            <w:pPr>
              <w:spacing w:line="0" w:lineRule="atLeast"/>
              <w:ind w:firstLine="0"/>
              <w:rPr>
                <w:rFonts w:ascii="Times New Roman" w:hAnsi="Times New Roman" w:cs="Times New Roman"/>
                <w:sz w:val="20"/>
                <w:szCs w:val="20"/>
              </w:rPr>
            </w:pPr>
          </w:p>
          <w:p w14:paraId="6A2C2455" w14:textId="77777777" w:rsidR="000B44A7" w:rsidRDefault="000B44A7" w:rsidP="000B44A7">
            <w:pPr>
              <w:spacing w:line="0" w:lineRule="atLeast"/>
              <w:ind w:firstLine="0"/>
              <w:rPr>
                <w:rFonts w:ascii="Times New Roman" w:hAnsi="Times New Roman" w:cs="Times New Roman"/>
                <w:sz w:val="20"/>
                <w:szCs w:val="20"/>
              </w:rPr>
            </w:pPr>
          </w:p>
          <w:p w14:paraId="3A7AC5EB" w14:textId="77777777" w:rsidR="000B44A7" w:rsidRDefault="000B44A7" w:rsidP="000B44A7">
            <w:pPr>
              <w:spacing w:line="0" w:lineRule="atLeast"/>
              <w:ind w:firstLine="0"/>
              <w:rPr>
                <w:rFonts w:ascii="Times New Roman" w:hAnsi="Times New Roman" w:cs="Times New Roman"/>
                <w:sz w:val="20"/>
                <w:szCs w:val="20"/>
              </w:rPr>
            </w:pPr>
          </w:p>
          <w:p w14:paraId="13079793" w14:textId="77777777" w:rsidR="000B44A7" w:rsidRDefault="000B44A7" w:rsidP="000B44A7">
            <w:pPr>
              <w:spacing w:line="0" w:lineRule="atLeast"/>
              <w:ind w:firstLine="0"/>
              <w:rPr>
                <w:rFonts w:ascii="Times New Roman" w:hAnsi="Times New Roman" w:cs="Times New Roman"/>
                <w:sz w:val="20"/>
                <w:szCs w:val="20"/>
              </w:rPr>
            </w:pPr>
          </w:p>
          <w:p w14:paraId="254E95A8" w14:textId="77777777" w:rsidR="000B44A7" w:rsidRDefault="000B44A7" w:rsidP="000B44A7">
            <w:pPr>
              <w:spacing w:line="0" w:lineRule="atLeast"/>
              <w:ind w:firstLine="0"/>
              <w:rPr>
                <w:rFonts w:ascii="Times New Roman" w:hAnsi="Times New Roman" w:cs="Times New Roman"/>
                <w:sz w:val="20"/>
                <w:szCs w:val="20"/>
              </w:rPr>
            </w:pPr>
          </w:p>
          <w:p w14:paraId="52D00ACC" w14:textId="77777777" w:rsidR="000B44A7" w:rsidRPr="00910E96" w:rsidRDefault="000B44A7" w:rsidP="000B44A7">
            <w:pPr>
              <w:spacing w:line="0" w:lineRule="atLeast"/>
              <w:ind w:firstLine="0"/>
              <w:rPr>
                <w:rFonts w:ascii="Times New Roman" w:hAnsi="Times New Roman" w:cs="Times New Roman"/>
                <w:b/>
                <w:sz w:val="20"/>
                <w:szCs w:val="20"/>
              </w:rPr>
            </w:pPr>
          </w:p>
        </w:tc>
      </w:tr>
      <w:tr w:rsidR="00F96822" w:rsidRPr="00910E96" w14:paraId="6487AC48" w14:textId="77777777" w:rsidTr="000B44A7">
        <w:trPr>
          <w:jc w:val="center"/>
        </w:trPr>
        <w:tc>
          <w:tcPr>
            <w:tcW w:w="13972" w:type="dxa"/>
            <w:gridSpan w:val="3"/>
            <w:shd w:val="clear" w:color="auto" w:fill="C6D9F1" w:themeFill="text2" w:themeFillTint="33"/>
          </w:tcPr>
          <w:p w14:paraId="005C0064" w14:textId="77777777" w:rsidR="00F96822" w:rsidRPr="00910E96" w:rsidRDefault="00F96822" w:rsidP="00443F17">
            <w:pPr>
              <w:spacing w:line="0" w:lineRule="atLeast"/>
              <w:jc w:val="center"/>
              <w:rPr>
                <w:rFonts w:ascii="Times New Roman" w:hAnsi="Times New Roman" w:cs="Times New Roman"/>
                <w:b/>
                <w:sz w:val="20"/>
                <w:szCs w:val="20"/>
              </w:rPr>
            </w:pPr>
            <w:r w:rsidRPr="000B44A7">
              <w:rPr>
                <w:rFonts w:ascii="Times New Roman" w:hAnsi="Times New Roman" w:cs="Times New Roman"/>
                <w:b/>
                <w:szCs w:val="20"/>
              </w:rPr>
              <w:lastRenderedPageBreak/>
              <w:t>Domain of Engagement 3: Consistency and Equity— Delivering a Devolution Dividend</w:t>
            </w:r>
          </w:p>
        </w:tc>
      </w:tr>
      <w:tr w:rsidR="00F96822" w:rsidRPr="00910E96" w14:paraId="0FF49667" w14:textId="77777777" w:rsidTr="000B44A7">
        <w:trPr>
          <w:jc w:val="center"/>
        </w:trPr>
        <w:tc>
          <w:tcPr>
            <w:tcW w:w="13972" w:type="dxa"/>
            <w:gridSpan w:val="3"/>
          </w:tcPr>
          <w:p w14:paraId="43E92996" w14:textId="77777777" w:rsidR="00D324A5" w:rsidRDefault="00D324A5" w:rsidP="00443F17">
            <w:pPr>
              <w:spacing w:line="0" w:lineRule="atLeast"/>
              <w:ind w:left="2190" w:firstLine="0"/>
              <w:rPr>
                <w:rFonts w:ascii="Times New Roman" w:hAnsi="Times New Roman" w:cs="Times New Roman"/>
                <w:b/>
                <w:sz w:val="20"/>
                <w:szCs w:val="20"/>
              </w:rPr>
            </w:pPr>
          </w:p>
          <w:p w14:paraId="62ED4924" w14:textId="30366345" w:rsidR="00F96822" w:rsidRPr="00910E96" w:rsidRDefault="00F96822" w:rsidP="00443F17">
            <w:pPr>
              <w:spacing w:line="0" w:lineRule="atLeast"/>
              <w:ind w:left="2190" w:firstLine="0"/>
              <w:rPr>
                <w:rFonts w:ascii="Times New Roman" w:hAnsi="Times New Roman" w:cs="Times New Roman"/>
                <w:b/>
                <w:sz w:val="20"/>
                <w:szCs w:val="20"/>
              </w:rPr>
            </w:pPr>
            <w:r w:rsidRPr="00050430">
              <w:rPr>
                <w:rFonts w:ascii="Times New Roman" w:hAnsi="Times New Roman" w:cs="Times New Roman"/>
                <w:b/>
                <w:noProof/>
                <w:sz w:val="20"/>
                <w:szCs w:val="20"/>
              </w:rPr>
              <mc:AlternateContent>
                <mc:Choice Requires="wps">
                  <w:drawing>
                    <wp:anchor distT="0" distB="0" distL="114300" distR="114300" simplePos="0" relativeHeight="251855872" behindDoc="0" locked="0" layoutInCell="1" allowOverlap="1" wp14:anchorId="29AED272" wp14:editId="32CC2CBE">
                      <wp:simplePos x="0" y="0"/>
                      <wp:positionH relativeFrom="column">
                        <wp:posOffset>195580</wp:posOffset>
                      </wp:positionH>
                      <wp:positionV relativeFrom="paragraph">
                        <wp:posOffset>63913</wp:posOffset>
                      </wp:positionV>
                      <wp:extent cx="876300" cy="514350"/>
                      <wp:effectExtent l="0" t="0" r="19050" b="1905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solidFill>
                                  <a:srgbClr val="000000"/>
                                </a:solidFill>
                                <a:miter lim="800000"/>
                                <a:headEnd/>
                                <a:tailEnd/>
                              </a:ln>
                            </wps:spPr>
                            <wps:txbx>
                              <w:txbxContent>
                                <w:p w14:paraId="14C8E97D"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4pt;margin-top:5.05pt;width:69pt;height:4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">
                      <v:textbox>
                        <w:txbxContent>
                          <w:p w14:paraId="14C8E97D" w14:textId="77777777" w:rsidR="00DA29A4" w:rsidRPr="00050430" w:rsidRDefault="00DA29A4" w:rsidP="00B45683">
                            <w:pPr>
                              <w:jc w:val="center"/>
                              <w:rPr>
                                <w:rFonts w:ascii="Times New Roman" w:hAnsi="Times New Roman" w:cs="Times New Roman"/>
                                <w:b/>
                                <w:sz w:val="20"/>
                              </w:rPr>
                            </w:pPr>
                            <w:r w:rsidRPr="00050430">
                              <w:rPr>
                                <w:rFonts w:ascii="Times New Roman" w:hAnsi="Times New Roman" w:cs="Times New Roman"/>
                                <w:b/>
                                <w:sz w:val="20"/>
                              </w:rPr>
                              <w:t>Vision 2030 Goals</w:t>
                            </w:r>
                          </w:p>
                        </w:txbxContent>
                      </v:textbox>
                    </v:shape>
                  </w:pict>
                </mc:Fallback>
              </mc:AlternateContent>
            </w:r>
            <w:r w:rsidRPr="00910E96">
              <w:rPr>
                <w:rFonts w:ascii="Times New Roman" w:hAnsi="Times New Roman" w:cs="Times New Roman"/>
                <w:b/>
                <w:sz w:val="20"/>
                <w:szCs w:val="20"/>
              </w:rPr>
              <w:t>Vision 2030 Goal</w:t>
            </w:r>
            <w:r>
              <w:rPr>
                <w:rFonts w:ascii="Times New Roman" w:hAnsi="Times New Roman" w:cs="Times New Roman"/>
                <w:b/>
                <w:sz w:val="20"/>
                <w:szCs w:val="20"/>
              </w:rPr>
              <w:t>s</w:t>
            </w:r>
            <w:r w:rsidR="00787936">
              <w:rPr>
                <w:rFonts w:ascii="Times New Roman" w:hAnsi="Times New Roman" w:cs="Times New Roman"/>
                <w:b/>
                <w:sz w:val="20"/>
                <w:szCs w:val="20"/>
              </w:rPr>
              <w:t>:</w:t>
            </w:r>
            <w:r w:rsidR="005C7D81">
              <w:rPr>
                <w:rStyle w:val="FootnoteReference"/>
                <w:rFonts w:ascii="Times New Roman" w:hAnsi="Times New Roman" w:cs="Times New Roman"/>
                <w:b/>
                <w:sz w:val="20"/>
                <w:szCs w:val="20"/>
              </w:rPr>
              <w:footnoteReference w:id="13"/>
            </w:r>
            <w:r w:rsidRPr="00910E96">
              <w:rPr>
                <w:rFonts w:ascii="Times New Roman" w:hAnsi="Times New Roman" w:cs="Times New Roman"/>
                <w:b/>
                <w:sz w:val="20"/>
                <w:szCs w:val="20"/>
              </w:rPr>
              <w:t xml:space="preserve">  </w:t>
            </w:r>
          </w:p>
          <w:p w14:paraId="441BC843" w14:textId="77777777" w:rsidR="00F96822" w:rsidRPr="00910E96" w:rsidRDefault="00F96822" w:rsidP="00B45683">
            <w:pPr>
              <w:pStyle w:val="ListParagraph"/>
              <w:numPr>
                <w:ilvl w:val="0"/>
                <w:numId w:val="18"/>
              </w:numPr>
              <w:spacing w:line="0" w:lineRule="atLeast"/>
              <w:ind w:left="2550"/>
              <w:rPr>
                <w:rFonts w:ascii="Times New Roman" w:hAnsi="Times New Roman" w:cs="Times New Roman"/>
                <w:sz w:val="20"/>
                <w:szCs w:val="20"/>
              </w:rPr>
            </w:pPr>
            <w:r w:rsidRPr="00910E96">
              <w:rPr>
                <w:rFonts w:ascii="Times New Roman" w:hAnsi="Times New Roman" w:cs="Times New Roman"/>
                <w:sz w:val="20"/>
                <w:szCs w:val="20"/>
              </w:rPr>
              <w:t xml:space="preserve">To meet objectives outlined in the economic and social pillars, Kenya’s national governance system will be transformed and reformed to acquire high-level executive capability consistent with a rapidly industrializing country. </w:t>
            </w:r>
          </w:p>
          <w:p w14:paraId="78DE988A" w14:textId="77777777" w:rsidR="00F96822" w:rsidRPr="00910E96" w:rsidRDefault="000B44A7" w:rsidP="00B45683">
            <w:pPr>
              <w:pStyle w:val="ListParagraph"/>
              <w:numPr>
                <w:ilvl w:val="0"/>
                <w:numId w:val="18"/>
              </w:numPr>
              <w:spacing w:line="0" w:lineRule="atLeast"/>
              <w:ind w:left="2550"/>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857920" behindDoc="0" locked="0" layoutInCell="1" allowOverlap="1" wp14:anchorId="5DDD39E2" wp14:editId="0B026A2C">
                      <wp:simplePos x="0" y="0"/>
                      <wp:positionH relativeFrom="column">
                        <wp:posOffset>655320</wp:posOffset>
                      </wp:positionH>
                      <wp:positionV relativeFrom="paragraph">
                        <wp:posOffset>220123</wp:posOffset>
                      </wp:positionV>
                      <wp:extent cx="0" cy="154940"/>
                      <wp:effectExtent l="76200" t="0" r="57150" b="54610"/>
                      <wp:wrapNone/>
                      <wp:docPr id="604" name="Straight Connector 604"/>
                      <wp:cNvGraphicFramePr/>
                      <a:graphic xmlns:a="http://schemas.openxmlformats.org/drawingml/2006/main">
                        <a:graphicData uri="http://schemas.microsoft.com/office/word/2010/wordprocessingShape">
                          <wps:wsp>
                            <wps:cNvCnPr/>
                            <wps:spPr>
                              <a:xfrm flipV="1">
                                <a:off x="0" y="0"/>
                                <a:ext cx="0" cy="15494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C6D4BF" id="Straight Connector 604"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17.35pt" to="51.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" strokecolor="black [3213]">
                      <v:stroke startarrow="block"/>
                    </v:line>
                  </w:pict>
                </mc:Fallback>
              </mc:AlternateContent>
            </w:r>
            <w:r w:rsidR="00F96822" w:rsidRPr="00910E96">
              <w:rPr>
                <w:rFonts w:ascii="Times New Roman" w:hAnsi="Times New Roman" w:cs="Times New Roman"/>
                <w:sz w:val="20"/>
                <w:szCs w:val="20"/>
              </w:rPr>
              <w:t>Kenya will adopt a democratic decentralization process with substantial devolution in policy-making, public resource management and revenue sharing through devolved funds</w:t>
            </w:r>
          </w:p>
          <w:p w14:paraId="0E8EDD0C" w14:textId="77777777" w:rsidR="00F96822" w:rsidRPr="00910E96" w:rsidRDefault="00F96822" w:rsidP="00443F17">
            <w:pPr>
              <w:spacing w:line="0" w:lineRule="atLeast"/>
              <w:rPr>
                <w:rFonts w:ascii="Times New Roman" w:hAnsi="Times New Roman" w:cs="Times New Roman"/>
                <w:b/>
                <w:sz w:val="20"/>
                <w:szCs w:val="20"/>
              </w:rPr>
            </w:pPr>
          </w:p>
          <w:p w14:paraId="19C2D307" w14:textId="416FED7F" w:rsidR="00F96822" w:rsidRPr="00910E96" w:rsidRDefault="000B44A7" w:rsidP="00443F17">
            <w:pPr>
              <w:spacing w:line="0" w:lineRule="atLeast"/>
              <w:ind w:left="2550" w:hanging="360"/>
              <w:rPr>
                <w:rFonts w:ascii="Times New Roman" w:hAnsi="Times New Roman" w:cs="Times New Roman"/>
                <w:b/>
                <w:sz w:val="20"/>
                <w:szCs w:val="20"/>
              </w:rPr>
            </w:pPr>
            <w:r w:rsidRPr="00050430">
              <w:rPr>
                <w:rFonts w:ascii="Times New Roman" w:hAnsi="Times New Roman" w:cs="Times New Roman"/>
                <w:b/>
                <w:noProof/>
                <w:sz w:val="20"/>
                <w:szCs w:val="20"/>
              </w:rPr>
              <mc:AlternateContent>
                <mc:Choice Requires="wps">
                  <w:drawing>
                    <wp:anchor distT="0" distB="0" distL="114300" distR="114300" simplePos="0" relativeHeight="251856896" behindDoc="0" locked="0" layoutInCell="1" allowOverlap="1" wp14:anchorId="76AFD001" wp14:editId="51CBB524">
                      <wp:simplePos x="0" y="0"/>
                      <wp:positionH relativeFrom="column">
                        <wp:posOffset>198946</wp:posOffset>
                      </wp:positionH>
                      <wp:positionV relativeFrom="paragraph">
                        <wp:posOffset>-11300</wp:posOffset>
                      </wp:positionV>
                      <wp:extent cx="876300" cy="528810"/>
                      <wp:effectExtent l="0" t="0" r="19050" b="2413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28810"/>
                              </a:xfrm>
                              <a:prstGeom prst="rect">
                                <a:avLst/>
                              </a:prstGeom>
                              <a:solidFill>
                                <a:srgbClr val="FFFFFF"/>
                              </a:solidFill>
                              <a:ln w="9525">
                                <a:solidFill>
                                  <a:srgbClr val="000000"/>
                                </a:solidFill>
                                <a:miter lim="800000"/>
                                <a:headEnd/>
                                <a:tailEnd/>
                              </a:ln>
                            </wps:spPr>
                            <wps:txbx>
                              <w:txbxContent>
                                <w:p w14:paraId="209FCFE0"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65pt;margin-top:-.9pt;width:69pt;height:4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8KAIAAE0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">
                      <v:textbox>
                        <w:txbxContent>
                          <w:p w14:paraId="209FCFE0" w14:textId="77777777" w:rsidR="00DA29A4" w:rsidRPr="00050430" w:rsidRDefault="00DA29A4" w:rsidP="00B45683">
                            <w:pPr>
                              <w:jc w:val="center"/>
                              <w:rPr>
                                <w:rFonts w:ascii="Times New Roman" w:hAnsi="Times New Roman" w:cs="Times New Roman"/>
                                <w:b/>
                                <w:sz w:val="20"/>
                              </w:rPr>
                            </w:pPr>
                            <w:r>
                              <w:rPr>
                                <w:rFonts w:ascii="Times New Roman" w:hAnsi="Times New Roman" w:cs="Times New Roman"/>
                                <w:b/>
                                <w:sz w:val="20"/>
                              </w:rPr>
                              <w:t>MTP2 Goals</w:t>
                            </w:r>
                          </w:p>
                        </w:txbxContent>
                      </v:textbox>
                    </v:shape>
                  </w:pict>
                </mc:Fallback>
              </mc:AlternateContent>
            </w:r>
            <w:r w:rsidR="00F96822" w:rsidRPr="00910E96">
              <w:rPr>
                <w:rFonts w:ascii="Times New Roman" w:hAnsi="Times New Roman" w:cs="Times New Roman"/>
                <w:b/>
                <w:sz w:val="20"/>
                <w:szCs w:val="20"/>
              </w:rPr>
              <w:t>Second Medium Term Plan 2013-2017 (MTP2) Goals</w:t>
            </w:r>
            <w:r w:rsidR="00787936">
              <w:rPr>
                <w:rFonts w:ascii="Times New Roman" w:hAnsi="Times New Roman" w:cs="Times New Roman"/>
                <w:b/>
                <w:sz w:val="20"/>
                <w:szCs w:val="20"/>
              </w:rPr>
              <w:t>:</w:t>
            </w:r>
            <w:r w:rsidR="005C7D81">
              <w:rPr>
                <w:rStyle w:val="FootnoteReference"/>
                <w:rFonts w:ascii="Times New Roman" w:hAnsi="Times New Roman" w:cs="Times New Roman"/>
                <w:b/>
                <w:sz w:val="20"/>
                <w:szCs w:val="20"/>
              </w:rPr>
              <w:footnoteReference w:id="14"/>
            </w:r>
          </w:p>
          <w:p w14:paraId="622679D3" w14:textId="77777777" w:rsidR="00F96822" w:rsidRPr="00910E96" w:rsidRDefault="00F96822" w:rsidP="00B45683">
            <w:pPr>
              <w:pStyle w:val="ListParagraph"/>
              <w:numPr>
                <w:ilvl w:val="0"/>
                <w:numId w:val="9"/>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 xml:space="preserve">To enact and operationalize policies and legal framework </w:t>
            </w:r>
            <w:r w:rsidR="00ED7A95">
              <w:rPr>
                <w:rFonts w:ascii="Times New Roman" w:hAnsi="Times New Roman" w:cs="Times New Roman"/>
                <w:sz w:val="20"/>
                <w:szCs w:val="20"/>
              </w:rPr>
              <w:t>toward</w:t>
            </w:r>
            <w:r w:rsidRPr="00910E96">
              <w:rPr>
                <w:rFonts w:ascii="Times New Roman" w:hAnsi="Times New Roman" w:cs="Times New Roman"/>
                <w:sz w:val="20"/>
                <w:szCs w:val="20"/>
              </w:rPr>
              <w:t xml:space="preserve"> national cohesion and integration</w:t>
            </w:r>
          </w:p>
          <w:p w14:paraId="791C7C06" w14:textId="77777777" w:rsidR="00F96822" w:rsidRPr="00910E96" w:rsidRDefault="00F96822" w:rsidP="00B45683">
            <w:pPr>
              <w:pStyle w:val="ListParagraph"/>
              <w:numPr>
                <w:ilvl w:val="0"/>
                <w:numId w:val="9"/>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To establish a comprehensive framework for human rights</w:t>
            </w:r>
          </w:p>
          <w:p w14:paraId="54CEF35B" w14:textId="77777777" w:rsidR="00F96822" w:rsidRPr="000B44A7" w:rsidRDefault="00F96822" w:rsidP="00B45683">
            <w:pPr>
              <w:pStyle w:val="ListParagraph"/>
              <w:numPr>
                <w:ilvl w:val="0"/>
                <w:numId w:val="9"/>
              </w:numPr>
              <w:spacing w:line="0" w:lineRule="atLeast"/>
              <w:ind w:left="2550"/>
              <w:rPr>
                <w:rFonts w:ascii="Times New Roman" w:hAnsi="Times New Roman" w:cs="Times New Roman"/>
                <w:b/>
                <w:sz w:val="20"/>
                <w:szCs w:val="20"/>
              </w:rPr>
            </w:pPr>
            <w:r w:rsidRPr="00910E96">
              <w:rPr>
                <w:rFonts w:ascii="Times New Roman" w:hAnsi="Times New Roman" w:cs="Times New Roman"/>
                <w:sz w:val="20"/>
                <w:szCs w:val="20"/>
              </w:rPr>
              <w:t>To undertake various legal reforms including development, review and implementation of all legalizations relating reforms in governance, judiciary and the rule of law</w:t>
            </w:r>
          </w:p>
          <w:p w14:paraId="225AC998" w14:textId="77777777" w:rsidR="000B44A7" w:rsidRPr="00910E96" w:rsidRDefault="000B44A7" w:rsidP="000B44A7">
            <w:pPr>
              <w:pStyle w:val="ListParagraph"/>
              <w:spacing w:line="0" w:lineRule="atLeast"/>
              <w:ind w:left="2550" w:firstLine="0"/>
              <w:rPr>
                <w:rFonts w:ascii="Times New Roman" w:hAnsi="Times New Roman" w:cs="Times New Roman"/>
                <w:b/>
                <w:sz w:val="20"/>
                <w:szCs w:val="20"/>
              </w:rPr>
            </w:pPr>
          </w:p>
        </w:tc>
      </w:tr>
      <w:tr w:rsidR="00F96822" w:rsidRPr="00910E96" w14:paraId="359ADF6B" w14:textId="77777777" w:rsidTr="000B44A7">
        <w:trPr>
          <w:jc w:val="center"/>
        </w:trPr>
        <w:tc>
          <w:tcPr>
            <w:tcW w:w="13972" w:type="dxa"/>
            <w:gridSpan w:val="3"/>
            <w:tcBorders>
              <w:bottom w:val="single" w:sz="4" w:space="0" w:color="auto"/>
            </w:tcBorders>
          </w:tcPr>
          <w:p w14:paraId="353A9A27" w14:textId="77777777" w:rsidR="000B44A7" w:rsidRDefault="000B44A7" w:rsidP="00443F17">
            <w:pPr>
              <w:spacing w:line="0" w:lineRule="atLeast"/>
              <w:rPr>
                <w:rFonts w:ascii="Times New Roman" w:hAnsi="Times New Roman" w:cs="Times New Roman"/>
                <w:b/>
                <w:sz w:val="20"/>
                <w:szCs w:val="20"/>
              </w:rPr>
            </w:pPr>
          </w:p>
          <w:p w14:paraId="24388E81" w14:textId="77777777" w:rsidR="00F96822" w:rsidRPr="00910E96" w:rsidRDefault="00F96822"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t>Issues and Obstacles:</w:t>
            </w:r>
          </w:p>
          <w:p w14:paraId="28BFB784"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Kenya’s devolution comes with high expectations for improving service delivery and bringing government closer to the people. </w:t>
            </w:r>
          </w:p>
          <w:p w14:paraId="5DF015D3"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The devolution also carries significant risks for service delivery disruption, some already occurring.  </w:t>
            </w:r>
          </w:p>
          <w:p w14:paraId="5E821572"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Fiscal sustainability is threatened, especially of the wage bill is a major risk, particularly for larger urbanized counties.</w:t>
            </w:r>
          </w:p>
          <w:p w14:paraId="3F7D8F6E"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Although they are the key drivers of growth, large urban counties have inherited significant payroll and debt obligations, at the same time reduced central transfers.  </w:t>
            </w:r>
          </w:p>
          <w:p w14:paraId="4EF440B5"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Need to build county institutional capacity, especially in core county planning, PFM, and HR systems, along with basic data-driven performance monitoring, which flags capacity gaps and reinforces county incentives to get working systems in place. </w:t>
            </w:r>
          </w:p>
          <w:p w14:paraId="0B63401D"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Operationalizing transparency and citizen participation in county planning, budgeting, and performance management systems as per Constitution is a major challenge.</w:t>
            </w:r>
          </w:p>
          <w:p w14:paraId="799F62A3" w14:textId="77777777" w:rsidR="00F96822" w:rsidRPr="00910E96" w:rsidRDefault="00F96822" w:rsidP="00B45683">
            <w:pPr>
              <w:pStyle w:val="ListParagraph"/>
              <w:numPr>
                <w:ilvl w:val="0"/>
                <w:numId w:val="19"/>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There is a need to build capacity of historically marginalized counties to make use of new financing.  Larger per-capita transfers to arid and semi-arid counties </w:t>
            </w:r>
            <w:r w:rsidRPr="00910E96">
              <w:rPr>
                <w:rFonts w:ascii="Times New Roman" w:hAnsi="Times New Roman" w:cs="Times New Roman"/>
                <w:sz w:val="20"/>
                <w:szCs w:val="20"/>
              </w:rPr>
              <w:lastRenderedPageBreak/>
              <w:t xml:space="preserve">provide an opportunity to address long-standing infrastructure and service delivery gaps.     </w:t>
            </w:r>
          </w:p>
          <w:p w14:paraId="7297F9B4" w14:textId="77777777" w:rsidR="00F96822" w:rsidRPr="00910E96" w:rsidRDefault="00F96822" w:rsidP="00443F17">
            <w:pPr>
              <w:pStyle w:val="ListParagraph"/>
              <w:spacing w:line="0" w:lineRule="atLeast"/>
              <w:rPr>
                <w:rFonts w:ascii="Times New Roman" w:hAnsi="Times New Roman" w:cs="Times New Roman"/>
                <w:sz w:val="20"/>
                <w:szCs w:val="20"/>
              </w:rPr>
            </w:pPr>
          </w:p>
          <w:p w14:paraId="4B535D36" w14:textId="77777777" w:rsidR="00F96822" w:rsidRPr="00910E96" w:rsidRDefault="00F96822" w:rsidP="00443F17">
            <w:pPr>
              <w:spacing w:line="0" w:lineRule="atLeast"/>
              <w:rPr>
                <w:rFonts w:ascii="Times New Roman" w:hAnsi="Times New Roman" w:cs="Times New Roman"/>
                <w:b/>
                <w:sz w:val="20"/>
                <w:szCs w:val="20"/>
              </w:rPr>
            </w:pPr>
            <w:r w:rsidRPr="00910E96">
              <w:rPr>
                <w:rFonts w:ascii="Times New Roman" w:hAnsi="Times New Roman" w:cs="Times New Roman"/>
                <w:b/>
                <w:sz w:val="20"/>
                <w:szCs w:val="20"/>
              </w:rPr>
              <w:t xml:space="preserve">Governance </w:t>
            </w:r>
          </w:p>
          <w:p w14:paraId="582BACF8" w14:textId="77777777" w:rsidR="00F96822" w:rsidRPr="000B44A7" w:rsidRDefault="00F96822" w:rsidP="00B45683">
            <w:pPr>
              <w:pStyle w:val="ListParagraph"/>
              <w:numPr>
                <w:ilvl w:val="0"/>
                <w:numId w:val="19"/>
              </w:numPr>
              <w:spacing w:line="0" w:lineRule="atLeast"/>
              <w:rPr>
                <w:rFonts w:ascii="Times New Roman" w:hAnsi="Times New Roman" w:cs="Times New Roman"/>
                <w:b/>
                <w:sz w:val="20"/>
                <w:szCs w:val="20"/>
              </w:rPr>
            </w:pPr>
            <w:r w:rsidRPr="00910E96">
              <w:rPr>
                <w:rFonts w:ascii="Times New Roman" w:hAnsi="Times New Roman" w:cs="Times New Roman"/>
                <w:sz w:val="20"/>
                <w:szCs w:val="20"/>
              </w:rPr>
              <w:t xml:space="preserve">Public sector institutional and political economy constraints and weaknesses are key obstacles to reforms pose serious challenges in the implementation of devolution and  reforms aimed at enhancing transparency, accountability and efficiency in resource allocation and /quality of public expenditure. </w:t>
            </w:r>
          </w:p>
          <w:p w14:paraId="1E978375" w14:textId="77777777" w:rsidR="000B44A7" w:rsidRPr="00910E96" w:rsidRDefault="000B44A7" w:rsidP="000B44A7">
            <w:pPr>
              <w:pStyle w:val="ListParagraph"/>
              <w:spacing w:line="0" w:lineRule="atLeast"/>
              <w:ind w:firstLine="0"/>
              <w:rPr>
                <w:rFonts w:ascii="Times New Roman" w:hAnsi="Times New Roman" w:cs="Times New Roman"/>
                <w:b/>
                <w:sz w:val="20"/>
                <w:szCs w:val="20"/>
              </w:rPr>
            </w:pPr>
          </w:p>
        </w:tc>
      </w:tr>
      <w:tr w:rsidR="00F96822" w:rsidRPr="00910E96" w14:paraId="5FC931DE" w14:textId="77777777" w:rsidTr="000B44A7">
        <w:trPr>
          <w:jc w:val="center"/>
        </w:trPr>
        <w:tc>
          <w:tcPr>
            <w:tcW w:w="4744" w:type="dxa"/>
            <w:shd w:val="pct10" w:color="auto" w:fill="auto"/>
          </w:tcPr>
          <w:p w14:paraId="1179E364" w14:textId="77777777" w:rsidR="00F96822" w:rsidRPr="00F96822" w:rsidRDefault="00F96822" w:rsidP="005650F1">
            <w:pPr>
              <w:spacing w:line="0" w:lineRule="atLeast"/>
              <w:ind w:firstLine="0"/>
              <w:jc w:val="center"/>
              <w:rPr>
                <w:rFonts w:ascii="Times New Roman" w:hAnsi="Times New Roman" w:cs="Times New Roman"/>
                <w:b/>
              </w:rPr>
            </w:pPr>
            <w:r w:rsidRPr="00F96822">
              <w:rPr>
                <w:rFonts w:ascii="Times New Roman" w:hAnsi="Times New Roman" w:cs="Times New Roman"/>
                <w:b/>
              </w:rPr>
              <w:lastRenderedPageBreak/>
              <w:t>End FY18 CPS Outcomes</w:t>
            </w:r>
            <w:r w:rsidR="005C7D81">
              <w:rPr>
                <w:rStyle w:val="FootnoteReference"/>
                <w:rFonts w:ascii="Times New Roman" w:hAnsi="Times New Roman" w:cs="Times New Roman"/>
                <w:b/>
              </w:rPr>
              <w:footnoteReference w:id="15"/>
            </w:r>
          </w:p>
        </w:tc>
        <w:tc>
          <w:tcPr>
            <w:tcW w:w="3918" w:type="dxa"/>
            <w:shd w:val="pct10" w:color="auto" w:fill="auto"/>
          </w:tcPr>
          <w:p w14:paraId="0C152CCD" w14:textId="77777777" w:rsidR="00F96822" w:rsidRPr="00F96822" w:rsidRDefault="00F96822" w:rsidP="005650F1">
            <w:pPr>
              <w:spacing w:line="0" w:lineRule="atLeast"/>
              <w:ind w:firstLine="0"/>
              <w:jc w:val="center"/>
              <w:rPr>
                <w:rFonts w:ascii="Times New Roman" w:hAnsi="Times New Roman" w:cs="Times New Roman"/>
                <w:b/>
              </w:rPr>
            </w:pPr>
            <w:r w:rsidRPr="00F96822">
              <w:rPr>
                <w:rFonts w:ascii="Times New Roman" w:hAnsi="Times New Roman" w:cs="Times New Roman"/>
                <w:b/>
              </w:rPr>
              <w:t>Selected Milestones and Outputs</w:t>
            </w:r>
          </w:p>
        </w:tc>
        <w:tc>
          <w:tcPr>
            <w:tcW w:w="5310" w:type="dxa"/>
            <w:shd w:val="pct10" w:color="auto" w:fill="auto"/>
          </w:tcPr>
          <w:p w14:paraId="2364742A" w14:textId="77777777" w:rsidR="00F96822" w:rsidRPr="00910E96" w:rsidRDefault="00F96822" w:rsidP="005650F1">
            <w:pPr>
              <w:spacing w:line="0" w:lineRule="atLeast"/>
              <w:ind w:firstLine="0"/>
              <w:jc w:val="center"/>
              <w:rPr>
                <w:rFonts w:ascii="Times New Roman" w:hAnsi="Times New Roman" w:cs="Times New Roman"/>
                <w:b/>
                <w:sz w:val="20"/>
                <w:szCs w:val="20"/>
              </w:rPr>
            </w:pPr>
            <w:r w:rsidRPr="00F96822">
              <w:rPr>
                <w:rFonts w:ascii="Times New Roman" w:hAnsi="Times New Roman" w:cs="Times New Roman"/>
                <w:b/>
                <w:szCs w:val="20"/>
              </w:rPr>
              <w:t>World Bank Group Program</w:t>
            </w:r>
          </w:p>
        </w:tc>
      </w:tr>
      <w:tr w:rsidR="00F96822" w:rsidRPr="00910E96" w14:paraId="68AC74C3" w14:textId="77777777" w:rsidTr="000B44A7">
        <w:trPr>
          <w:jc w:val="center"/>
        </w:trPr>
        <w:tc>
          <w:tcPr>
            <w:tcW w:w="4744" w:type="dxa"/>
          </w:tcPr>
          <w:p w14:paraId="448AFDD8" w14:textId="77777777" w:rsidR="00F96822" w:rsidRPr="00910E96" w:rsidRDefault="00F96822" w:rsidP="00443F17">
            <w:pPr>
              <w:spacing w:line="0" w:lineRule="atLeast"/>
              <w:ind w:firstLine="0"/>
              <w:jc w:val="center"/>
              <w:rPr>
                <w:rFonts w:ascii="Times New Roman" w:hAnsi="Times New Roman" w:cs="Times New Roman"/>
                <w:b/>
                <w:sz w:val="24"/>
                <w:szCs w:val="24"/>
              </w:rPr>
            </w:pPr>
            <w:r w:rsidRPr="00910E96">
              <w:rPr>
                <w:rFonts w:ascii="Times New Roman" w:hAnsi="Times New Roman" w:cs="Times New Roman"/>
                <w:b/>
                <w:sz w:val="24"/>
                <w:szCs w:val="24"/>
              </w:rPr>
              <w:t xml:space="preserve">Outcome </w:t>
            </w:r>
            <w:r>
              <w:rPr>
                <w:rFonts w:ascii="Times New Roman" w:hAnsi="Times New Roman" w:cs="Times New Roman"/>
                <w:b/>
                <w:sz w:val="24"/>
                <w:szCs w:val="24"/>
              </w:rPr>
              <w:t>8</w:t>
            </w:r>
            <w:r w:rsidRPr="00910E96">
              <w:rPr>
                <w:rFonts w:ascii="Times New Roman" w:hAnsi="Times New Roman" w:cs="Times New Roman"/>
                <w:b/>
                <w:sz w:val="24"/>
                <w:szCs w:val="24"/>
              </w:rPr>
              <w:t xml:space="preserve">:  </w:t>
            </w:r>
            <w:r>
              <w:rPr>
                <w:rFonts w:ascii="Times New Roman" w:hAnsi="Times New Roman" w:cs="Times New Roman"/>
                <w:b/>
                <w:sz w:val="24"/>
                <w:szCs w:val="24"/>
              </w:rPr>
              <w:t>Better Provision of Health and Sanitation Services by Counties</w:t>
            </w:r>
          </w:p>
          <w:p w14:paraId="23392C66" w14:textId="77777777" w:rsidR="00F96822" w:rsidRDefault="00F96822" w:rsidP="00443F17">
            <w:pPr>
              <w:pStyle w:val="ListParagraph"/>
              <w:spacing w:line="0" w:lineRule="atLeast"/>
              <w:ind w:left="360"/>
              <w:rPr>
                <w:rFonts w:ascii="Times New Roman" w:hAnsi="Times New Roman" w:cs="Times New Roman"/>
                <w:sz w:val="20"/>
                <w:szCs w:val="20"/>
              </w:rPr>
            </w:pPr>
          </w:p>
          <w:p w14:paraId="6369123B" w14:textId="77777777" w:rsidR="00F96822" w:rsidRPr="00910E96" w:rsidRDefault="00F96822" w:rsidP="00B45683">
            <w:pPr>
              <w:pStyle w:val="ListParagraph"/>
              <w:numPr>
                <w:ilvl w:val="0"/>
                <w:numId w:val="21"/>
              </w:numPr>
              <w:spacing w:line="0" w:lineRule="atLeast"/>
              <w:ind w:left="360"/>
              <w:rPr>
                <w:rFonts w:ascii="Times New Roman" w:hAnsi="Times New Roman" w:cs="Times New Roman"/>
                <w:sz w:val="20"/>
                <w:szCs w:val="20"/>
              </w:rPr>
            </w:pPr>
            <w:r w:rsidRPr="00910E96">
              <w:rPr>
                <w:rFonts w:ascii="Times New Roman" w:hAnsi="Times New Roman" w:cs="Times New Roman"/>
                <w:sz w:val="20"/>
                <w:szCs w:val="20"/>
              </w:rPr>
              <w:t>Counties with improved sanitation performance as measured by annual benchmarking (percentage)</w:t>
            </w:r>
          </w:p>
          <w:p w14:paraId="50ED3EB8" w14:textId="77777777" w:rsidR="00F96822" w:rsidRPr="00910E96" w:rsidRDefault="00F96822" w:rsidP="00443F17">
            <w:pPr>
              <w:pStyle w:val="ListParagraph"/>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Baseline: 0% (2013)</w:t>
            </w:r>
          </w:p>
          <w:p w14:paraId="388BF827" w14:textId="77777777" w:rsidR="00F96822" w:rsidRPr="00910E96" w:rsidRDefault="00F96822" w:rsidP="00443F17">
            <w:p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Target: 25% (2018)  </w:t>
            </w:r>
          </w:p>
          <w:p w14:paraId="6CBBCBCE" w14:textId="77777777" w:rsidR="00F96822" w:rsidRPr="000E3B16" w:rsidRDefault="00F96822" w:rsidP="00443F17">
            <w:pPr>
              <w:spacing w:line="0" w:lineRule="atLeast"/>
              <w:rPr>
                <w:rFonts w:ascii="Times New Roman" w:hAnsi="Times New Roman" w:cs="Times New Roman"/>
                <w:sz w:val="20"/>
                <w:szCs w:val="20"/>
              </w:rPr>
            </w:pPr>
          </w:p>
          <w:p w14:paraId="7B867D4B" w14:textId="77777777" w:rsidR="00F96822" w:rsidRPr="000E3B16" w:rsidRDefault="00F96822" w:rsidP="00B45683">
            <w:pPr>
              <w:pStyle w:val="ListParagraph"/>
              <w:numPr>
                <w:ilvl w:val="0"/>
                <w:numId w:val="21"/>
              </w:numPr>
              <w:spacing w:line="0" w:lineRule="atLeast"/>
              <w:ind w:left="360"/>
              <w:rPr>
                <w:rFonts w:ascii="Times New Roman" w:hAnsi="Times New Roman" w:cs="Times New Roman"/>
                <w:sz w:val="20"/>
                <w:szCs w:val="20"/>
              </w:rPr>
            </w:pPr>
            <w:r>
              <w:rPr>
                <w:rFonts w:ascii="Times New Roman" w:hAnsi="Times New Roman" w:cs="Times New Roman"/>
                <w:sz w:val="20"/>
                <w:szCs w:val="20"/>
              </w:rPr>
              <w:t>C</w:t>
            </w:r>
            <w:r w:rsidRPr="000E3B16">
              <w:rPr>
                <w:rFonts w:ascii="Times New Roman" w:hAnsi="Times New Roman" w:cs="Times New Roman"/>
                <w:sz w:val="20"/>
                <w:szCs w:val="20"/>
              </w:rPr>
              <w:t>hildren immunized in local health facilities</w:t>
            </w:r>
            <w:r>
              <w:rPr>
                <w:rFonts w:ascii="Times New Roman" w:hAnsi="Times New Roman" w:cs="Times New Roman"/>
                <w:sz w:val="20"/>
                <w:szCs w:val="20"/>
              </w:rPr>
              <w:t xml:space="preserve"> (number)</w:t>
            </w:r>
          </w:p>
          <w:p w14:paraId="71818FF8" w14:textId="77777777" w:rsidR="00F96822" w:rsidRDefault="00F96822" w:rsidP="00443F17">
            <w:pPr>
              <w:spacing w:line="0" w:lineRule="atLeast"/>
              <w:ind w:firstLine="0"/>
              <w:rPr>
                <w:rFonts w:ascii="Times New Roman" w:hAnsi="Times New Roman" w:cs="Times New Roman"/>
                <w:sz w:val="20"/>
                <w:szCs w:val="20"/>
              </w:rPr>
            </w:pPr>
            <w:r>
              <w:rPr>
                <w:rFonts w:ascii="Times New Roman" w:hAnsi="Times New Roman" w:cs="Times New Roman"/>
                <w:sz w:val="20"/>
                <w:szCs w:val="20"/>
              </w:rPr>
              <w:t xml:space="preserve">              Baseline: 1,090,751 (2014)</w:t>
            </w:r>
          </w:p>
          <w:p w14:paraId="127D0253" w14:textId="77777777" w:rsidR="00F96822" w:rsidRPr="00910E96" w:rsidRDefault="00F96822" w:rsidP="00443F17">
            <w:p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Target:  </w:t>
            </w:r>
            <w:r>
              <w:rPr>
                <w:rFonts w:ascii="Times New Roman" w:hAnsi="Times New Roman" w:cs="Times New Roman"/>
                <w:sz w:val="20"/>
                <w:szCs w:val="20"/>
              </w:rPr>
              <w:t>1,298,058</w:t>
            </w:r>
            <w:r w:rsidRPr="00910E96">
              <w:rPr>
                <w:rFonts w:ascii="Times New Roman" w:hAnsi="Times New Roman" w:cs="Times New Roman"/>
                <w:sz w:val="20"/>
                <w:szCs w:val="20"/>
              </w:rPr>
              <w:t xml:space="preserve"> (2018)</w:t>
            </w:r>
          </w:p>
          <w:p w14:paraId="60CEECE9" w14:textId="77777777" w:rsidR="00F96822" w:rsidRDefault="00F96822" w:rsidP="00443F17">
            <w:pPr>
              <w:spacing w:line="0" w:lineRule="atLeast"/>
              <w:rPr>
                <w:rFonts w:ascii="Times New Roman" w:hAnsi="Times New Roman" w:cs="Times New Roman"/>
                <w:b/>
                <w:sz w:val="20"/>
                <w:szCs w:val="20"/>
                <w:highlight w:val="yellow"/>
              </w:rPr>
            </w:pPr>
          </w:p>
          <w:p w14:paraId="7D63A0C6" w14:textId="77777777" w:rsidR="00F96822" w:rsidRPr="000E3B16" w:rsidRDefault="00F96822" w:rsidP="00443F17">
            <w:pPr>
              <w:pStyle w:val="ListParagraph"/>
              <w:ind w:left="360"/>
              <w:rPr>
                <w:rFonts w:ascii="Times New Roman" w:hAnsi="Times New Roman" w:cs="Times New Roman"/>
                <w:sz w:val="20"/>
                <w:szCs w:val="20"/>
              </w:rPr>
            </w:pPr>
          </w:p>
          <w:p w14:paraId="721BCEFA" w14:textId="77777777" w:rsidR="00F96822" w:rsidRPr="00910E96" w:rsidRDefault="00F96822" w:rsidP="00443F17">
            <w:pPr>
              <w:pStyle w:val="ListParagraph"/>
              <w:ind w:left="360"/>
            </w:pPr>
          </w:p>
        </w:tc>
        <w:tc>
          <w:tcPr>
            <w:tcW w:w="3918" w:type="dxa"/>
          </w:tcPr>
          <w:p w14:paraId="2FE0412F" w14:textId="77777777" w:rsidR="00F96822" w:rsidRPr="00E65D8A" w:rsidRDefault="00F96822" w:rsidP="00B45683">
            <w:pPr>
              <w:pStyle w:val="ListParagraph"/>
              <w:numPr>
                <w:ilvl w:val="0"/>
                <w:numId w:val="19"/>
              </w:numPr>
              <w:spacing w:line="0" w:lineRule="atLeast"/>
              <w:ind w:left="300"/>
              <w:rPr>
                <w:rFonts w:ascii="Times New Roman" w:hAnsi="Times New Roman" w:cs="Times New Roman"/>
                <w:sz w:val="20"/>
                <w:szCs w:val="20"/>
              </w:rPr>
            </w:pPr>
            <w:r>
              <w:rPr>
                <w:rFonts w:ascii="Times New Roman" w:hAnsi="Times New Roman" w:cs="Times New Roman"/>
                <w:sz w:val="20"/>
                <w:szCs w:val="20"/>
              </w:rPr>
              <w:t xml:space="preserve">30 counties place orders for essential medicines and medical supplies with Kenya Medical Supplies Authority  </w:t>
            </w:r>
          </w:p>
          <w:p w14:paraId="4931855C" w14:textId="77777777" w:rsidR="00F96822" w:rsidRPr="000E3B16" w:rsidRDefault="00F96822" w:rsidP="00443F17">
            <w:pPr>
              <w:spacing w:line="0" w:lineRule="atLeast"/>
              <w:rPr>
                <w:rFonts w:ascii="Times New Roman" w:hAnsi="Times New Roman" w:cs="Times New Roman"/>
                <w:sz w:val="20"/>
                <w:szCs w:val="20"/>
              </w:rPr>
            </w:pPr>
          </w:p>
        </w:tc>
        <w:tc>
          <w:tcPr>
            <w:tcW w:w="5310" w:type="dxa"/>
            <w:vMerge w:val="restart"/>
          </w:tcPr>
          <w:p w14:paraId="0BD5F9BC"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2ADA5693"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i/>
                <w:sz w:val="20"/>
                <w:szCs w:val="20"/>
              </w:rPr>
              <w:t>World Bank:</w:t>
            </w:r>
          </w:p>
          <w:p w14:paraId="1537FE80"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KADP TA to </w:t>
            </w:r>
            <w:proofErr w:type="spellStart"/>
            <w:r w:rsidRPr="00910E96">
              <w:rPr>
                <w:rFonts w:ascii="Times New Roman" w:hAnsi="Times New Roman" w:cs="Times New Roman"/>
                <w:sz w:val="20"/>
                <w:szCs w:val="20"/>
              </w:rPr>
              <w:t>CoG</w:t>
            </w:r>
            <w:proofErr w:type="spellEnd"/>
            <w:r w:rsidRPr="00910E96">
              <w:rPr>
                <w:rFonts w:ascii="Times New Roman" w:hAnsi="Times New Roman" w:cs="Times New Roman"/>
                <w:sz w:val="20"/>
                <w:szCs w:val="20"/>
              </w:rPr>
              <w:t xml:space="preserve"> on county performance dashboard; KADP support for county PFM training modules; Kenya Accountable Devolution Program (KADP); </w:t>
            </w:r>
            <w:proofErr w:type="spellStart"/>
            <w:r w:rsidRPr="00910E96">
              <w:rPr>
                <w:rFonts w:ascii="Times New Roman" w:hAnsi="Times New Roman" w:cs="Times New Roman"/>
                <w:sz w:val="20"/>
                <w:szCs w:val="20"/>
              </w:rPr>
              <w:t>MoDP</w:t>
            </w:r>
            <w:proofErr w:type="spellEnd"/>
            <w:r w:rsidRPr="00910E96">
              <w:rPr>
                <w:rFonts w:ascii="Times New Roman" w:hAnsi="Times New Roman" w:cs="Times New Roman"/>
                <w:sz w:val="20"/>
                <w:szCs w:val="20"/>
              </w:rPr>
              <w:t xml:space="preserve"> on county M&amp;E standards (TA); Fiscal impacts of revenue sharing &amp; sustainability analysis (ESW); [P130650] KE Report on the Observance of Standards and Codes Accounting and Auditing (TA); [P090208] KE Decentralization (ESW); [P146879] KE Country Economic Memorandum (ESW); [P148160] KE Public Expenditure Review (ESW); [P148187] KE Economic Note (ESW)</w:t>
            </w:r>
            <w:r>
              <w:rPr>
                <w:rFonts w:ascii="Times New Roman" w:hAnsi="Times New Roman" w:cs="Times New Roman"/>
                <w:sz w:val="20"/>
                <w:szCs w:val="20"/>
              </w:rPr>
              <w:t xml:space="preserve">; </w:t>
            </w:r>
            <w:r w:rsidRPr="00910E96">
              <w:rPr>
                <w:rFonts w:ascii="Times New Roman" w:hAnsi="Times New Roman" w:cs="Times New Roman"/>
                <w:sz w:val="20"/>
                <w:szCs w:val="20"/>
              </w:rPr>
              <w:t>[P144197] AF K</w:t>
            </w:r>
            <w:r>
              <w:rPr>
                <w:rFonts w:ascii="Times New Roman" w:hAnsi="Times New Roman" w:cs="Times New Roman"/>
                <w:sz w:val="20"/>
                <w:szCs w:val="20"/>
              </w:rPr>
              <w:t>E Health Sector Support Project</w:t>
            </w:r>
          </w:p>
          <w:p w14:paraId="202B37B7" w14:textId="77777777" w:rsidR="00F96822" w:rsidRPr="00910E96" w:rsidRDefault="00F96822" w:rsidP="00443F17">
            <w:pPr>
              <w:spacing w:line="0" w:lineRule="atLeast"/>
              <w:ind w:hanging="18"/>
              <w:rPr>
                <w:rFonts w:ascii="Times New Roman" w:hAnsi="Times New Roman" w:cs="Times New Roman"/>
                <w:sz w:val="20"/>
                <w:szCs w:val="20"/>
              </w:rPr>
            </w:pPr>
          </w:p>
          <w:p w14:paraId="35051856" w14:textId="77777777" w:rsidR="00F96822" w:rsidRPr="00910E96" w:rsidRDefault="00F96822" w:rsidP="00443F17">
            <w:pPr>
              <w:spacing w:line="0" w:lineRule="atLeast"/>
              <w:ind w:hanging="18"/>
              <w:rPr>
                <w:rFonts w:ascii="Times New Roman" w:hAnsi="Times New Roman" w:cs="Times New Roman"/>
                <w:b/>
                <w:sz w:val="20"/>
                <w:szCs w:val="20"/>
              </w:rPr>
            </w:pPr>
            <w:r w:rsidRPr="00910E96">
              <w:rPr>
                <w:rFonts w:ascii="Times New Roman" w:hAnsi="Times New Roman" w:cs="Times New Roman"/>
                <w:b/>
                <w:sz w:val="20"/>
                <w:szCs w:val="20"/>
              </w:rPr>
              <w:t xml:space="preserve">Planned </w:t>
            </w:r>
          </w:p>
          <w:p w14:paraId="1F835F34" w14:textId="77777777" w:rsidR="00F96822" w:rsidRPr="00910E96" w:rsidRDefault="00F96822" w:rsidP="00443F17">
            <w:pPr>
              <w:spacing w:line="0" w:lineRule="atLeast"/>
              <w:ind w:hanging="18"/>
              <w:rPr>
                <w:rFonts w:ascii="Times New Roman" w:hAnsi="Times New Roman" w:cs="Times New Roman"/>
                <w:i/>
                <w:sz w:val="20"/>
                <w:szCs w:val="20"/>
              </w:rPr>
            </w:pPr>
            <w:r w:rsidRPr="00910E96">
              <w:rPr>
                <w:rFonts w:ascii="Times New Roman" w:hAnsi="Times New Roman" w:cs="Times New Roman"/>
                <w:i/>
                <w:sz w:val="20"/>
                <w:szCs w:val="20"/>
              </w:rPr>
              <w:t>World Bank:</w:t>
            </w:r>
          </w:p>
          <w:p w14:paraId="0DE81E11"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 xml:space="preserve">[P129129] KE Devolution Project  – Pfor4; KAPSMLP – Phase II Structural adjustment lending for large urban counties; Statistics P4R; </w:t>
            </w:r>
            <w:r w:rsidRPr="00910E96">
              <w:rPr>
                <w:rFonts w:ascii="Times New Roman" w:hAnsi="Times New Roman" w:cs="Times New Roman"/>
                <w:i/>
                <w:sz w:val="20"/>
                <w:szCs w:val="20"/>
              </w:rPr>
              <w:t>PER; PEFA academy;</w:t>
            </w:r>
            <w:r>
              <w:rPr>
                <w:rFonts w:ascii="Times New Roman" w:hAnsi="Times New Roman" w:cs="Times New Roman"/>
                <w:sz w:val="20"/>
                <w:szCs w:val="20"/>
              </w:rPr>
              <w:t xml:space="preserve"> </w:t>
            </w:r>
            <w:r w:rsidRPr="00910E96">
              <w:rPr>
                <w:rFonts w:ascii="Times New Roman" w:hAnsi="Times New Roman" w:cs="Times New Roman"/>
                <w:sz w:val="20"/>
                <w:szCs w:val="20"/>
              </w:rPr>
              <w:t>Household Poverty Survey; Capacity Building for Devolved Service Delivery multi-donor TF; Conditional grants paper; [P145457] KE Service Delivery Indicators  (ESW)</w:t>
            </w:r>
          </w:p>
          <w:p w14:paraId="1CD6334A" w14:textId="77777777" w:rsidR="00F96822" w:rsidRPr="00910E96" w:rsidRDefault="00F96822" w:rsidP="00443F17">
            <w:pPr>
              <w:spacing w:line="0" w:lineRule="atLeast"/>
              <w:ind w:hanging="18"/>
              <w:rPr>
                <w:rFonts w:ascii="Times New Roman" w:hAnsi="Times New Roman" w:cs="Times New Roman"/>
                <w:sz w:val="20"/>
                <w:szCs w:val="20"/>
              </w:rPr>
            </w:pPr>
          </w:p>
          <w:p w14:paraId="607A71CD"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i/>
                <w:sz w:val="20"/>
                <w:szCs w:val="20"/>
              </w:rPr>
              <w:t>IFC</w:t>
            </w:r>
            <w:r w:rsidRPr="00910E96">
              <w:rPr>
                <w:rFonts w:ascii="Times New Roman" w:hAnsi="Times New Roman" w:cs="Times New Roman"/>
                <w:sz w:val="20"/>
                <w:szCs w:val="20"/>
              </w:rPr>
              <w:t>:</w:t>
            </w:r>
          </w:p>
          <w:p w14:paraId="546CB018"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Doing Business</w:t>
            </w:r>
            <w:r>
              <w:rPr>
                <w:rFonts w:ascii="Times New Roman" w:hAnsi="Times New Roman" w:cs="Times New Roman"/>
                <w:sz w:val="20"/>
                <w:szCs w:val="20"/>
              </w:rPr>
              <w:t xml:space="preserve"> </w:t>
            </w:r>
          </w:p>
        </w:tc>
      </w:tr>
      <w:tr w:rsidR="00F96822" w:rsidRPr="00910E96" w14:paraId="35FB5D1D" w14:textId="77777777" w:rsidTr="000B44A7">
        <w:trPr>
          <w:jc w:val="center"/>
        </w:trPr>
        <w:tc>
          <w:tcPr>
            <w:tcW w:w="4744" w:type="dxa"/>
          </w:tcPr>
          <w:p w14:paraId="3B085A32" w14:textId="77777777" w:rsidR="00F96822" w:rsidRPr="000E3B16" w:rsidRDefault="00F96822" w:rsidP="00443F17">
            <w:pPr>
              <w:spacing w:after="200" w:line="0" w:lineRule="atLeast"/>
              <w:ind w:firstLine="0"/>
              <w:jc w:val="center"/>
              <w:rPr>
                <w:rFonts w:ascii="Times New Roman" w:hAnsi="Times New Roman" w:cs="Times New Roman"/>
                <w:b/>
                <w:sz w:val="24"/>
                <w:szCs w:val="24"/>
              </w:rPr>
            </w:pPr>
            <w:r w:rsidRPr="005328B3">
              <w:rPr>
                <w:rFonts w:ascii="Times New Roman" w:hAnsi="Times New Roman" w:cs="Times New Roman"/>
                <w:b/>
                <w:sz w:val="24"/>
                <w:szCs w:val="24"/>
              </w:rPr>
              <w:t xml:space="preserve">Outcome </w:t>
            </w:r>
            <w:r>
              <w:rPr>
                <w:rFonts w:ascii="Times New Roman" w:hAnsi="Times New Roman" w:cs="Times New Roman"/>
                <w:b/>
                <w:sz w:val="24"/>
                <w:szCs w:val="24"/>
              </w:rPr>
              <w:t>9</w:t>
            </w:r>
            <w:r w:rsidRPr="005328B3">
              <w:rPr>
                <w:rFonts w:ascii="Times New Roman" w:hAnsi="Times New Roman" w:cs="Times New Roman"/>
                <w:b/>
                <w:sz w:val="24"/>
                <w:szCs w:val="24"/>
              </w:rPr>
              <w:t xml:space="preserve">: </w:t>
            </w:r>
            <w:r w:rsidRPr="000E3B16">
              <w:rPr>
                <w:rFonts w:ascii="Times New Roman" w:hAnsi="Times New Roman" w:cs="Times New Roman"/>
                <w:b/>
                <w:sz w:val="24"/>
                <w:szCs w:val="24"/>
              </w:rPr>
              <w:t xml:space="preserve">Adequate Systems to </w:t>
            </w:r>
            <w:r>
              <w:rPr>
                <w:rFonts w:ascii="Times New Roman" w:hAnsi="Times New Roman" w:cs="Times New Roman"/>
                <w:b/>
                <w:sz w:val="24"/>
                <w:szCs w:val="24"/>
              </w:rPr>
              <w:t xml:space="preserve">Monitor Performance of </w:t>
            </w:r>
            <w:r w:rsidRPr="000E3B16">
              <w:rPr>
                <w:rFonts w:ascii="Times New Roman" w:hAnsi="Times New Roman" w:cs="Times New Roman"/>
                <w:b/>
                <w:sz w:val="24"/>
                <w:szCs w:val="24"/>
              </w:rPr>
              <w:t>Service</w:t>
            </w:r>
            <w:r>
              <w:rPr>
                <w:rFonts w:ascii="Times New Roman" w:hAnsi="Times New Roman" w:cs="Times New Roman"/>
                <w:b/>
                <w:sz w:val="24"/>
                <w:szCs w:val="24"/>
              </w:rPr>
              <w:t>s</w:t>
            </w:r>
            <w:r w:rsidRPr="000E3B16">
              <w:rPr>
                <w:rFonts w:ascii="Times New Roman" w:hAnsi="Times New Roman" w:cs="Times New Roman"/>
                <w:b/>
                <w:sz w:val="24"/>
                <w:szCs w:val="24"/>
              </w:rPr>
              <w:t xml:space="preserve"> Delive</w:t>
            </w:r>
            <w:r>
              <w:rPr>
                <w:rFonts w:ascii="Times New Roman" w:hAnsi="Times New Roman" w:cs="Times New Roman"/>
                <w:b/>
                <w:sz w:val="24"/>
                <w:szCs w:val="24"/>
              </w:rPr>
              <w:t>red by Counties</w:t>
            </w:r>
          </w:p>
          <w:p w14:paraId="4A790595" w14:textId="77777777" w:rsidR="00F96822" w:rsidRPr="00E07F36" w:rsidRDefault="00F96822" w:rsidP="00443F17">
            <w:pPr>
              <w:spacing w:line="0" w:lineRule="atLeast"/>
              <w:ind w:left="390" w:firstLine="0"/>
              <w:rPr>
                <w:rFonts w:ascii="Times New Roman" w:hAnsi="Times New Roman" w:cs="Times New Roman"/>
                <w:sz w:val="20"/>
                <w:szCs w:val="20"/>
              </w:rPr>
            </w:pPr>
            <w:r w:rsidRPr="00E07F36">
              <w:rPr>
                <w:rFonts w:ascii="Times New Roman" w:hAnsi="Times New Roman" w:cs="Times New Roman"/>
                <w:sz w:val="20"/>
                <w:szCs w:val="20"/>
              </w:rPr>
              <w:t>Counties with a county performance monitoring system (%)</w:t>
            </w:r>
          </w:p>
          <w:p w14:paraId="1FD801AB" w14:textId="77777777" w:rsidR="00F96822" w:rsidRPr="00910E96" w:rsidRDefault="00F96822" w:rsidP="00443F17">
            <w:pPr>
              <w:spacing w:line="0" w:lineRule="atLeast"/>
              <w:rPr>
                <w:rFonts w:ascii="Times New Roman" w:hAnsi="Times New Roman" w:cs="Times New Roman"/>
                <w:sz w:val="20"/>
                <w:szCs w:val="20"/>
              </w:rPr>
            </w:pPr>
            <w:r w:rsidRPr="00910E96">
              <w:rPr>
                <w:rFonts w:ascii="Times New Roman" w:hAnsi="Times New Roman" w:cs="Times New Roman"/>
                <w:sz w:val="20"/>
                <w:szCs w:val="20"/>
              </w:rPr>
              <w:t>Baseline: 0 % counties (2013)</w:t>
            </w:r>
          </w:p>
          <w:p w14:paraId="3CC4BD1C" w14:textId="77777777" w:rsidR="00F96822" w:rsidRPr="00910E96" w:rsidRDefault="00F96822" w:rsidP="00443F17">
            <w:pPr>
              <w:spacing w:line="0" w:lineRule="atLeast"/>
              <w:rPr>
                <w:rFonts w:ascii="Times New Roman" w:hAnsi="Times New Roman" w:cs="Times New Roman"/>
                <w:sz w:val="20"/>
                <w:szCs w:val="20"/>
              </w:rPr>
            </w:pPr>
            <w:r w:rsidRPr="00910E96">
              <w:rPr>
                <w:rFonts w:ascii="Times New Roman" w:hAnsi="Times New Roman" w:cs="Times New Roman"/>
                <w:sz w:val="20"/>
                <w:szCs w:val="20"/>
              </w:rPr>
              <w:t>Target: 20% of 47 counties (2018)</w:t>
            </w:r>
          </w:p>
          <w:p w14:paraId="6297B9A8" w14:textId="77777777" w:rsidR="00F96822" w:rsidRPr="00910E96" w:rsidRDefault="00F96822" w:rsidP="00443F17">
            <w:pPr>
              <w:spacing w:line="0" w:lineRule="atLeast"/>
              <w:rPr>
                <w:rFonts w:ascii="Times New Roman" w:hAnsi="Times New Roman" w:cs="Times New Roman"/>
                <w:sz w:val="20"/>
                <w:szCs w:val="20"/>
              </w:rPr>
            </w:pPr>
          </w:p>
          <w:p w14:paraId="71BA3DBE" w14:textId="77777777" w:rsidR="00F96822" w:rsidRPr="00910E96" w:rsidRDefault="00F96822" w:rsidP="00443F17">
            <w:pPr>
              <w:spacing w:line="0" w:lineRule="atLeast"/>
              <w:rPr>
                <w:rFonts w:ascii="Times New Roman" w:hAnsi="Times New Roman" w:cs="Times New Roman"/>
                <w:b/>
                <w:sz w:val="20"/>
                <w:szCs w:val="20"/>
              </w:rPr>
            </w:pPr>
          </w:p>
        </w:tc>
        <w:tc>
          <w:tcPr>
            <w:tcW w:w="3918" w:type="dxa"/>
          </w:tcPr>
          <w:p w14:paraId="10DF8874" w14:textId="77777777" w:rsidR="00F96822" w:rsidRPr="00910E96" w:rsidRDefault="00F96822" w:rsidP="00B45683">
            <w:pPr>
              <w:pStyle w:val="ListParagraph"/>
              <w:numPr>
                <w:ilvl w:val="0"/>
                <w:numId w:val="14"/>
              </w:numPr>
              <w:spacing w:line="0" w:lineRule="atLeast"/>
              <w:rPr>
                <w:rFonts w:ascii="Times New Roman" w:hAnsi="Times New Roman" w:cs="Times New Roman"/>
                <w:sz w:val="20"/>
                <w:szCs w:val="20"/>
              </w:rPr>
            </w:pPr>
            <w:r w:rsidRPr="00910E96">
              <w:rPr>
                <w:rFonts w:ascii="Times New Roman" w:hAnsi="Times New Roman" w:cs="Times New Roman"/>
                <w:sz w:val="20"/>
                <w:szCs w:val="20"/>
              </w:rPr>
              <w:t>Core set of county capacity indicators identified and vetted with county/national government –including PFM, HR, planning, performance;  investment climate</w:t>
            </w:r>
          </w:p>
          <w:p w14:paraId="6A82894E" w14:textId="77777777" w:rsidR="00F96822" w:rsidRPr="00910E96" w:rsidRDefault="00F96822" w:rsidP="00B45683">
            <w:pPr>
              <w:pStyle w:val="ListParagraph"/>
              <w:numPr>
                <w:ilvl w:val="0"/>
                <w:numId w:val="14"/>
              </w:numPr>
              <w:spacing w:line="0" w:lineRule="atLeast"/>
              <w:rPr>
                <w:rFonts w:ascii="Times New Roman" w:hAnsi="Times New Roman" w:cs="Times New Roman"/>
                <w:sz w:val="20"/>
                <w:szCs w:val="20"/>
              </w:rPr>
            </w:pPr>
            <w:r w:rsidRPr="00910E96">
              <w:rPr>
                <w:rFonts w:ascii="Times New Roman" w:hAnsi="Times New Roman" w:cs="Times New Roman"/>
                <w:sz w:val="20"/>
                <w:szCs w:val="20"/>
              </w:rPr>
              <w:t>Updated household poverty survey completed at the county or national level</w:t>
            </w:r>
          </w:p>
          <w:p w14:paraId="2CDA53E6" w14:textId="77777777" w:rsidR="00F96822" w:rsidRPr="00910E96" w:rsidRDefault="00F96822" w:rsidP="00B45683">
            <w:pPr>
              <w:pStyle w:val="ListParagraph"/>
              <w:numPr>
                <w:ilvl w:val="0"/>
                <w:numId w:val="14"/>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County performance management platforms designed and piloted in 5 counties. </w:t>
            </w:r>
          </w:p>
          <w:p w14:paraId="4ED15ADF" w14:textId="77777777" w:rsidR="00F96822" w:rsidRPr="00910E96" w:rsidRDefault="00F96822" w:rsidP="00B45683">
            <w:pPr>
              <w:pStyle w:val="ListParagraph"/>
              <w:numPr>
                <w:ilvl w:val="0"/>
                <w:numId w:val="14"/>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County data portal strengthened – with links to open data portal. </w:t>
            </w:r>
          </w:p>
          <w:p w14:paraId="5097FF51" w14:textId="77777777" w:rsidR="00F96822" w:rsidRPr="00910E96" w:rsidRDefault="00F96822" w:rsidP="00B45683">
            <w:pPr>
              <w:pStyle w:val="ListParagraph"/>
              <w:numPr>
                <w:ilvl w:val="0"/>
                <w:numId w:val="14"/>
              </w:numPr>
              <w:tabs>
                <w:tab w:val="left" w:pos="582"/>
              </w:tabs>
              <w:spacing w:line="0" w:lineRule="atLeast"/>
              <w:rPr>
                <w:rFonts w:ascii="Times New Roman" w:hAnsi="Times New Roman" w:cs="Times New Roman"/>
                <w:sz w:val="20"/>
                <w:szCs w:val="20"/>
              </w:rPr>
            </w:pPr>
            <w:r w:rsidRPr="00910E96">
              <w:rPr>
                <w:rFonts w:ascii="Times New Roman" w:hAnsi="Times New Roman" w:cs="Times New Roman"/>
                <w:sz w:val="20"/>
                <w:szCs w:val="20"/>
              </w:rPr>
              <w:t>20%  counties with up-to-date budgets published online by 2017</w:t>
            </w:r>
          </w:p>
          <w:p w14:paraId="722AAC40" w14:textId="77777777" w:rsidR="00F96822" w:rsidRPr="00910E96" w:rsidRDefault="00F96822" w:rsidP="00B45683">
            <w:pPr>
              <w:pStyle w:val="ListParagraph"/>
              <w:numPr>
                <w:ilvl w:val="0"/>
                <w:numId w:val="14"/>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Minimum standards and guidelines for </w:t>
            </w:r>
            <w:r w:rsidRPr="00910E96">
              <w:rPr>
                <w:rFonts w:ascii="Times New Roman" w:hAnsi="Times New Roman" w:cs="Times New Roman"/>
                <w:sz w:val="20"/>
                <w:szCs w:val="20"/>
              </w:rPr>
              <w:lastRenderedPageBreak/>
              <w:t>citizen participation in counties defined with consultation.</w:t>
            </w:r>
          </w:p>
          <w:p w14:paraId="6A1F0DAE" w14:textId="77777777" w:rsidR="00F96822" w:rsidRPr="00910E96" w:rsidRDefault="00F96822" w:rsidP="00443F17">
            <w:pPr>
              <w:spacing w:line="0" w:lineRule="atLeast"/>
              <w:rPr>
                <w:rFonts w:ascii="Times New Roman" w:hAnsi="Times New Roman" w:cs="Times New Roman"/>
                <w:sz w:val="20"/>
                <w:szCs w:val="20"/>
              </w:rPr>
            </w:pPr>
          </w:p>
        </w:tc>
        <w:tc>
          <w:tcPr>
            <w:tcW w:w="5310" w:type="dxa"/>
            <w:vMerge/>
          </w:tcPr>
          <w:p w14:paraId="445CC4EC" w14:textId="77777777" w:rsidR="00F96822" w:rsidRPr="00910E96" w:rsidRDefault="00F96822" w:rsidP="00443F17">
            <w:pPr>
              <w:spacing w:line="0" w:lineRule="atLeast"/>
              <w:rPr>
                <w:rFonts w:ascii="Times New Roman" w:hAnsi="Times New Roman" w:cs="Times New Roman"/>
                <w:b/>
                <w:sz w:val="20"/>
                <w:szCs w:val="20"/>
              </w:rPr>
            </w:pPr>
          </w:p>
        </w:tc>
      </w:tr>
      <w:tr w:rsidR="00F96822" w:rsidRPr="00910E96" w14:paraId="45DFA371" w14:textId="77777777" w:rsidTr="000B44A7">
        <w:trPr>
          <w:jc w:val="center"/>
        </w:trPr>
        <w:tc>
          <w:tcPr>
            <w:tcW w:w="4744" w:type="dxa"/>
          </w:tcPr>
          <w:p w14:paraId="072FF10A" w14:textId="77777777" w:rsidR="00D64C6D" w:rsidRPr="00910E96" w:rsidRDefault="00F96822" w:rsidP="00D64C6D">
            <w:pPr>
              <w:spacing w:line="0" w:lineRule="atLeast"/>
              <w:ind w:firstLine="0"/>
              <w:jc w:val="center"/>
              <w:rPr>
                <w:rFonts w:ascii="Times New Roman" w:hAnsi="Times New Roman" w:cs="Times New Roman"/>
                <w:b/>
                <w:sz w:val="24"/>
                <w:szCs w:val="24"/>
              </w:rPr>
            </w:pPr>
            <w:r w:rsidRPr="00910E96">
              <w:rPr>
                <w:rFonts w:ascii="Times New Roman" w:hAnsi="Times New Roman" w:cs="Times New Roman"/>
                <w:b/>
                <w:sz w:val="24"/>
                <w:szCs w:val="24"/>
              </w:rPr>
              <w:lastRenderedPageBreak/>
              <w:t>Outcome 1</w:t>
            </w:r>
            <w:r>
              <w:rPr>
                <w:rFonts w:ascii="Times New Roman" w:hAnsi="Times New Roman" w:cs="Times New Roman"/>
                <w:b/>
                <w:sz w:val="24"/>
                <w:szCs w:val="24"/>
              </w:rPr>
              <w:t>0</w:t>
            </w:r>
            <w:r w:rsidRPr="00910E96">
              <w:rPr>
                <w:rFonts w:ascii="Times New Roman" w:hAnsi="Times New Roman" w:cs="Times New Roman"/>
                <w:b/>
                <w:i/>
                <w:sz w:val="24"/>
                <w:szCs w:val="24"/>
              </w:rPr>
              <w:t>:</w:t>
            </w:r>
            <w:r w:rsidRPr="00910E96">
              <w:rPr>
                <w:rFonts w:ascii="Times New Roman" w:hAnsi="Times New Roman" w:cs="Times New Roman"/>
                <w:b/>
                <w:sz w:val="24"/>
                <w:szCs w:val="24"/>
              </w:rPr>
              <w:t xml:space="preserve">  Heightened Transparency and Accountability in the Use of Public Resources, particularly at the County Level </w:t>
            </w:r>
            <w:r w:rsidR="00D64C6D" w:rsidRPr="00910E96">
              <w:rPr>
                <w:rFonts w:ascii="Times New Roman" w:hAnsi="Times New Roman" w:cs="Times New Roman"/>
                <w:b/>
                <w:i/>
                <w:sz w:val="24"/>
                <w:szCs w:val="24"/>
              </w:rPr>
              <w:t>(</w:t>
            </w:r>
            <w:r w:rsidR="00D64C6D">
              <w:rPr>
                <w:rFonts w:ascii="Times New Roman" w:hAnsi="Times New Roman" w:cs="Times New Roman"/>
                <w:b/>
                <w:i/>
                <w:sz w:val="24"/>
                <w:szCs w:val="24"/>
              </w:rPr>
              <w:t>Capturing the Connecting Platform Outcome of Garnering Good Governance</w:t>
            </w:r>
            <w:r w:rsidR="00D64C6D" w:rsidRPr="00910E96">
              <w:rPr>
                <w:rFonts w:ascii="Times New Roman" w:hAnsi="Times New Roman" w:cs="Times New Roman"/>
                <w:b/>
                <w:i/>
                <w:sz w:val="24"/>
                <w:szCs w:val="24"/>
              </w:rPr>
              <w:t>)</w:t>
            </w:r>
          </w:p>
          <w:p w14:paraId="553EB565" w14:textId="77777777" w:rsidR="00F96822" w:rsidRDefault="00F96822" w:rsidP="00443F17">
            <w:pPr>
              <w:spacing w:line="0" w:lineRule="atLeast"/>
              <w:rPr>
                <w:rFonts w:ascii="Times New Roman" w:hAnsi="Times New Roman" w:cs="Times New Roman"/>
                <w:sz w:val="20"/>
                <w:szCs w:val="20"/>
              </w:rPr>
            </w:pPr>
          </w:p>
          <w:p w14:paraId="61C1B656" w14:textId="77777777" w:rsidR="00F96822" w:rsidRPr="00D239B5" w:rsidRDefault="00F96822" w:rsidP="007B5E57">
            <w:pPr>
              <w:pStyle w:val="ListParagraph"/>
              <w:numPr>
                <w:ilvl w:val="0"/>
                <w:numId w:val="82"/>
              </w:numPr>
              <w:tabs>
                <w:tab w:val="left" w:pos="306"/>
              </w:tabs>
              <w:spacing w:line="0" w:lineRule="atLeast"/>
              <w:rPr>
                <w:rFonts w:ascii="Times New Roman" w:hAnsi="Times New Roman" w:cs="Times New Roman"/>
                <w:sz w:val="20"/>
                <w:szCs w:val="20"/>
              </w:rPr>
            </w:pPr>
            <w:r w:rsidRPr="00D239B5">
              <w:rPr>
                <w:rFonts w:ascii="Times New Roman" w:hAnsi="Times New Roman" w:cs="Times New Roman"/>
                <w:sz w:val="20"/>
                <w:szCs w:val="20"/>
              </w:rPr>
              <w:t xml:space="preserve">Timely submission of  consolidated annual financial statements to Parliament by the  Kenya National Audit Office (months) </w:t>
            </w:r>
          </w:p>
          <w:p w14:paraId="5F7CE87E" w14:textId="77777777" w:rsidR="00F96822" w:rsidRPr="00101AAE" w:rsidRDefault="00F96822" w:rsidP="00443F17">
            <w:pPr>
              <w:spacing w:line="0" w:lineRule="atLeast"/>
              <w:ind w:left="747" w:hanging="27"/>
              <w:rPr>
                <w:rFonts w:ascii="Times New Roman" w:hAnsi="Times New Roman" w:cs="Times New Roman"/>
                <w:sz w:val="20"/>
                <w:szCs w:val="20"/>
              </w:rPr>
            </w:pPr>
            <w:r w:rsidRPr="00101AAE">
              <w:rPr>
                <w:rFonts w:ascii="Times New Roman" w:hAnsi="Times New Roman" w:cs="Times New Roman"/>
                <w:sz w:val="20"/>
                <w:szCs w:val="20"/>
              </w:rPr>
              <w:t>Baseline: within 11 months from year-end (2013)</w:t>
            </w:r>
          </w:p>
          <w:p w14:paraId="55F00F27" w14:textId="77777777" w:rsidR="00F96822" w:rsidRPr="00101AAE" w:rsidRDefault="00F96822" w:rsidP="00443F17">
            <w:pPr>
              <w:spacing w:line="0" w:lineRule="atLeast"/>
              <w:ind w:left="747" w:hanging="27"/>
              <w:rPr>
                <w:rFonts w:ascii="Times New Roman" w:hAnsi="Times New Roman" w:cs="Times New Roman"/>
                <w:sz w:val="20"/>
                <w:szCs w:val="20"/>
              </w:rPr>
            </w:pPr>
            <w:r w:rsidRPr="00101AAE">
              <w:rPr>
                <w:rFonts w:ascii="Times New Roman" w:hAnsi="Times New Roman" w:cs="Times New Roman"/>
                <w:sz w:val="20"/>
                <w:szCs w:val="20"/>
              </w:rPr>
              <w:t>Target: within 7 months of year end (2018)</w:t>
            </w:r>
          </w:p>
          <w:p w14:paraId="75821BCA" w14:textId="77777777" w:rsidR="00F96822" w:rsidRPr="00101AAE" w:rsidRDefault="00F96822" w:rsidP="00443F17">
            <w:pPr>
              <w:spacing w:line="0" w:lineRule="atLeast"/>
              <w:rPr>
                <w:rFonts w:ascii="Times New Roman" w:hAnsi="Times New Roman" w:cs="Times New Roman"/>
                <w:sz w:val="20"/>
                <w:szCs w:val="20"/>
              </w:rPr>
            </w:pPr>
          </w:p>
          <w:p w14:paraId="1B70FF4F" w14:textId="77777777" w:rsidR="00D64C6D" w:rsidRPr="00101AAE" w:rsidRDefault="00D64C6D" w:rsidP="00443F17">
            <w:pPr>
              <w:spacing w:line="0" w:lineRule="atLeast"/>
              <w:rPr>
                <w:rFonts w:ascii="Times New Roman" w:hAnsi="Times New Roman" w:cs="Times New Roman"/>
                <w:sz w:val="20"/>
                <w:szCs w:val="20"/>
              </w:rPr>
            </w:pPr>
          </w:p>
          <w:p w14:paraId="58FF34F7" w14:textId="77777777" w:rsidR="00F96822" w:rsidRPr="00101AAE" w:rsidRDefault="00F96822" w:rsidP="00443F17">
            <w:pPr>
              <w:spacing w:line="0" w:lineRule="atLeast"/>
              <w:rPr>
                <w:rFonts w:ascii="Times New Roman" w:hAnsi="Times New Roman" w:cs="Times New Roman"/>
                <w:b/>
                <w:sz w:val="20"/>
                <w:szCs w:val="20"/>
              </w:rPr>
            </w:pPr>
          </w:p>
          <w:p w14:paraId="519FDB92" w14:textId="77777777" w:rsidR="00F96822" w:rsidRPr="00101AAE" w:rsidRDefault="00F96822" w:rsidP="007B5E57">
            <w:pPr>
              <w:pStyle w:val="ListParagraph"/>
              <w:numPr>
                <w:ilvl w:val="0"/>
                <w:numId w:val="82"/>
              </w:numPr>
              <w:tabs>
                <w:tab w:val="left" w:pos="306"/>
              </w:tabs>
              <w:spacing w:line="0" w:lineRule="atLeast"/>
              <w:rPr>
                <w:rFonts w:ascii="Times New Roman" w:hAnsi="Times New Roman" w:cs="Times New Roman"/>
                <w:sz w:val="20"/>
                <w:szCs w:val="20"/>
              </w:rPr>
            </w:pPr>
            <w:r w:rsidRPr="00101AAE">
              <w:rPr>
                <w:rFonts w:ascii="Times New Roman" w:hAnsi="Times New Roman" w:cs="Times New Roman"/>
                <w:sz w:val="20"/>
                <w:szCs w:val="20"/>
              </w:rPr>
              <w:t>Counties using IFMIS for budget preparation and execution, accounting, and financial reporting (number)</w:t>
            </w:r>
          </w:p>
          <w:p w14:paraId="7CB742D5" w14:textId="77777777" w:rsidR="00F96822" w:rsidRPr="00101AAE" w:rsidRDefault="00F96822" w:rsidP="00443F17">
            <w:pPr>
              <w:pStyle w:val="ListParagraph"/>
              <w:tabs>
                <w:tab w:val="left" w:pos="306"/>
              </w:tabs>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Baseline: 10 (2014)</w:t>
            </w:r>
          </w:p>
          <w:p w14:paraId="1D8BDA92" w14:textId="77777777" w:rsidR="00F96822" w:rsidRDefault="00F96822" w:rsidP="00443F17">
            <w:pPr>
              <w:pStyle w:val="ListParagraph"/>
              <w:tabs>
                <w:tab w:val="left" w:pos="306"/>
              </w:tabs>
              <w:spacing w:line="0" w:lineRule="atLeast"/>
              <w:ind w:firstLine="0"/>
              <w:rPr>
                <w:rFonts w:ascii="Times New Roman" w:hAnsi="Times New Roman" w:cs="Times New Roman"/>
                <w:sz w:val="20"/>
                <w:szCs w:val="20"/>
              </w:rPr>
            </w:pPr>
            <w:r w:rsidRPr="00101AAE">
              <w:rPr>
                <w:rFonts w:ascii="Times New Roman" w:hAnsi="Times New Roman" w:cs="Times New Roman"/>
                <w:sz w:val="20"/>
                <w:szCs w:val="20"/>
              </w:rPr>
              <w:t xml:space="preserve">Target: </w:t>
            </w:r>
            <w:r w:rsidR="005468F6" w:rsidRPr="00101AAE">
              <w:rPr>
                <w:rFonts w:ascii="Times New Roman" w:hAnsi="Times New Roman" w:cs="Times New Roman"/>
                <w:sz w:val="20"/>
                <w:szCs w:val="20"/>
              </w:rPr>
              <w:t xml:space="preserve">37 </w:t>
            </w:r>
            <w:r w:rsidRPr="00101AAE">
              <w:rPr>
                <w:rFonts w:ascii="Times New Roman" w:hAnsi="Times New Roman" w:cs="Times New Roman"/>
                <w:sz w:val="20"/>
                <w:szCs w:val="20"/>
              </w:rPr>
              <w:t>(2018)</w:t>
            </w:r>
          </w:p>
          <w:p w14:paraId="194CC9D0" w14:textId="77777777" w:rsidR="00F96822" w:rsidRDefault="00F96822" w:rsidP="00443F17">
            <w:pPr>
              <w:pStyle w:val="ListParagraph"/>
              <w:tabs>
                <w:tab w:val="left" w:pos="306"/>
              </w:tabs>
              <w:spacing w:line="0" w:lineRule="atLeast"/>
              <w:ind w:left="360" w:firstLine="0"/>
              <w:rPr>
                <w:rFonts w:ascii="Times New Roman" w:hAnsi="Times New Roman" w:cs="Times New Roman"/>
                <w:sz w:val="20"/>
                <w:szCs w:val="20"/>
              </w:rPr>
            </w:pPr>
          </w:p>
          <w:p w14:paraId="31E701F0" w14:textId="77777777" w:rsidR="00F96822" w:rsidRPr="00910E96" w:rsidRDefault="00F96822" w:rsidP="00443F17">
            <w:pPr>
              <w:tabs>
                <w:tab w:val="left" w:pos="1223"/>
              </w:tabs>
              <w:spacing w:line="0" w:lineRule="atLeast"/>
              <w:rPr>
                <w:rFonts w:ascii="Times New Roman" w:hAnsi="Times New Roman" w:cs="Times New Roman"/>
                <w:sz w:val="20"/>
                <w:szCs w:val="20"/>
              </w:rPr>
            </w:pPr>
            <w:r w:rsidRPr="00910E96">
              <w:rPr>
                <w:rFonts w:ascii="Times New Roman" w:hAnsi="Times New Roman" w:cs="Times New Roman"/>
                <w:sz w:val="20"/>
                <w:szCs w:val="20"/>
              </w:rPr>
              <w:tab/>
            </w:r>
          </w:p>
          <w:p w14:paraId="064211B5" w14:textId="77777777" w:rsidR="00F96822" w:rsidRPr="00910E96" w:rsidRDefault="00F96822" w:rsidP="00443F17">
            <w:pPr>
              <w:spacing w:line="0" w:lineRule="atLeast"/>
              <w:rPr>
                <w:rFonts w:ascii="Times New Roman" w:hAnsi="Times New Roman" w:cs="Times New Roman"/>
                <w:b/>
                <w:sz w:val="20"/>
                <w:szCs w:val="20"/>
              </w:rPr>
            </w:pPr>
          </w:p>
        </w:tc>
        <w:tc>
          <w:tcPr>
            <w:tcW w:w="3918" w:type="dxa"/>
          </w:tcPr>
          <w:p w14:paraId="2FAE051A" w14:textId="77777777" w:rsidR="00F96822" w:rsidRPr="00910E96"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Quarterly consolidated financial statements published by the National Treasury for national government and county governments entities to show overall General Government Fiscal (within 30 days of end of each quarter)</w:t>
            </w:r>
          </w:p>
          <w:p w14:paraId="420680B3" w14:textId="77777777" w:rsidR="00F96822" w:rsidRPr="00910E96"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Public Sector Accounting Standards Board established with supporting Secretariat – guidelines for reporting format issued </w:t>
            </w:r>
          </w:p>
          <w:p w14:paraId="0E842D18" w14:textId="77777777" w:rsidR="00F96822" w:rsidRPr="00910E96"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Audit manuals issued consistent with International Standards of Supreme Audit Institutions (ISSAI) guidelines</w:t>
            </w:r>
          </w:p>
          <w:p w14:paraId="7FC2B1EE" w14:textId="77777777" w:rsidR="00F96822"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Template to consolidate reports of annual appropriation accounts and other financial statements of the national government and county governments and their entities</w:t>
            </w:r>
          </w:p>
          <w:p w14:paraId="6B30EAD9" w14:textId="77777777" w:rsidR="00F96822" w:rsidRPr="000E3B16" w:rsidRDefault="00F96822" w:rsidP="00B45683">
            <w:pPr>
              <w:pStyle w:val="ListParagraph"/>
              <w:numPr>
                <w:ilvl w:val="0"/>
                <w:numId w:val="13"/>
              </w:numPr>
              <w:spacing w:line="0" w:lineRule="atLeast"/>
              <w:rPr>
                <w:rFonts w:ascii="Times New Roman" w:hAnsi="Times New Roman" w:cs="Times New Roman"/>
                <w:sz w:val="20"/>
                <w:szCs w:val="20"/>
              </w:rPr>
            </w:pPr>
            <w:r w:rsidRPr="000E3B16">
              <w:rPr>
                <w:rFonts w:ascii="Times New Roman" w:hAnsi="Times New Roman" w:cs="Times New Roman"/>
                <w:sz w:val="20"/>
                <w:szCs w:val="20"/>
              </w:rPr>
              <w:t xml:space="preserve">25% </w:t>
            </w:r>
            <w:r>
              <w:rPr>
                <w:rFonts w:ascii="Times New Roman" w:hAnsi="Times New Roman" w:cs="Times New Roman"/>
                <w:sz w:val="20"/>
                <w:szCs w:val="20"/>
              </w:rPr>
              <w:t>c</w:t>
            </w:r>
            <w:r w:rsidRPr="000E3B16">
              <w:rPr>
                <w:rFonts w:ascii="Times New Roman" w:hAnsi="Times New Roman" w:cs="Times New Roman"/>
                <w:sz w:val="20"/>
                <w:szCs w:val="20"/>
              </w:rPr>
              <w:t>ounties with publicly available and published budgets by 2018</w:t>
            </w:r>
          </w:p>
          <w:p w14:paraId="4EAE7C8B" w14:textId="77777777" w:rsidR="00F96822" w:rsidRPr="00910E96"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County PFM training modules/guidelines developed and rolled out across counties</w:t>
            </w:r>
          </w:p>
          <w:p w14:paraId="16ECC820" w14:textId="77777777" w:rsidR="00F96822" w:rsidRPr="00910E96" w:rsidRDefault="00F96822" w:rsidP="00B45683">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Academy on public financial management assessment system held to train trainers</w:t>
            </w:r>
          </w:p>
          <w:p w14:paraId="14C62F1F" w14:textId="77777777" w:rsidR="00F96822" w:rsidRPr="00910E96" w:rsidRDefault="00F96822" w:rsidP="005468F6">
            <w:pPr>
              <w:pStyle w:val="ListParagraph"/>
              <w:numPr>
                <w:ilvl w:val="0"/>
                <w:numId w:val="13"/>
              </w:numPr>
              <w:spacing w:line="0" w:lineRule="atLeast"/>
              <w:rPr>
                <w:rFonts w:ascii="Times New Roman" w:hAnsi="Times New Roman" w:cs="Times New Roman"/>
                <w:sz w:val="20"/>
                <w:szCs w:val="20"/>
              </w:rPr>
            </w:pPr>
            <w:r w:rsidRPr="00910E96">
              <w:rPr>
                <w:rFonts w:ascii="Times New Roman" w:hAnsi="Times New Roman" w:cs="Times New Roman"/>
                <w:sz w:val="20"/>
                <w:szCs w:val="20"/>
              </w:rPr>
              <w:t xml:space="preserve">Integrated Financial Management Information System (IFIMIS) functioning in at least </w:t>
            </w:r>
            <w:r w:rsidR="005468F6">
              <w:rPr>
                <w:rFonts w:ascii="Times New Roman" w:hAnsi="Times New Roman" w:cs="Times New Roman"/>
                <w:sz w:val="20"/>
                <w:szCs w:val="20"/>
              </w:rPr>
              <w:t>37</w:t>
            </w:r>
            <w:r w:rsidR="005468F6" w:rsidRPr="00910E96">
              <w:rPr>
                <w:rFonts w:ascii="Times New Roman" w:hAnsi="Times New Roman" w:cs="Times New Roman"/>
                <w:sz w:val="20"/>
                <w:szCs w:val="20"/>
              </w:rPr>
              <w:t xml:space="preserve"> </w:t>
            </w:r>
            <w:r w:rsidRPr="00910E96">
              <w:rPr>
                <w:rFonts w:ascii="Times New Roman" w:hAnsi="Times New Roman" w:cs="Times New Roman"/>
                <w:sz w:val="20"/>
                <w:szCs w:val="20"/>
              </w:rPr>
              <w:t xml:space="preserve">counties (of 47) </w:t>
            </w:r>
          </w:p>
        </w:tc>
        <w:tc>
          <w:tcPr>
            <w:tcW w:w="5310" w:type="dxa"/>
          </w:tcPr>
          <w:p w14:paraId="120A7448"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b/>
                <w:sz w:val="20"/>
                <w:szCs w:val="20"/>
              </w:rPr>
              <w:t>Ongoing</w:t>
            </w:r>
            <w:r w:rsidRPr="00910E96">
              <w:rPr>
                <w:rFonts w:ascii="Times New Roman" w:hAnsi="Times New Roman" w:cs="Times New Roman"/>
                <w:sz w:val="20"/>
                <w:szCs w:val="20"/>
              </w:rPr>
              <w:t xml:space="preserve"> </w:t>
            </w:r>
          </w:p>
          <w:p w14:paraId="361BB497" w14:textId="77777777" w:rsidR="00F96822" w:rsidRPr="00910E96" w:rsidRDefault="00F96822" w:rsidP="00443F17">
            <w:pPr>
              <w:spacing w:line="0" w:lineRule="atLeast"/>
              <w:ind w:firstLine="0"/>
              <w:rPr>
                <w:rFonts w:ascii="Times New Roman" w:hAnsi="Times New Roman" w:cs="Times New Roman"/>
                <w:i/>
                <w:sz w:val="20"/>
                <w:szCs w:val="20"/>
              </w:rPr>
            </w:pPr>
            <w:r w:rsidRPr="00910E96">
              <w:rPr>
                <w:rFonts w:ascii="Times New Roman" w:hAnsi="Times New Roman" w:cs="Times New Roman"/>
                <w:i/>
                <w:sz w:val="20"/>
                <w:szCs w:val="20"/>
              </w:rPr>
              <w:t>World Bank:</w:t>
            </w:r>
          </w:p>
          <w:p w14:paraId="5FEBD4CD" w14:textId="77777777" w:rsidR="00F96822" w:rsidRPr="00910E96" w:rsidRDefault="00F96822" w:rsidP="00443F17">
            <w:pPr>
              <w:spacing w:line="0" w:lineRule="atLeast"/>
              <w:ind w:hanging="18"/>
              <w:rPr>
                <w:rFonts w:ascii="Times New Roman" w:hAnsi="Times New Roman" w:cs="Times New Roman"/>
                <w:sz w:val="20"/>
                <w:szCs w:val="20"/>
              </w:rPr>
            </w:pPr>
            <w:r w:rsidRPr="00910E96">
              <w:rPr>
                <w:rFonts w:ascii="Times New Roman" w:hAnsi="Times New Roman" w:cs="Times New Roman"/>
                <w:sz w:val="20"/>
                <w:szCs w:val="20"/>
              </w:rPr>
              <w:t>Programmatic Governance Analytical knowledge program; [P149074 &amp; P149788] Political Economy Analysis of Devolution (ESW); [P148820] Governance and Political Economy for Results (ESW); [P124042] Community-Driven Development and Demand-Side Governance (TA); [P133332] Kenya Governance Partnership Facility: Accountable Devolution (TA)</w:t>
            </w:r>
          </w:p>
          <w:p w14:paraId="754FB567" w14:textId="77777777" w:rsidR="00F96822" w:rsidRPr="00910E96" w:rsidRDefault="00F96822" w:rsidP="00443F17">
            <w:pPr>
              <w:spacing w:line="0" w:lineRule="atLeast"/>
              <w:ind w:firstLine="0"/>
              <w:rPr>
                <w:rFonts w:ascii="Times New Roman" w:hAnsi="Times New Roman" w:cs="Times New Roman"/>
                <w:sz w:val="20"/>
                <w:szCs w:val="20"/>
              </w:rPr>
            </w:pPr>
          </w:p>
          <w:p w14:paraId="0DEF3711" w14:textId="77777777" w:rsidR="00F96822" w:rsidRPr="00910E96" w:rsidRDefault="00F96822" w:rsidP="00443F17">
            <w:pPr>
              <w:spacing w:line="0" w:lineRule="atLeast"/>
              <w:ind w:firstLine="0"/>
              <w:rPr>
                <w:rFonts w:ascii="Times New Roman" w:hAnsi="Times New Roman" w:cs="Times New Roman"/>
                <w:b/>
                <w:sz w:val="20"/>
                <w:szCs w:val="20"/>
              </w:rPr>
            </w:pPr>
            <w:r w:rsidRPr="00910E96">
              <w:rPr>
                <w:rFonts w:ascii="Times New Roman" w:hAnsi="Times New Roman" w:cs="Times New Roman"/>
                <w:b/>
                <w:sz w:val="20"/>
                <w:szCs w:val="20"/>
              </w:rPr>
              <w:t>Planned</w:t>
            </w:r>
          </w:p>
          <w:p w14:paraId="2D204A63"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i/>
                <w:sz w:val="20"/>
                <w:szCs w:val="20"/>
              </w:rPr>
              <w:t>World Bank</w:t>
            </w:r>
            <w:r w:rsidRPr="00910E96">
              <w:rPr>
                <w:rFonts w:ascii="Times New Roman" w:hAnsi="Times New Roman" w:cs="Times New Roman"/>
                <w:sz w:val="20"/>
                <w:szCs w:val="20"/>
              </w:rPr>
              <w:t xml:space="preserve">: </w:t>
            </w:r>
          </w:p>
          <w:p w14:paraId="4AD28F2E" w14:textId="77777777" w:rsidR="00F96822" w:rsidRPr="00910E96" w:rsidRDefault="00F96822" w:rsidP="00443F17">
            <w:pPr>
              <w:spacing w:line="0" w:lineRule="atLeast"/>
              <w:ind w:firstLine="0"/>
              <w:rPr>
                <w:rFonts w:ascii="Times New Roman" w:hAnsi="Times New Roman" w:cs="Times New Roman"/>
                <w:sz w:val="20"/>
                <w:szCs w:val="20"/>
              </w:rPr>
            </w:pPr>
            <w:r w:rsidRPr="00910E96">
              <w:rPr>
                <w:rFonts w:ascii="Times New Roman" w:hAnsi="Times New Roman" w:cs="Times New Roman"/>
                <w:sz w:val="20"/>
                <w:szCs w:val="20"/>
              </w:rPr>
              <w:t xml:space="preserve">Public Sector Governance Project (PFM/IFMIS, procurement and selected HRM for national and county governments) </w:t>
            </w:r>
          </w:p>
          <w:p w14:paraId="0ACBC20A" w14:textId="77777777" w:rsidR="00F96822" w:rsidRPr="00910E96" w:rsidRDefault="00F96822" w:rsidP="00443F17">
            <w:pPr>
              <w:spacing w:line="0" w:lineRule="atLeast"/>
              <w:rPr>
                <w:rFonts w:ascii="Times New Roman" w:hAnsi="Times New Roman" w:cs="Times New Roman"/>
                <w:b/>
                <w:sz w:val="20"/>
                <w:szCs w:val="20"/>
              </w:rPr>
            </w:pPr>
          </w:p>
        </w:tc>
      </w:tr>
    </w:tbl>
    <w:p w14:paraId="2F8E0D87" w14:textId="77777777" w:rsidR="00B45683" w:rsidRDefault="00B45683" w:rsidP="00B45683">
      <w:pPr>
        <w:pStyle w:val="ListParagraph"/>
        <w:spacing w:line="240" w:lineRule="auto"/>
        <w:ind w:left="0"/>
        <w:contextualSpacing w:val="0"/>
        <w:jc w:val="both"/>
        <w:rPr>
          <w:rFonts w:ascii="Times New Roman" w:hAnsi="Times New Roman" w:cs="Times New Roman"/>
          <w:sz w:val="24"/>
          <w:szCs w:val="24"/>
        </w:rPr>
      </w:pPr>
    </w:p>
    <w:p w14:paraId="77A9C7F6" w14:textId="77777777" w:rsidR="00651019" w:rsidRDefault="00651019" w:rsidP="002B69A8">
      <w:pPr>
        <w:pStyle w:val="ListParagraph"/>
        <w:spacing w:line="240" w:lineRule="auto"/>
        <w:ind w:left="0"/>
        <w:contextualSpacing w:val="0"/>
        <w:jc w:val="both"/>
        <w:rPr>
          <w:rFonts w:ascii="Times New Roman" w:hAnsi="Times New Roman" w:cs="Times New Roman"/>
          <w:sz w:val="24"/>
          <w:szCs w:val="24"/>
        </w:rPr>
        <w:sectPr w:rsidR="00651019" w:rsidSect="00C663A8">
          <w:headerReference w:type="default" r:id="rId15"/>
          <w:footerReference w:type="default" r:id="rId16"/>
          <w:footnotePr>
            <w:numRestart w:val="eachSect"/>
          </w:footnotePr>
          <w:endnotePr>
            <w:numFmt w:val="decimal"/>
          </w:endnotePr>
          <w:pgSz w:w="15840" w:h="12240" w:orient="landscape"/>
          <w:pgMar w:top="455" w:right="1166" w:bottom="1440" w:left="1267" w:header="540" w:footer="720" w:gutter="0"/>
          <w:pgNumType w:start="1"/>
          <w:cols w:space="720"/>
          <w:docGrid w:linePitch="360"/>
        </w:sectPr>
      </w:pPr>
    </w:p>
    <w:p w14:paraId="476912FD"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2" w:name="_Toc387342563"/>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2</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CPS Completion Report</w:t>
      </w:r>
      <w:bookmarkEnd w:id="2"/>
    </w:p>
    <w:p w14:paraId="250A6009" w14:textId="77777777" w:rsidR="00C844EE" w:rsidRPr="00C844EE" w:rsidRDefault="00C844EE" w:rsidP="00C844EE">
      <w:pPr>
        <w:jc w:val="center"/>
        <w:rPr>
          <w:rFonts w:ascii="Times New Roman" w:hAnsi="Times New Roman" w:cs="Times New Roman"/>
          <w:b/>
          <w:sz w:val="24"/>
          <w:szCs w:val="24"/>
          <w:lang w:val="fr-FR"/>
        </w:rPr>
      </w:pPr>
      <w:r w:rsidRPr="00C844EE">
        <w:rPr>
          <w:rFonts w:ascii="Times New Roman" w:hAnsi="Times New Roman" w:cs="Times New Roman"/>
          <w:b/>
          <w:sz w:val="24"/>
          <w:szCs w:val="24"/>
          <w:lang w:val="fr-FR"/>
        </w:rPr>
        <w:t>CPS COMPLETION REPORT</w:t>
      </w:r>
    </w:p>
    <w:p w14:paraId="1A12F0DE"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COUNTRY: Kenya</w:t>
      </w:r>
    </w:p>
    <w:p w14:paraId="63AF45F2"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COVERAGE: FY2010-2013</w:t>
      </w:r>
    </w:p>
    <w:p w14:paraId="561B31D3"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DATE OF PROGRESS REPORT: April 5, 2012</w:t>
      </w:r>
    </w:p>
    <w:p w14:paraId="6C534E7B" w14:textId="77777777" w:rsidR="00C844EE" w:rsidRPr="00C844EE" w:rsidRDefault="00C844EE" w:rsidP="007B5E57">
      <w:pPr>
        <w:numPr>
          <w:ilvl w:val="0"/>
          <w:numId w:val="23"/>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Introduction</w:t>
      </w:r>
    </w:p>
    <w:p w14:paraId="52F6B4ED" w14:textId="77777777" w:rsidR="00C844EE" w:rsidRPr="00C844EE" w:rsidRDefault="00C844EE" w:rsidP="00C844EE">
      <w:pPr>
        <w:spacing w:after="0" w:line="240" w:lineRule="auto"/>
        <w:ind w:left="720"/>
        <w:contextualSpacing/>
        <w:jc w:val="both"/>
        <w:rPr>
          <w:rFonts w:ascii="Times New Roman" w:hAnsi="Times New Roman" w:cs="Times New Roman"/>
          <w:sz w:val="24"/>
          <w:szCs w:val="24"/>
          <w:lang w:val="en-GB" w:eastAsia="en-GB"/>
        </w:rPr>
      </w:pPr>
    </w:p>
    <w:p w14:paraId="5D87C5D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FY2010-2013 Country Partnership Strategy (CPS) was approved by the Board in March 2010.</w:t>
      </w:r>
      <w:r w:rsidRPr="00C844EE">
        <w:rPr>
          <w:rFonts w:ascii="Times New Roman" w:hAnsi="Times New Roman" w:cs="Times New Roman"/>
          <w:sz w:val="24"/>
          <w:szCs w:val="24"/>
          <w:lang w:val="en-GB"/>
        </w:rPr>
        <w:t xml:space="preserve">  </w:t>
      </w:r>
      <w:r w:rsidRPr="00C844EE">
        <w:rPr>
          <w:rFonts w:ascii="Times New Roman" w:hAnsi="Times New Roman" w:cs="Times New Roman"/>
          <w:sz w:val="24"/>
          <w:szCs w:val="24"/>
          <w:lang w:val="en-GB" w:eastAsia="en-GB"/>
        </w:rPr>
        <w:t>The period covered by the CPS witnessed profound changes and some remarkable achievements in Kenya’s political and economic governance arrangements. It was book-ended by the adoption of a new Constitution in 2010 that limited presidential power and set in train a far-reaching set of governance initiatives; and by the holding of a general election in March 2013 that was among the most peaceful, with least negative economic impact, that Kenya has ever experienced. In between these key achievements the Government put in place the framework for one of the world’s most ambitious fiscal, political, and administrative decentralizations. This included a Public Financial Management Act in 2012 that has, inter alia, clarified roles and responsibilities between the Auditor General, Controller of Budget and Treasury.</w:t>
      </w:r>
    </w:p>
    <w:p w14:paraId="3CBD5F23"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47F784A0"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During this time the Government vigorously pressed forward with implementation of its long term development strategy, Vision 2030 (launched in 2008).</w:t>
      </w:r>
      <w:r w:rsidRPr="00C844EE">
        <w:rPr>
          <w:rFonts w:ascii="Times New Roman" w:hAnsi="Times New Roman" w:cs="Times New Roman"/>
          <w:sz w:val="24"/>
          <w:szCs w:val="24"/>
          <w:lang w:val="en-GB" w:eastAsia="en-GB"/>
        </w:rPr>
        <w:t xml:space="preserve"> The strategy aims to transform Kenya into a middle income country by 2030. Specific proposals for the period 2008-2012 are contained in the Government’s first Medium Term Plan (MTP). An interim assessment of progress under the MTP was undertaken in 2011 and a Vision 2030 Progress Report issued in February 2013. The FY2010-2013 CPS was closely aligned with the priorities set out in the MTP as further detailed below.</w:t>
      </w:r>
    </w:p>
    <w:p w14:paraId="7DA7CFD4"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29DCF2D3"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This Completion Report reviews the World Bank Group’s program in Kenya during FY2010-2013.</w:t>
      </w:r>
      <w:r w:rsidRPr="00C844EE">
        <w:rPr>
          <w:rFonts w:ascii="Times New Roman" w:hAnsi="Times New Roman" w:cs="Times New Roman"/>
          <w:sz w:val="24"/>
          <w:szCs w:val="24"/>
          <w:lang w:val="en-GB"/>
        </w:rPr>
        <w:t xml:space="preserve"> The Report covers both program implementation and Bank performance. It has drawn on extensive discussions with Bank Group staff members who have been involved in the delivery of projects and investments, AAA and advisory work; a range of World Bank documents including ICRs, ISRs and other project documents as well as reports, policy updates, and IMF reports; the results of the 2012 Client Survey; and discussions with Government counterparts.</w:t>
      </w:r>
    </w:p>
    <w:p w14:paraId="1C5C5768"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1D91E097"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FY2010-2013 CPS (as amended by the CPS Progress Report in 2012) was divided into three key pillars.</w:t>
      </w:r>
      <w:r w:rsidRPr="00C844EE">
        <w:rPr>
          <w:rFonts w:ascii="Times New Roman" w:hAnsi="Times New Roman" w:cs="Times New Roman"/>
          <w:sz w:val="24"/>
          <w:szCs w:val="24"/>
          <w:lang w:val="en-GB"/>
        </w:rPr>
        <w:t xml:space="preserve"> The first of these, ‘Unleashing Kenya’s Growth Potential’, was mostly achieved. Outcomes under ICT, energy, water and agriculture were all fully or mostly achieved while those under private sector development and transport were partially achieved. The second pillar, ‘Reducing Inequality and Strengthening Resilience’, was also mostly achieved: the combined outcome for health, education and urban development was partially achieved while those for environment and social protection were achieved. The third pillar, </w:t>
      </w:r>
      <w:r w:rsidRPr="00C844EE">
        <w:rPr>
          <w:rFonts w:ascii="Times New Roman" w:hAnsi="Times New Roman" w:cs="Times New Roman"/>
          <w:sz w:val="24"/>
          <w:szCs w:val="24"/>
          <w:lang w:val="en-GB"/>
        </w:rPr>
        <w:lastRenderedPageBreak/>
        <w:t>‘Increasing Transparency and Accountability’, was not achieved, based on a strict reading of the results matrix targets. However, as discussed further below, there was a wide range of Bank–supported activity under this pillar, not fully captured by the results framework, which supported the Government’s constitutional and governance related reforms during this period.</w:t>
      </w:r>
    </w:p>
    <w:p w14:paraId="0061AFFD" w14:textId="77777777" w:rsidR="00C844EE" w:rsidRPr="00C844EE" w:rsidRDefault="00C844EE" w:rsidP="00C844EE">
      <w:pPr>
        <w:spacing w:after="0" w:line="240" w:lineRule="auto"/>
        <w:ind w:left="720"/>
        <w:contextualSpacing/>
        <w:rPr>
          <w:rFonts w:ascii="Times New Roman" w:hAnsi="Times New Roman" w:cs="Times New Roman"/>
          <w:b/>
          <w:sz w:val="24"/>
          <w:szCs w:val="24"/>
          <w:lang w:val="en-GB"/>
        </w:rPr>
      </w:pPr>
    </w:p>
    <w:p w14:paraId="3EA93A0D"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In summary, the overall rating for Program implementation is moderately satisfactory and that for Bank performance is good</w:t>
      </w:r>
      <w:r w:rsidRPr="00C844EE">
        <w:rPr>
          <w:rFonts w:ascii="Times New Roman" w:hAnsi="Times New Roman" w:cs="Times New Roman"/>
          <w:sz w:val="24"/>
          <w:szCs w:val="24"/>
          <w:lang w:val="en-GB"/>
        </w:rPr>
        <w:t>. A majority of CPS outcomes (7 out of 12) were achieved or mostly achieved (as shown in Box 1) and therefore the overall objective rating for the CPS Program FY2010-13 is moderately satisfactory. The design and implementation of the program contributed successfully to the pursuit and achievement of CPS objectives resulting in a ‘good’ assessment of bank performance.</w:t>
      </w:r>
    </w:p>
    <w:p w14:paraId="7D24E6F4"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0BBD0BE4" w14:textId="77777777" w:rsidR="00C844EE" w:rsidRPr="00C844EE" w:rsidRDefault="00C844EE" w:rsidP="00C844EE">
      <w:pPr>
        <w:spacing w:after="0" w:line="240" w:lineRule="auto"/>
        <w:ind w:left="360"/>
        <w:contextualSpacing/>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Box 1: Summary of Program Implementation</w:t>
      </w:r>
    </w:p>
    <w:p w14:paraId="6E7DD702"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r w:rsidRPr="00C844EE">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0EF10CCF" wp14:editId="508515CC">
                <wp:simplePos x="0" y="0"/>
                <wp:positionH relativeFrom="column">
                  <wp:posOffset>349719</wp:posOffset>
                </wp:positionH>
                <wp:positionV relativeFrom="paragraph">
                  <wp:posOffset>72197</wp:posOffset>
                </wp:positionV>
                <wp:extent cx="5009322" cy="3593990"/>
                <wp:effectExtent l="0" t="0" r="20320" b="26035"/>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2" cy="3593990"/>
                        </a:xfrm>
                        <a:prstGeom prst="rect">
                          <a:avLst/>
                        </a:prstGeom>
                        <a:solidFill>
                          <a:srgbClr val="FFFFFF"/>
                        </a:solidFill>
                        <a:ln w="9525">
                          <a:solidFill>
                            <a:srgbClr val="000000"/>
                          </a:solidFill>
                          <a:miter lim="800000"/>
                          <a:headEnd/>
                          <a:tailEnd/>
                        </a:ln>
                      </wps:spPr>
                      <wps:txbx>
                        <w:txbxContent>
                          <w:p w14:paraId="659F9E00" w14:textId="77777777" w:rsidR="00DA29A4" w:rsidRDefault="00256F32" w:rsidP="00C844EE">
                            <w:r>
                              <w:pict w14:anchorId="2D50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pt;height:284.1pt">
                                  <v:imagedata r:id="rId17" o:title=""/>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55pt;margin-top:5.7pt;width:394.45pt;height:28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">
                <v:textbox>
                  <w:txbxContent>
                    <w:p w14:paraId="659F9E00" w14:textId="77777777" w:rsidR="00DA29A4" w:rsidRDefault="00C663A8" w:rsidP="00C844EE">
                      <w:r>
                        <w:pict w14:anchorId="2D50272B">
                          <v:shape id="_x0000_i1026" type="#_x0000_t75" style="width:378pt;height:284.1pt">
                            <v:imagedata r:id="rId18" o:title=""/>
                          </v:shape>
                        </w:pict>
                      </w:r>
                    </w:p>
                  </w:txbxContent>
                </v:textbox>
              </v:shape>
            </w:pict>
          </mc:Fallback>
        </mc:AlternateContent>
      </w:r>
    </w:p>
    <w:p w14:paraId="6CAE55DE" w14:textId="77777777" w:rsidR="00C844EE" w:rsidRPr="00C844EE" w:rsidRDefault="00C844EE" w:rsidP="00C844EE">
      <w:pPr>
        <w:jc w:val="both"/>
        <w:rPr>
          <w:lang w:val="en-GB"/>
        </w:rPr>
      </w:pPr>
    </w:p>
    <w:p w14:paraId="77212672" w14:textId="77777777" w:rsidR="00C844EE" w:rsidRPr="00C844EE" w:rsidRDefault="00C844EE" w:rsidP="00C844EE">
      <w:pPr>
        <w:jc w:val="both"/>
        <w:rPr>
          <w:lang w:val="en-GB"/>
        </w:rPr>
      </w:pPr>
    </w:p>
    <w:p w14:paraId="4DCCECE8" w14:textId="77777777" w:rsidR="00C844EE" w:rsidRPr="00C844EE" w:rsidRDefault="00C844EE" w:rsidP="00C844EE">
      <w:pPr>
        <w:jc w:val="both"/>
        <w:rPr>
          <w:lang w:val="en-GB"/>
        </w:rPr>
      </w:pPr>
    </w:p>
    <w:p w14:paraId="49A9661C" w14:textId="77777777" w:rsidR="00C844EE" w:rsidRPr="00C844EE" w:rsidRDefault="00C844EE" w:rsidP="00C844EE">
      <w:pPr>
        <w:jc w:val="both"/>
        <w:rPr>
          <w:lang w:val="en-GB"/>
        </w:rPr>
      </w:pPr>
    </w:p>
    <w:p w14:paraId="02BF143F" w14:textId="77777777" w:rsidR="00C844EE" w:rsidRPr="00C844EE" w:rsidRDefault="00C844EE" w:rsidP="00C844EE">
      <w:pPr>
        <w:jc w:val="both"/>
        <w:rPr>
          <w:lang w:val="en-GB"/>
        </w:rPr>
      </w:pPr>
    </w:p>
    <w:p w14:paraId="777860B7" w14:textId="77777777" w:rsidR="00C844EE" w:rsidRPr="00C844EE" w:rsidRDefault="00C844EE" w:rsidP="00C844EE">
      <w:pPr>
        <w:jc w:val="both"/>
        <w:rPr>
          <w:lang w:val="en-GB"/>
        </w:rPr>
      </w:pPr>
    </w:p>
    <w:p w14:paraId="602356A6" w14:textId="77777777" w:rsidR="00C844EE" w:rsidRPr="00C844EE" w:rsidRDefault="00C844EE" w:rsidP="00C844EE">
      <w:pPr>
        <w:jc w:val="both"/>
        <w:rPr>
          <w:lang w:val="en-GB"/>
        </w:rPr>
      </w:pPr>
    </w:p>
    <w:p w14:paraId="46C00D20" w14:textId="77777777" w:rsidR="00C844EE" w:rsidRPr="00C844EE" w:rsidRDefault="00C844EE" w:rsidP="00C844EE">
      <w:pPr>
        <w:jc w:val="both"/>
        <w:rPr>
          <w:lang w:val="en-GB"/>
        </w:rPr>
      </w:pPr>
    </w:p>
    <w:p w14:paraId="50C450E7" w14:textId="77777777" w:rsidR="00C844EE" w:rsidRPr="00C844EE" w:rsidRDefault="00C844EE" w:rsidP="00C844EE">
      <w:pPr>
        <w:jc w:val="both"/>
        <w:rPr>
          <w:lang w:val="en-GB"/>
        </w:rPr>
      </w:pPr>
    </w:p>
    <w:p w14:paraId="16608450" w14:textId="77777777" w:rsidR="00C844EE" w:rsidRPr="00C844EE" w:rsidRDefault="00C844EE" w:rsidP="00C844EE">
      <w:pPr>
        <w:jc w:val="both"/>
        <w:rPr>
          <w:lang w:val="en-GB"/>
        </w:rPr>
      </w:pPr>
    </w:p>
    <w:p w14:paraId="0FC0B51A" w14:textId="77777777" w:rsidR="00C844EE" w:rsidRPr="00C844EE" w:rsidRDefault="00C844EE" w:rsidP="00C844EE">
      <w:pPr>
        <w:jc w:val="both"/>
        <w:rPr>
          <w:lang w:val="en-GB"/>
        </w:rPr>
      </w:pPr>
    </w:p>
    <w:p w14:paraId="6EF05739"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154F091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Review also points to a number of ways in which the Bank could have greater impact going forward.</w:t>
      </w:r>
      <w:r w:rsidRPr="00C844EE">
        <w:rPr>
          <w:rFonts w:ascii="Times New Roman" w:hAnsi="Times New Roman" w:cs="Times New Roman"/>
          <w:sz w:val="24"/>
          <w:szCs w:val="24"/>
          <w:lang w:val="en-GB"/>
        </w:rPr>
        <w:t xml:space="preserve"> These include: (i) the importance of designing projects for strategic impact to increase the chance of project success; (ii) the opportunities that exist for leveraging private sector finance in support of development goals through innovative use of Bank funding; (iii) the benefits that accrue from effective cross-Bank Group working; (iv) the need to strengthen gender representation in our M&amp;E; (v) the need to draw on non-administrative sources of data to enable effective monitoring and evaluation of programs; (vi) the merit of close collaboration between Bank’s Integrity Unit (INT) and the Government’s audit agency when investigating allegations of fraud and corruption in Bank-financed projects.</w:t>
      </w:r>
    </w:p>
    <w:p w14:paraId="141B7F42" w14:textId="77777777" w:rsidR="00C844EE" w:rsidRPr="00C844EE" w:rsidRDefault="00C844EE" w:rsidP="007B5E57">
      <w:pPr>
        <w:numPr>
          <w:ilvl w:val="0"/>
          <w:numId w:val="23"/>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lastRenderedPageBreak/>
        <w:t>Review of Kenya’s progress toward country level goals</w:t>
      </w:r>
    </w:p>
    <w:p w14:paraId="7DEDD5A6" w14:textId="77777777" w:rsidR="00C844EE" w:rsidRPr="00C844EE" w:rsidRDefault="00C844EE" w:rsidP="00C844EE">
      <w:pPr>
        <w:spacing w:after="0" w:line="240" w:lineRule="auto"/>
        <w:ind w:left="720"/>
        <w:contextualSpacing/>
        <w:jc w:val="both"/>
        <w:rPr>
          <w:rFonts w:ascii="Times New Roman" w:hAnsi="Times New Roman" w:cs="Times New Roman"/>
          <w:sz w:val="24"/>
          <w:szCs w:val="24"/>
          <w:lang w:val="en-GB" w:eastAsia="en-GB"/>
        </w:rPr>
      </w:pPr>
    </w:p>
    <w:p w14:paraId="282A36DE"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Overall progress against the targets set out in the first Medium Term Plan (covering 2008-2012) has been good. </w:t>
      </w:r>
      <w:r w:rsidRPr="00C844EE">
        <w:rPr>
          <w:rFonts w:ascii="Times New Roman" w:hAnsi="Times New Roman" w:cs="Times New Roman"/>
          <w:sz w:val="24"/>
          <w:szCs w:val="24"/>
          <w:lang w:val="en-GB" w:eastAsia="en-GB"/>
        </w:rPr>
        <w:t>There has been good progress in all the main components of the Plan including growth and competitiveness, service delivery and human development, and governance.</w:t>
      </w:r>
    </w:p>
    <w:p w14:paraId="7687BC56" w14:textId="77777777" w:rsidR="00C844EE" w:rsidRPr="00C844EE" w:rsidRDefault="00C844EE" w:rsidP="00C844EE">
      <w:pPr>
        <w:spacing w:after="0" w:line="240" w:lineRule="auto"/>
        <w:contextualSpacing/>
        <w:rPr>
          <w:rFonts w:ascii="Times New Roman" w:hAnsi="Times New Roman" w:cs="Times New Roman"/>
          <w:b/>
          <w:i/>
          <w:sz w:val="24"/>
          <w:szCs w:val="24"/>
          <w:lang w:val="en-GB" w:eastAsia="en-GB"/>
        </w:rPr>
      </w:pPr>
    </w:p>
    <w:p w14:paraId="50511957" w14:textId="77777777" w:rsidR="00C844EE" w:rsidRPr="00C844EE" w:rsidRDefault="00C844EE" w:rsidP="007B5E57">
      <w:pPr>
        <w:numPr>
          <w:ilvl w:val="0"/>
          <w:numId w:val="22"/>
        </w:numPr>
        <w:autoSpaceDE w:val="0"/>
        <w:autoSpaceDN w:val="0"/>
        <w:adjustRightInd w:val="0"/>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rPr>
        <w:t>Growth and macroeconomic management have been strong in recent years.</w:t>
      </w:r>
      <w:r w:rsidRPr="00C844EE">
        <w:rPr>
          <w:rFonts w:ascii="Times New Roman" w:hAnsi="Times New Roman" w:cs="Times New Roman"/>
          <w:sz w:val="24"/>
          <w:szCs w:val="24"/>
          <w:lang w:val="en-GB"/>
        </w:rPr>
        <w:t xml:space="preserve"> Real GDP growth in Kenya during the 4 years from 2010 to 2013 is projected to average 5%, among the highest average rates of growth in the country of any 4 year period during the last three decades.</w:t>
      </w:r>
      <w:r w:rsidRPr="00C844EE">
        <w:rPr>
          <w:rFonts w:ascii="Times New Roman" w:hAnsi="Times New Roman" w:cs="Times New Roman"/>
          <w:sz w:val="24"/>
          <w:szCs w:val="24"/>
          <w:vertAlign w:val="superscript"/>
          <w:lang w:val="en-GB"/>
        </w:rPr>
        <w:endnoteReference w:id="1"/>
      </w:r>
      <w:r w:rsidRPr="00C844EE">
        <w:rPr>
          <w:rFonts w:ascii="Times New Roman" w:hAnsi="Times New Roman" w:cs="Times New Roman"/>
          <w:sz w:val="24"/>
          <w:szCs w:val="24"/>
          <w:lang w:val="en-GB"/>
        </w:rPr>
        <w:t xml:space="preserve"> </w:t>
      </w:r>
      <w:r w:rsidRPr="00C844EE">
        <w:rPr>
          <w:rFonts w:ascii="Times New Roman" w:hAnsi="Times New Roman" w:cs="Times New Roman"/>
          <w:sz w:val="24"/>
          <w:szCs w:val="24"/>
          <w:lang w:val="en-GB" w:eastAsia="en-GB"/>
        </w:rPr>
        <w:t>Fiscal performance has remained in line with the country’s IMF program requirements. Tax revenue has improved as a share of GDP (driven by VAT and excise tax collections). Meanwhile central government wages as a share of GDP remained stable which provided additional space in the budget for increased capital expenditure.</w:t>
      </w:r>
      <w:r w:rsidRPr="00C844EE">
        <w:rPr>
          <w:rFonts w:ascii="Times New Roman" w:hAnsi="Times New Roman" w:cs="Times New Roman"/>
          <w:sz w:val="24"/>
          <w:szCs w:val="24"/>
          <w:vertAlign w:val="superscript"/>
          <w:lang w:val="en-GB" w:eastAsia="en-GB"/>
        </w:rPr>
        <w:endnoteReference w:id="2"/>
      </w:r>
      <w:r w:rsidRPr="00C844EE">
        <w:rPr>
          <w:rFonts w:ascii="Times New Roman" w:hAnsi="Times New Roman" w:cs="Times New Roman"/>
          <w:sz w:val="24"/>
          <w:szCs w:val="24"/>
          <w:lang w:val="en-GB" w:eastAsia="en-GB"/>
        </w:rPr>
        <w:t xml:space="preserve"> Inflation, despite internal and external pressures and a number of spikes, has been kept to an average 8.1% during 2010 to 2013 (compared with 8.9% in the previous 4 years).</w:t>
      </w:r>
      <w:r w:rsidRPr="00C844EE">
        <w:rPr>
          <w:rFonts w:ascii="Times New Roman" w:hAnsi="Times New Roman" w:cs="Times New Roman"/>
          <w:sz w:val="24"/>
          <w:szCs w:val="24"/>
          <w:vertAlign w:val="superscript"/>
          <w:lang w:val="en-GB" w:eastAsia="en-GB"/>
        </w:rPr>
        <w:endnoteReference w:id="3"/>
      </w:r>
      <w:r w:rsidRPr="00C844EE">
        <w:rPr>
          <w:rFonts w:ascii="Times New Roman" w:hAnsi="Times New Roman" w:cs="Times New Roman"/>
          <w:sz w:val="24"/>
          <w:szCs w:val="24"/>
          <w:lang w:val="en-GB" w:eastAsia="en-GB"/>
        </w:rPr>
        <w:t xml:space="preserve"> Public debt, while still relatively high for an emerging economy, has fallen significantly</w:t>
      </w:r>
      <w:r w:rsidRPr="00C844EE">
        <w:rPr>
          <w:rFonts w:ascii="Times New Roman" w:hAnsi="Times New Roman" w:cs="Times New Roman"/>
          <w:sz w:val="24"/>
          <w:szCs w:val="24"/>
          <w:vertAlign w:val="superscript"/>
          <w:lang w:val="en-GB" w:eastAsia="en-GB"/>
        </w:rPr>
        <w:endnoteReference w:id="4"/>
      </w:r>
      <w:r w:rsidRPr="00C844EE">
        <w:rPr>
          <w:rFonts w:ascii="Times New Roman" w:hAnsi="Times New Roman" w:cs="Times New Roman"/>
          <w:sz w:val="24"/>
          <w:szCs w:val="24"/>
          <w:lang w:val="en-GB" w:eastAsia="en-GB"/>
        </w:rPr>
        <w:t xml:space="preserve"> and the financial system remains sound.</w:t>
      </w:r>
      <w:r w:rsidRPr="00C844EE">
        <w:rPr>
          <w:rFonts w:ascii="Times New Roman" w:hAnsi="Times New Roman" w:cs="Times New Roman"/>
          <w:sz w:val="24"/>
          <w:szCs w:val="24"/>
          <w:vertAlign w:val="superscript"/>
          <w:lang w:val="en-GB" w:eastAsia="en-GB"/>
        </w:rPr>
        <w:endnoteReference w:id="5"/>
      </w:r>
      <w:r w:rsidRPr="00C844EE">
        <w:rPr>
          <w:rFonts w:ascii="Times New Roman" w:hAnsi="Times New Roman" w:cs="Times New Roman"/>
          <w:sz w:val="24"/>
          <w:szCs w:val="24"/>
          <w:lang w:val="en-GB" w:eastAsia="en-GB"/>
        </w:rPr>
        <w:t xml:space="preserve"> While poverty levels have fallen somewhat alongside the pick-up in economic growth they are still high. The lack of any recent survey makes it difficult to estimate poverty rates precisely.</w:t>
      </w:r>
      <w:r w:rsidRPr="00C844EE">
        <w:rPr>
          <w:rFonts w:ascii="Times New Roman" w:hAnsi="Times New Roman" w:cs="Times New Roman"/>
          <w:sz w:val="24"/>
          <w:szCs w:val="24"/>
          <w:vertAlign w:val="superscript"/>
          <w:lang w:val="en-GB" w:eastAsia="en-GB"/>
        </w:rPr>
        <w:endnoteReference w:id="6"/>
      </w:r>
      <w:r w:rsidRPr="00C844EE">
        <w:rPr>
          <w:rFonts w:ascii="Times New Roman" w:hAnsi="Times New Roman" w:cs="Times New Roman"/>
          <w:sz w:val="24"/>
          <w:szCs w:val="24"/>
          <w:lang w:val="en-GB" w:eastAsia="en-GB"/>
        </w:rPr>
        <w:t xml:space="preserve">  Based on available data, however, poverty is estimated to have fallen from 44% in 2005 at the time of the last Household Budget Survey to between 32% and 41% by 2011, depending on how fast income inequality has fallen, with a base case estimate of 38%. However female headed households experience an incidence of poverty that is 5 percentage points higher than amongst male headed households. </w:t>
      </w:r>
    </w:p>
    <w:p w14:paraId="5246003C" w14:textId="77777777" w:rsidR="00C844EE" w:rsidRPr="00C844EE" w:rsidRDefault="00C844EE" w:rsidP="00C844EE">
      <w:pPr>
        <w:autoSpaceDE w:val="0"/>
        <w:autoSpaceDN w:val="0"/>
        <w:adjustRightInd w:val="0"/>
        <w:spacing w:after="0" w:line="240" w:lineRule="auto"/>
        <w:ind w:left="360"/>
        <w:contextualSpacing/>
        <w:jc w:val="both"/>
        <w:rPr>
          <w:rFonts w:ascii="Times New Roman" w:hAnsi="Times New Roman" w:cs="Times New Roman"/>
          <w:sz w:val="24"/>
          <w:szCs w:val="24"/>
          <w:lang w:val="en-GB" w:eastAsia="en-GB"/>
        </w:rPr>
      </w:pPr>
    </w:p>
    <w:p w14:paraId="6283F1A2"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Competitive conditions also improved.</w:t>
      </w:r>
      <w:r w:rsidRPr="00C844EE">
        <w:rPr>
          <w:rFonts w:ascii="Times New Roman" w:hAnsi="Times New Roman" w:cs="Times New Roman"/>
          <w:sz w:val="24"/>
          <w:szCs w:val="24"/>
          <w:lang w:val="en-GB" w:eastAsia="en-GB"/>
        </w:rPr>
        <w:t xml:space="preserve"> The regulatory environment for businesses in Kenya improved during 2010 to 2013 although not as much as in other countries. According to the 2012 Doing Business indicators, access to electricity and credit improved both in terms of lower costs and shorter time required. Insolvency procedures also improved. Starting a business also became cheaper albeit a slightly longer process. On the other hand the cost and time required for importing and obtaining construction permits worsened. Access to finance increased from just over 41% of the adult population in 2009 to nearly 67% in 2013 and the underlying ratio of credit-to-GDP increased from about 32% in 2010 to about 35% in 2013. The index of quality of trade and transport related infrastructure for Kenya edged up between 2010 and 2012. Overall performance in the transport sector improved in recent years as a result of higher public spending in the sector.</w:t>
      </w:r>
      <w:r w:rsidRPr="00C844EE">
        <w:rPr>
          <w:rFonts w:ascii="Times New Roman" w:hAnsi="Times New Roman" w:cs="Times New Roman"/>
          <w:sz w:val="24"/>
          <w:szCs w:val="24"/>
          <w:vertAlign w:val="superscript"/>
          <w:lang w:val="en-GB" w:eastAsia="en-GB"/>
        </w:rPr>
        <w:endnoteReference w:id="7"/>
      </w:r>
      <w:r w:rsidRPr="00C844EE">
        <w:rPr>
          <w:rFonts w:ascii="Times New Roman" w:hAnsi="Times New Roman" w:cs="Times New Roman"/>
          <w:sz w:val="24"/>
          <w:szCs w:val="24"/>
          <w:lang w:val="en-GB" w:eastAsia="en-GB"/>
        </w:rPr>
        <w:t xml:space="preserve"> However although the extent of the road network in Kenya compares favorably with its neighbours, quality needs to improve as more than half of roads (56%) are in poor condition as a result of inadequate maintenance. The port of Mombasa and Jomo Kenyatta International Airport perform considerably below international standards and represent a bottleneck. The performance of railways continues to disappoint due to dilapidated infrastructure and poor management. </w:t>
      </w:r>
    </w:p>
    <w:p w14:paraId="7AD9CD02"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eastAsia="en-GB"/>
        </w:rPr>
      </w:pPr>
    </w:p>
    <w:p w14:paraId="109ABAE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sz w:val="24"/>
          <w:szCs w:val="24"/>
          <w:lang w:val="en-GB" w:eastAsia="en-GB"/>
        </w:rPr>
        <w:t xml:space="preserve">In the energy sector Kenya has advanced rapidly (annual electricity production increased from approximately 6900 GWh in to 7800 GWh between 2009 and 2011) although it lags behind countries in Asia and Latin America at similar income levels. For example, the number of households with access to electricity doubled between 2008 and 2013 to 2 million </w:t>
      </w:r>
      <w:r w:rsidRPr="00C844EE">
        <w:rPr>
          <w:rFonts w:ascii="Times New Roman" w:hAnsi="Times New Roman" w:cs="Times New Roman"/>
          <w:sz w:val="24"/>
          <w:szCs w:val="24"/>
          <w:lang w:val="en-GB" w:eastAsia="en-GB"/>
        </w:rPr>
        <w:lastRenderedPageBreak/>
        <w:t>customers.</w:t>
      </w:r>
      <w:r w:rsidRPr="00C844EE">
        <w:rPr>
          <w:rFonts w:ascii="Times New Roman" w:hAnsi="Times New Roman" w:cs="Times New Roman"/>
          <w:sz w:val="24"/>
          <w:szCs w:val="24"/>
          <w:vertAlign w:val="superscript"/>
          <w:lang w:val="en-GB" w:eastAsia="en-GB"/>
        </w:rPr>
        <w:t xml:space="preserve"> </w:t>
      </w:r>
      <w:r w:rsidRPr="00C844EE">
        <w:rPr>
          <w:rFonts w:ascii="Times New Roman" w:hAnsi="Times New Roman" w:cs="Times New Roman"/>
          <w:sz w:val="24"/>
          <w:szCs w:val="24"/>
          <w:vertAlign w:val="superscript"/>
          <w:lang w:val="en-GB" w:eastAsia="en-GB"/>
        </w:rPr>
        <w:endnoteReference w:id="8"/>
      </w:r>
      <w:r w:rsidRPr="00C844EE">
        <w:rPr>
          <w:rFonts w:ascii="Times New Roman" w:hAnsi="Times New Roman" w:cs="Times New Roman"/>
          <w:sz w:val="24"/>
          <w:szCs w:val="24"/>
          <w:lang w:val="en-GB" w:eastAsia="en-GB"/>
        </w:rPr>
        <w:t xml:space="preserve"> Yet coverage at 30% is well below countries such as Ghana where it is over 50%.</w:t>
      </w:r>
      <w:r w:rsidRPr="00C844EE">
        <w:rPr>
          <w:rFonts w:ascii="Times New Roman" w:hAnsi="Times New Roman" w:cs="Times New Roman"/>
          <w:sz w:val="24"/>
          <w:szCs w:val="24"/>
          <w:vertAlign w:val="superscript"/>
          <w:lang w:val="en-GB" w:eastAsia="en-GB"/>
        </w:rPr>
        <w:endnoteReference w:id="9"/>
      </w:r>
      <w:r w:rsidRPr="00C844EE">
        <w:rPr>
          <w:rFonts w:ascii="Times New Roman" w:hAnsi="Times New Roman" w:cs="Times New Roman"/>
          <w:sz w:val="24"/>
          <w:szCs w:val="24"/>
          <w:lang w:val="en-GB" w:eastAsia="en-GB"/>
        </w:rPr>
        <w:t xml:space="preserve">  In the area of ICT a mobile revolution has swept the country in recent years.</w:t>
      </w:r>
      <w:r w:rsidRPr="00C844EE">
        <w:rPr>
          <w:rFonts w:ascii="Times New Roman" w:hAnsi="Times New Roman" w:cs="Times New Roman"/>
          <w:sz w:val="24"/>
          <w:szCs w:val="24"/>
          <w:vertAlign w:val="superscript"/>
          <w:lang w:val="en-GB" w:eastAsia="en-GB"/>
        </w:rPr>
        <w:endnoteReference w:id="10"/>
      </w:r>
      <w:r w:rsidRPr="00C844EE">
        <w:rPr>
          <w:rFonts w:ascii="Times New Roman" w:hAnsi="Times New Roman" w:cs="Times New Roman"/>
          <w:sz w:val="24"/>
          <w:szCs w:val="24"/>
          <w:lang w:val="en-GB" w:eastAsia="en-GB"/>
        </w:rPr>
        <w:t xml:space="preserve">  Access to water increased (from 59% of households to nearly 61%) between 2009 and 2011, albeit from a low base. Water in Kenya is a critically scarce resource. The country’s per capita water storage capacity of 526 m3 places it in the bottom 8% of countries world-wide</w:t>
      </w:r>
      <w:r w:rsidRPr="00C844EE">
        <w:rPr>
          <w:rFonts w:ascii="Times New Roman" w:hAnsi="Times New Roman" w:cs="Times New Roman"/>
          <w:b/>
          <w:sz w:val="24"/>
          <w:szCs w:val="24"/>
          <w:lang w:val="en-GB" w:eastAsia="en-GB"/>
        </w:rPr>
        <w:t>.</w:t>
      </w:r>
      <w:r w:rsidRPr="00C844EE">
        <w:rPr>
          <w:rFonts w:ascii="Times New Roman" w:hAnsi="Times New Roman" w:cs="Times New Roman"/>
          <w:sz w:val="24"/>
          <w:szCs w:val="24"/>
          <w:lang w:val="en-GB" w:eastAsia="en-GB"/>
        </w:rPr>
        <w:t xml:space="preserve"> </w:t>
      </w:r>
    </w:p>
    <w:p w14:paraId="1B018025"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eastAsia="en-GB"/>
        </w:rPr>
      </w:pPr>
    </w:p>
    <w:p w14:paraId="239DDCD1" w14:textId="77777777" w:rsidR="00C844EE" w:rsidRPr="00614D5C"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614D5C">
        <w:rPr>
          <w:rFonts w:ascii="Times New Roman" w:hAnsi="Times New Roman" w:cs="Times New Roman"/>
          <w:b/>
          <w:sz w:val="24"/>
          <w:szCs w:val="24"/>
          <w:lang w:val="en-GB" w:eastAsia="en-GB"/>
        </w:rPr>
        <w:t>There were key advances in the social sectors.</w:t>
      </w:r>
      <w:r w:rsidRPr="00614D5C">
        <w:rPr>
          <w:rFonts w:ascii="Times New Roman" w:hAnsi="Times New Roman" w:cs="Times New Roman"/>
          <w:sz w:val="24"/>
          <w:szCs w:val="24"/>
          <w:lang w:val="en-GB" w:eastAsia="en-GB"/>
        </w:rPr>
        <w:t xml:space="preserve"> In health there was very good progress in reducing communicable diseases and child mortality although key challenges remain particularly to reduce maternal mortality and to reverse stubbornly high levels of child stunting.</w:t>
      </w:r>
      <w:r w:rsidRPr="00614D5C">
        <w:rPr>
          <w:rFonts w:ascii="Times New Roman" w:hAnsi="Times New Roman" w:cs="Times New Roman"/>
          <w:sz w:val="24"/>
          <w:szCs w:val="24"/>
          <w:vertAlign w:val="superscript"/>
          <w:lang w:val="en-GB" w:eastAsia="en-GB"/>
        </w:rPr>
        <w:endnoteReference w:id="11"/>
      </w:r>
      <w:r w:rsidRPr="00614D5C">
        <w:rPr>
          <w:rFonts w:ascii="Times New Roman" w:hAnsi="Times New Roman" w:cs="Times New Roman"/>
          <w:sz w:val="24"/>
          <w:szCs w:val="24"/>
          <w:lang w:val="en-GB" w:eastAsia="en-GB"/>
        </w:rPr>
        <w:t xml:space="preserve"> Successive demographic health surveys show that child mortality rates declined by over a third and the recent national immunization survey (2012) suggests that Kenya has achieved full immunization coverage among eligible children i.e. close to 80%. The recent Kenya AIDS indicators Survey (2012) shows that National HIV prevalence has reduced from 7.2% in 2007 to 5.6%. HIV testing has increased significantly with 72% of adults in 2012 reporting having been tested for HIV compared to 34% reported in 2007.  The proportion of sexually active youth (15 -24 years) who report having had sex with a non-spousal, non-regular partner in the past 12 months has drastically reduced from 33% and 83%  respectively for females and males (2008 KDHS) to 2.7% and 23.7%.  More data will become available when the latest Demographic and Health Survey is completed (the last one dates from 2008). Other key achievements in recent years include the rehabilitation of 70% of health facilities; delinking the Ministry of Health from service delivery; and the establishment of community units to enable households and communities to take charge of improving their own health.</w:t>
      </w:r>
      <w:r w:rsidRPr="00614D5C">
        <w:rPr>
          <w:rFonts w:ascii="Times New Roman" w:hAnsi="Times New Roman" w:cs="Times New Roman"/>
          <w:sz w:val="24"/>
          <w:szCs w:val="24"/>
          <w:vertAlign w:val="superscript"/>
          <w:lang w:val="en-GB" w:eastAsia="en-GB"/>
        </w:rPr>
        <w:endnoteReference w:id="12"/>
      </w:r>
      <w:r w:rsidRPr="00614D5C">
        <w:rPr>
          <w:rFonts w:ascii="Times New Roman" w:hAnsi="Times New Roman" w:cs="Times New Roman"/>
          <w:sz w:val="24"/>
          <w:szCs w:val="24"/>
          <w:lang w:val="en-GB" w:eastAsia="en-GB"/>
        </w:rPr>
        <w:t xml:space="preserve"> Likewise in education there has been significant progress at all levels. The primary school net enrolment rate rose from 92.5% in 2008 to 95.3% in 2012 as did completion rates (from 79.8% to 80.3%). Primary transition rates also improved from 64.1% to 76.6%. Enrolment rates in secondary school equivalent rose from 28.9% in 2008 to 33.1% in 2012. The number of students in university education rose from under 123,000 in 2008 to over 240,000 in 2012. </w:t>
      </w:r>
    </w:p>
    <w:p w14:paraId="7A2CFB70"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2AB6FCC3" w14:textId="77777777" w:rsidR="00C844EE" w:rsidRPr="00C844EE" w:rsidRDefault="00C844EE" w:rsidP="007B5E57">
      <w:pPr>
        <w:numPr>
          <w:ilvl w:val="0"/>
          <w:numId w:val="22"/>
        </w:numPr>
        <w:autoSpaceDE w:val="0"/>
        <w:autoSpaceDN w:val="0"/>
        <w:adjustRightInd w:val="0"/>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sz w:val="24"/>
          <w:szCs w:val="24"/>
          <w:lang w:val="en-GB" w:eastAsia="en-GB"/>
        </w:rPr>
        <w:t>Kenya has also increased its focus on social protection. Social protection spending increased steadily between 2005 and 2010 informed by a new sectoral strategy (supported by the Bank). The coverage of cash transfer programmes has grown significantly. The Government of Kenya’s five main cash transfer programmes ‒ the Older Persons Cash Transfer (OPCT), the Cash Transfers to Orphans and Vulnerable Children (CT-OVC), the Hunger Safety Net Programme (HSNP), the Urban Food Subsidy Cash Transfer (UFS-CT), and the Persons with Severe Disability Cash Transfer (PWSD-CT) ‒ have collectively increased their coverage more than tenfold since 2005 and currently provide regular support to 1.6 million people in 279,843 households or 4% of the population. The number of households receiving timely payments under the OVC program, supported by the Bank, increased by over 55,000 between 2009 and 2012. With these gains, cash transfers now cover almost half (an estimated 46.6%) of the absolute poor population, and coverage should be expanded in the future.</w:t>
      </w:r>
    </w:p>
    <w:p w14:paraId="490B8F18"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5B7D65C8"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country has taken steps to safeguard natural resources but more is required.</w:t>
      </w:r>
      <w:r w:rsidRPr="00C844EE">
        <w:rPr>
          <w:rFonts w:ascii="Times New Roman" w:hAnsi="Times New Roman" w:cs="Times New Roman"/>
          <w:sz w:val="24"/>
          <w:szCs w:val="24"/>
          <w:lang w:val="en-GB" w:eastAsia="en-GB"/>
        </w:rPr>
        <w:t xml:space="preserve"> Sound environmental conservation measures are key to confronting the growing risks of temperature and rainfall variability and change in Kenya. These include better water management and increasing the area covered by forest. Currently just over 5.5% of the </w:t>
      </w:r>
      <w:r w:rsidRPr="00C844EE">
        <w:rPr>
          <w:rFonts w:ascii="Times New Roman" w:hAnsi="Times New Roman" w:cs="Times New Roman"/>
          <w:sz w:val="24"/>
          <w:szCs w:val="24"/>
          <w:lang w:val="en-GB" w:eastAsia="en-GB"/>
        </w:rPr>
        <w:lastRenderedPageBreak/>
        <w:t>country is covered by forest.  Kenya’s Vision 2030 aims to increase the share of forest set aside for soil, water, biodiversity, carbon sequestration and other ecological services to 10% by 2030 from 4% in 2012. While Government Forest Plantation Stocking has increased from 112,700 hectares in 2009 to 121,700 hectares in 2011 this increase is low relative to what has been achieved in other African countries.</w:t>
      </w:r>
      <w:r w:rsidRPr="00C844EE">
        <w:rPr>
          <w:rFonts w:ascii="Times New Roman" w:hAnsi="Times New Roman" w:cs="Times New Roman"/>
          <w:sz w:val="24"/>
          <w:szCs w:val="24"/>
          <w:vertAlign w:val="superscript"/>
          <w:lang w:val="en-GB" w:eastAsia="en-GB"/>
        </w:rPr>
        <w:endnoteReference w:id="13"/>
      </w:r>
      <w:r w:rsidRPr="00C844EE">
        <w:rPr>
          <w:rFonts w:ascii="Times New Roman" w:hAnsi="Times New Roman" w:cs="Times New Roman"/>
          <w:sz w:val="24"/>
          <w:szCs w:val="24"/>
          <w:lang w:val="en-GB" w:eastAsia="en-GB"/>
        </w:rPr>
        <w:t xml:space="preserve"> Only a small percentage of agricultural land </w:t>
      </w:r>
      <w:r w:rsidR="00614D5C">
        <w:rPr>
          <w:rFonts w:ascii="Times New Roman" w:hAnsi="Times New Roman" w:cs="Times New Roman"/>
          <w:sz w:val="24"/>
          <w:szCs w:val="24"/>
          <w:lang w:val="en-GB" w:eastAsia="en-GB"/>
        </w:rPr>
        <w:t xml:space="preserve">        </w:t>
      </w:r>
      <w:r w:rsidRPr="00C844EE">
        <w:rPr>
          <w:rFonts w:ascii="Times New Roman" w:hAnsi="Times New Roman" w:cs="Times New Roman"/>
          <w:sz w:val="24"/>
          <w:szCs w:val="24"/>
          <w:lang w:val="en-GB" w:eastAsia="en-GB"/>
        </w:rPr>
        <w:t xml:space="preserve">( 0.036%) was irrigated in 2009. </w:t>
      </w:r>
    </w:p>
    <w:p w14:paraId="74B6903B"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1AC81AD3"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 xml:space="preserve">There has been notable progress in the area of governance. </w:t>
      </w:r>
      <w:r w:rsidRPr="00C844EE">
        <w:rPr>
          <w:rFonts w:ascii="Times New Roman" w:hAnsi="Times New Roman" w:cs="Times New Roman"/>
          <w:sz w:val="24"/>
          <w:szCs w:val="24"/>
          <w:lang w:val="en-GB" w:eastAsia="en-GB"/>
        </w:rPr>
        <w:t xml:space="preserve"> The new Constitution and Public Financial Management (PFM) Act of 2012 helped, inter alia, clarify PFM roles and responsibilities, assigning responsibility for </w:t>
      </w:r>
      <w:r w:rsidRPr="00C844EE">
        <w:rPr>
          <w:rFonts w:ascii="Times New Roman" w:hAnsi="Times New Roman" w:cs="Times New Roman"/>
          <w:sz w:val="24"/>
          <w:szCs w:val="24"/>
          <w:lang w:eastAsia="en-GB"/>
        </w:rPr>
        <w:t xml:space="preserve">confirming whether or not public money has been applied lawfully and in an effective way to the Auditor General; authorization of withdrawals from public funds to the Controller of Budget who reports to Parliament every 4 months; and accounting to the National and County Treasury. Other developments included the passing </w:t>
      </w:r>
      <w:r w:rsidRPr="00C844EE">
        <w:rPr>
          <w:rFonts w:ascii="Times New Roman" w:hAnsi="Times New Roman" w:cs="Times New Roman"/>
          <w:sz w:val="24"/>
          <w:szCs w:val="24"/>
          <w:lang w:val="en-GB" w:eastAsia="en-GB"/>
        </w:rPr>
        <w:t>of a County Government Act and establishment of 47 elected county governor positions and county assemblies; an overhaul of the judiciary including public vetting of key public appointments; a new Senate; legal framework and bodies needed to implement the new Constitution; accelerated roll out of the IFMIS; consolidation of a number of government ministries; and increased emphasis on transparency and downward accountability to citizens (discussed further below under program performance).</w:t>
      </w:r>
    </w:p>
    <w:p w14:paraId="09B9E001"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3AD3478D"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But Kenya’s poor record on governance has a long history, runs deep and will take time to turn around.</w:t>
      </w:r>
      <w:r w:rsidRPr="00C844EE">
        <w:rPr>
          <w:rFonts w:ascii="Times New Roman" w:hAnsi="Times New Roman" w:cs="Times New Roman"/>
          <w:sz w:val="24"/>
          <w:szCs w:val="24"/>
          <w:lang w:val="en-GB" w:eastAsia="en-GB"/>
        </w:rPr>
        <w:t xml:space="preserve"> Among Kenya’s Public Expenditure and Financial Accountability (PEFA) report scores in 2012, the degree of policy-based budgeting and predictability in budget execution received the highest scores while accounting, recording and reporting and donor practices received the lowest scores. Enactment of the 2012 PFM Act should help to underpin the progress of key reforms in this area.  CPIA scores for public sector management improved slightly from 3.3 to 3.4 between 2010 and 2012. More specifically Kenya’s poor record on transparency and accountability continue to be a constraint on development. Kenya’s position in the 2012 Transparency International Index is 19</w:t>
      </w:r>
      <w:r w:rsidRPr="00C844EE">
        <w:rPr>
          <w:rFonts w:ascii="Times New Roman" w:hAnsi="Times New Roman" w:cs="Times New Roman"/>
          <w:sz w:val="24"/>
          <w:szCs w:val="24"/>
          <w:vertAlign w:val="superscript"/>
          <w:lang w:val="en-GB" w:eastAsia="en-GB"/>
        </w:rPr>
        <w:t>th</w:t>
      </w:r>
      <w:r w:rsidRPr="00C844EE">
        <w:rPr>
          <w:rFonts w:ascii="Times New Roman" w:hAnsi="Times New Roman" w:cs="Times New Roman"/>
          <w:sz w:val="24"/>
          <w:szCs w:val="24"/>
          <w:lang w:val="en-GB" w:eastAsia="en-GB"/>
        </w:rPr>
        <w:t xml:space="preserve"> out of 23 among sub-Saharan countries that have been major recipients of Bank funding since 2000. Its CPIA score for transparency, accountability and corruption remained at 3 during the CPS period. Kenya’s score in the 2012 Open</w:t>
      </w:r>
      <w:r w:rsidR="00614D5C">
        <w:rPr>
          <w:rFonts w:ascii="Times New Roman" w:hAnsi="Times New Roman" w:cs="Times New Roman"/>
          <w:sz w:val="24"/>
          <w:szCs w:val="24"/>
          <w:lang w:val="en-GB" w:eastAsia="en-GB"/>
        </w:rPr>
        <w:t xml:space="preserve"> </w:t>
      </w:r>
      <w:r w:rsidRPr="00C844EE">
        <w:rPr>
          <w:rFonts w:ascii="Times New Roman" w:hAnsi="Times New Roman" w:cs="Times New Roman"/>
          <w:sz w:val="24"/>
          <w:szCs w:val="24"/>
          <w:lang w:val="en-GB" w:eastAsia="en-GB"/>
        </w:rPr>
        <w:t>Budget Survey was 49 (same as 2010); in-year reporting showing a marked improvement but there was a fall in the information made available around the enacted budget. Problems of ineligibility of financial claims, allegations of fraud and corruption in service delivery and district administered development projects that arose during the previous CPS period (FY04-FY09) led to the suspension of three World Bank projects and impacted on results during FY10-FY13. These suspensions and the actions taken by Government and the Bank to address them are further discussed below.</w:t>
      </w:r>
    </w:p>
    <w:p w14:paraId="566CC71C"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261F63AD" w14:textId="77777777" w:rsidR="00C844EE" w:rsidRPr="00C844EE" w:rsidRDefault="00C844EE" w:rsidP="007B5E57">
      <w:pPr>
        <w:numPr>
          <w:ilvl w:val="0"/>
          <w:numId w:val="23"/>
        </w:numPr>
        <w:spacing w:after="0" w:line="240" w:lineRule="auto"/>
        <w:contextualSpacing/>
        <w:jc w:val="both"/>
        <w:rPr>
          <w:rFonts w:ascii="Times New Roman" w:hAnsi="Times New Roman" w:cs="Times New Roman"/>
          <w:b/>
          <w:sz w:val="24"/>
          <w:szCs w:val="24"/>
          <w:lang w:val="en-GB" w:eastAsia="en-GB"/>
        </w:rPr>
      </w:pPr>
      <w:r w:rsidRPr="00C844EE">
        <w:rPr>
          <w:rFonts w:ascii="Times New Roman" w:hAnsi="Times New Roman" w:cs="Times New Roman"/>
          <w:b/>
          <w:sz w:val="24"/>
          <w:szCs w:val="24"/>
          <w:lang w:val="en-GB" w:eastAsia="en-GB"/>
        </w:rPr>
        <w:t xml:space="preserve">Highlights of program performance </w:t>
      </w:r>
    </w:p>
    <w:p w14:paraId="1D3FA9E8" w14:textId="77777777" w:rsidR="00C844EE" w:rsidRPr="00C844EE" w:rsidRDefault="00C844EE" w:rsidP="00C844EE">
      <w:pPr>
        <w:spacing w:after="0" w:line="240" w:lineRule="auto"/>
        <w:ind w:left="720"/>
        <w:contextualSpacing/>
        <w:jc w:val="both"/>
        <w:rPr>
          <w:rFonts w:ascii="Times New Roman" w:hAnsi="Times New Roman" w:cs="Times New Roman"/>
          <w:b/>
          <w:sz w:val="24"/>
          <w:szCs w:val="24"/>
          <w:lang w:val="en-GB" w:eastAsia="en-GB"/>
        </w:rPr>
      </w:pPr>
    </w:p>
    <w:p w14:paraId="2E65FCC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 xml:space="preserve">The CPS Program in Kenya during FY10-13 </w:t>
      </w:r>
      <w:r w:rsidRPr="00C844EE">
        <w:rPr>
          <w:rFonts w:ascii="Times New Roman" w:hAnsi="Times New Roman" w:cs="Times New Roman"/>
          <w:b/>
          <w:bCs/>
          <w:iCs/>
          <w:sz w:val="24"/>
          <w:szCs w:val="24"/>
        </w:rPr>
        <w:t>achieved, or mostly achieved, the majority of its objectives.</w:t>
      </w:r>
      <w:r w:rsidRPr="00C844EE">
        <w:rPr>
          <w:rFonts w:ascii="Times New Roman" w:hAnsi="Times New Roman" w:cs="Times New Roman"/>
          <w:bCs/>
          <w:iCs/>
          <w:sz w:val="24"/>
          <w:szCs w:val="24"/>
        </w:rPr>
        <w:t xml:space="preserve"> </w:t>
      </w:r>
      <w:r w:rsidRPr="00C844EE">
        <w:rPr>
          <w:rFonts w:ascii="Times New Roman" w:hAnsi="Times New Roman" w:cs="Times New Roman"/>
          <w:sz w:val="24"/>
          <w:szCs w:val="24"/>
        </w:rPr>
        <w:t>Consequently the overall rating for program performance is moderately satisfactory.  Details of the evaluation are contained in the results matrix and highlights are summarized below.</w:t>
      </w:r>
    </w:p>
    <w:p w14:paraId="199E38EE"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65FABA81"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lastRenderedPageBreak/>
        <w:t>Pillar 1: Unleashing Kenya’s growth potential</w:t>
      </w:r>
    </w:p>
    <w:p w14:paraId="5ED1E1F8" w14:textId="77777777" w:rsidR="00614D5C" w:rsidRPr="00614D5C" w:rsidRDefault="00C844EE" w:rsidP="00C844EE">
      <w:pPr>
        <w:numPr>
          <w:ilvl w:val="0"/>
          <w:numId w:val="22"/>
        </w:numPr>
        <w:spacing w:after="0" w:line="240" w:lineRule="auto"/>
        <w:contextualSpacing/>
        <w:jc w:val="both"/>
        <w:rPr>
          <w:lang w:val="en-GB"/>
        </w:rPr>
      </w:pPr>
      <w:r w:rsidRPr="00614D5C">
        <w:rPr>
          <w:rFonts w:ascii="Times New Roman" w:hAnsi="Times New Roman" w:cs="Times New Roman"/>
          <w:b/>
          <w:sz w:val="24"/>
          <w:szCs w:val="24"/>
          <w:lang w:val="en-GB" w:eastAsia="en-GB"/>
        </w:rPr>
        <w:t>Overall this outcome was mostly achieved</w:t>
      </w:r>
      <w:r w:rsidRPr="00614D5C">
        <w:rPr>
          <w:rFonts w:ascii="Times New Roman" w:hAnsi="Times New Roman" w:cs="Times New Roman"/>
          <w:sz w:val="24"/>
          <w:szCs w:val="24"/>
          <w:lang w:val="en-GB" w:eastAsia="en-GB"/>
        </w:rPr>
        <w:t xml:space="preserve"> with the improved business environment outcome partially achieved; combined outcome for improved core infrastructure mostly achieved, and enhanced agriculture productivity mostly achieved.</w:t>
      </w:r>
    </w:p>
    <w:p w14:paraId="34D6D1A5" w14:textId="77777777" w:rsidR="00614D5C" w:rsidRPr="00614D5C" w:rsidRDefault="00614D5C" w:rsidP="00614D5C">
      <w:pPr>
        <w:spacing w:after="0" w:line="240" w:lineRule="auto"/>
        <w:ind w:left="360"/>
        <w:contextualSpacing/>
        <w:jc w:val="both"/>
        <w:rPr>
          <w:lang w:val="en-GB"/>
        </w:rPr>
      </w:pPr>
    </w:p>
    <w:p w14:paraId="303565A8" w14:textId="77777777" w:rsidR="00C844EE" w:rsidRPr="00C844EE" w:rsidRDefault="00C844EE" w:rsidP="00C844EE">
      <w:pPr>
        <w:jc w:val="both"/>
        <w:rPr>
          <w:rFonts w:ascii="Times New Roman" w:hAnsi="Times New Roman" w:cs="Times New Roman"/>
          <w:b/>
          <w:sz w:val="24"/>
          <w:szCs w:val="24"/>
          <w:lang w:val="en-GB"/>
        </w:rPr>
      </w:pPr>
      <w:r w:rsidRPr="00C844EE">
        <w:rPr>
          <w:lang w:val="en-GB"/>
        </w:rPr>
        <w:t xml:space="preserve"> </w:t>
      </w:r>
      <w:r w:rsidRPr="00C844EE">
        <w:rPr>
          <w:rFonts w:ascii="Times New Roman" w:hAnsi="Times New Roman" w:cs="Times New Roman"/>
          <w:b/>
          <w:i/>
          <w:sz w:val="24"/>
          <w:szCs w:val="24"/>
          <w:lang w:val="en-GB"/>
        </w:rPr>
        <w:t>CPS outcome: An improved business environment and competitiveness</w:t>
      </w:r>
    </w:p>
    <w:p w14:paraId="0B89B926"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This objective was partially achieved.</w:t>
      </w:r>
      <w:r w:rsidRPr="00C844EE">
        <w:rPr>
          <w:rFonts w:ascii="Times New Roman" w:hAnsi="Times New Roman" w:cs="Times New Roman"/>
          <w:sz w:val="24"/>
          <w:szCs w:val="24"/>
          <w:lang w:val="en-GB" w:eastAsia="en-GB"/>
        </w:rPr>
        <w:t xml:space="preserve"> In particular improvements to the regulatory environment for SMEs occurred, although not to the extent targeted in the CPS results matrix. The CPS targets for access to finance on the other hand were fully achieved. </w:t>
      </w:r>
    </w:p>
    <w:p w14:paraId="3D90957C"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6EC3961A"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CPS program in business environment and competitiveness was broad-based and involved close working between the Bank and IFC.</w:t>
      </w:r>
      <w:r w:rsidRPr="00C844EE">
        <w:rPr>
          <w:rFonts w:ascii="Times New Roman" w:hAnsi="Times New Roman" w:cs="Times New Roman"/>
          <w:sz w:val="24"/>
          <w:szCs w:val="24"/>
          <w:lang w:val="en-GB" w:eastAsia="en-GB"/>
        </w:rPr>
        <w:t xml:space="preserve"> It contributed to an improvement in Kenya’s business environment and competitiveness across a very wide front including supporting access to finance, skills and markets for MSMEs and trade logistics assistance; support for strategic, legal, regulatory and structural reforms in the financial sector as well as improvements in the national payments system and in debt management; strengthening the environment for foreign investment including support for a Special Economic Zone. </w:t>
      </w:r>
    </w:p>
    <w:p w14:paraId="60625E67"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38CC721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IFC led a number of initiatives in the area of access to finance </w:t>
      </w:r>
      <w:r w:rsidRPr="00C844EE">
        <w:rPr>
          <w:rFonts w:ascii="Times New Roman" w:hAnsi="Times New Roman" w:cs="Times New Roman"/>
          <w:sz w:val="24"/>
          <w:szCs w:val="24"/>
          <w:lang w:val="en-GB" w:eastAsia="en-GB"/>
        </w:rPr>
        <w:t xml:space="preserve">and has played an important role enabling Kenya’s banks to increase their lending to SMEs. IFC senior loans in 2011-2013 to Co-op Bank ($60 million), KCB ($140 million) and Equity Bank ($100 million) all represented fresh engagements (an earlier relationship with KCB had ended in the mid-1990s). These loans helped banks diversify their funding sources, reduce balance sheet risk, and increase their lending to SMEs. IFC also financed banks </w:t>
      </w:r>
      <w:r w:rsidRPr="00C844EE">
        <w:rPr>
          <w:rFonts w:ascii="Times New Roman" w:hAnsi="Times New Roman" w:cs="Times New Roman"/>
          <w:bCs/>
          <w:sz w:val="24"/>
          <w:szCs w:val="24"/>
          <w:lang w:val="en-GB" w:eastAsia="en-GB"/>
        </w:rPr>
        <w:t xml:space="preserve">with a unique market niche, with the potential to drive innovation and address underserved markets. An example of this is </w:t>
      </w:r>
      <w:r w:rsidRPr="00C844EE">
        <w:rPr>
          <w:rFonts w:ascii="Times New Roman" w:hAnsi="Times New Roman" w:cs="Times New Roman"/>
          <w:sz w:val="24"/>
          <w:szCs w:val="24"/>
          <w:lang w:val="en-GB" w:eastAsia="en-GB"/>
        </w:rPr>
        <w:t>IFC’s $5 million equity investment in December 2012 in Gulf African Bank (GAB), Kenya's first shariah-compliant bank. This investment gave GAB added credibility in the market, helping it expand an important banking niche. IFC also supported banks to increase lending to the real sector - e.g. agribusiness and infrastructure. IFC also provided 21 trade finance guarantees to nine banks – starting with $36.6 million in FY10 and reaching $163 million in FY12 thereby supporting external trade and boosting bank liquidity.</w:t>
      </w:r>
    </w:p>
    <w:p w14:paraId="164243BD"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072D598B" w14:textId="77777777" w:rsidR="00C844EE" w:rsidRPr="00C844EE" w:rsidRDefault="00C844EE" w:rsidP="00C844EE">
      <w:pPr>
        <w:spacing w:after="0" w:line="240" w:lineRule="auto"/>
        <w:ind w:left="360"/>
        <w:contextualSpacing/>
        <w:jc w:val="both"/>
        <w:rPr>
          <w:rFonts w:ascii="Times New Roman" w:hAnsi="Times New Roman" w:cs="Times New Roman"/>
          <w:b/>
          <w:i/>
          <w:sz w:val="24"/>
          <w:szCs w:val="24"/>
          <w:lang w:val="en-GB" w:eastAsia="en-GB"/>
        </w:rPr>
      </w:pPr>
      <w:r w:rsidRPr="00C844EE">
        <w:rPr>
          <w:rFonts w:ascii="Times New Roman" w:hAnsi="Times New Roman" w:cs="Times New Roman"/>
          <w:b/>
          <w:i/>
          <w:sz w:val="24"/>
          <w:szCs w:val="24"/>
          <w:lang w:val="en-GB" w:eastAsia="en-GB"/>
        </w:rPr>
        <w:t>CPS outcome: Improved core infrastructure with deeper regional integration: transport, energy, water, ICT</w:t>
      </w:r>
    </w:p>
    <w:p w14:paraId="71D0DF97"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751EA999"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Overall this objective was mostly achieved</w:t>
      </w:r>
      <w:r w:rsidRPr="00C844EE">
        <w:rPr>
          <w:rFonts w:ascii="Times New Roman" w:hAnsi="Times New Roman" w:cs="Times New Roman"/>
          <w:sz w:val="24"/>
          <w:szCs w:val="24"/>
          <w:lang w:val="en-GB" w:eastAsia="en-GB"/>
        </w:rPr>
        <w:t xml:space="preserve"> reflecting objectives that were partially achieved in the transport sector, mostly achieved in the energy and water sectors and fully achieved in the ICT sector.</w:t>
      </w:r>
    </w:p>
    <w:p w14:paraId="345D5BA0"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7C90EB8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CPS transport program had notable successes in roads but progress was uneven elsewhere.</w:t>
      </w:r>
      <w:r w:rsidRPr="00C844EE">
        <w:rPr>
          <w:rFonts w:ascii="Times New Roman" w:hAnsi="Times New Roman" w:cs="Times New Roman"/>
          <w:sz w:val="24"/>
          <w:szCs w:val="24"/>
          <w:lang w:val="en-GB" w:eastAsia="en-GB"/>
        </w:rPr>
        <w:t xml:space="preserve"> The Bank’s program in transport focused on the rehabilitation and improvement of roads, road facilities and road safety interventions; strengthening institutional capacity in the transport sector including the airport and civil aviation sectors; and IFC financing of an upgrade of Kenya Airway’s five-year fleet and network expansion plan and of improvements to the rolling stock and infrastructure associated with the Kenya-Uganda railway managed by </w:t>
      </w:r>
      <w:r w:rsidRPr="00C844EE">
        <w:rPr>
          <w:rFonts w:ascii="Times New Roman" w:hAnsi="Times New Roman" w:cs="Times New Roman"/>
          <w:sz w:val="24"/>
          <w:szCs w:val="24"/>
          <w:lang w:val="en-GB" w:eastAsia="en-GB"/>
        </w:rPr>
        <w:lastRenderedPageBreak/>
        <w:t xml:space="preserve">Rift Valley Railways International. Within the road sector Bank support has focused on the main road transport arteries with links to neighboring countries to boost trade and regional integration (i.e. the Northern road (920 km) and Tanzania-Kenya-South Sudan road (894 km) corridors) which are about 1,814 km. These routes represent an economic lifeline for Kenya and the East Africa region. As a result of this support the condition of the Mombasa-Malaba section of the Northern Corridor road in Kenya has shown a marked improvement (with the share of the road in fair or good condition rising from 54% to 80%) and travel times have fallen (e.g. it used to take approximately 8 hours by car from Nairobi to Mombasa and now takes in the region of </w:t>
      </w:r>
      <w:r w:rsidR="00614D5C">
        <w:rPr>
          <w:rFonts w:ascii="Times New Roman" w:hAnsi="Times New Roman" w:cs="Times New Roman"/>
          <w:sz w:val="24"/>
          <w:szCs w:val="24"/>
          <w:lang w:val="en-GB" w:eastAsia="en-GB"/>
        </w:rPr>
        <w:t xml:space="preserve">5 hours). The time required to </w:t>
      </w:r>
      <w:r w:rsidRPr="00C844EE">
        <w:rPr>
          <w:rFonts w:ascii="Times New Roman" w:hAnsi="Times New Roman" w:cs="Times New Roman"/>
          <w:sz w:val="24"/>
          <w:szCs w:val="24"/>
          <w:lang w:val="en-GB" w:eastAsia="en-GB"/>
        </w:rPr>
        <w:t>export and import containers has also improved, modestly. In addition the Rift Valley Railways project suffered from weak financial and managerial capabilities, an under-estimate of the extent of asset dereliction and post-election violence in 2008. IFC successfully led a restructuring of the project during the FY10-FY13 CPS period, bringing in new investors and an operator as well as an experienced consultant to advise the concessionaire. Consequently, although the quantity of freight carried by railways has declined rather than increased as projected during the period of the current CPS, the outlook is now more positive.  Overall the CPS objective was partially achieved in transport.</w:t>
      </w:r>
    </w:p>
    <w:p w14:paraId="5EA7A0A8"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5FCB4357"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In the energy sector, the Bank’s Program has sought to boost private sector participation as well as the share of energy generated from renewable energy.</w:t>
      </w:r>
      <w:r w:rsidRPr="00C844EE">
        <w:rPr>
          <w:rFonts w:ascii="Times New Roman" w:hAnsi="Times New Roman" w:cs="Times New Roman"/>
          <w:sz w:val="24"/>
          <w:szCs w:val="24"/>
          <w:lang w:val="en-GB" w:eastAsia="en-GB"/>
        </w:rPr>
        <w:t xml:space="preserve"> Comprising both IDA and IFC lending, IFC advisory services and IDA and MIGA risk mitigation the Program has helped increase geothermal generating capacity (on course to more than double the country’s geothermal capacity) and improved transmission and distribution networks; strengthened the policy and regulatory framework; and helped establish the feasibility of a number of investment projects. As a result more than half a million households obtained electricity connections, vastly in excess of CPS targets. </w:t>
      </w:r>
      <w:r w:rsidRPr="00C844EE">
        <w:rPr>
          <w:rFonts w:ascii="Times New Roman" w:hAnsi="Times New Roman" w:cs="Times New Roman"/>
          <w:bCs/>
          <w:sz w:val="24"/>
          <w:szCs w:val="24"/>
          <w:lang w:val="en-GB" w:eastAsia="en-GB"/>
        </w:rPr>
        <w:t xml:space="preserve">IDA, IFC </w:t>
      </w:r>
      <w:r w:rsidRPr="00C844EE">
        <w:rPr>
          <w:rFonts w:ascii="Times New Roman" w:hAnsi="Times New Roman" w:cs="Times New Roman"/>
          <w:sz w:val="24"/>
          <w:szCs w:val="24"/>
          <w:lang w:val="en-GB" w:eastAsia="en-GB"/>
        </w:rPr>
        <w:t xml:space="preserve">and </w:t>
      </w:r>
      <w:r w:rsidRPr="00C844EE">
        <w:rPr>
          <w:rFonts w:ascii="Times New Roman" w:hAnsi="Times New Roman" w:cs="Times New Roman"/>
          <w:bCs/>
          <w:sz w:val="24"/>
          <w:szCs w:val="24"/>
          <w:lang w:val="en-GB" w:eastAsia="en-GB"/>
        </w:rPr>
        <w:t>MIGA</w:t>
      </w:r>
      <w:r w:rsidRPr="00C844EE">
        <w:rPr>
          <w:rFonts w:ascii="Times New Roman" w:hAnsi="Times New Roman" w:cs="Times New Roman"/>
          <w:b/>
          <w:bCs/>
          <w:sz w:val="24"/>
          <w:szCs w:val="24"/>
          <w:lang w:val="en-GB" w:eastAsia="en-GB"/>
        </w:rPr>
        <w:t xml:space="preserve"> </w:t>
      </w:r>
      <w:r w:rsidRPr="00C844EE">
        <w:rPr>
          <w:rFonts w:ascii="Times New Roman" w:hAnsi="Times New Roman" w:cs="Times New Roman"/>
          <w:bCs/>
          <w:sz w:val="24"/>
          <w:szCs w:val="24"/>
          <w:lang w:val="en-GB" w:eastAsia="en-GB"/>
        </w:rPr>
        <w:t>have</w:t>
      </w:r>
      <w:r w:rsidRPr="00C844EE">
        <w:rPr>
          <w:rFonts w:ascii="Times New Roman" w:hAnsi="Times New Roman" w:cs="Times New Roman"/>
          <w:b/>
          <w:bCs/>
          <w:sz w:val="24"/>
          <w:szCs w:val="24"/>
          <w:lang w:val="en-GB" w:eastAsia="en-GB"/>
        </w:rPr>
        <w:t xml:space="preserve"> </w:t>
      </w:r>
      <w:r w:rsidRPr="00C844EE">
        <w:rPr>
          <w:rFonts w:ascii="Times New Roman" w:hAnsi="Times New Roman" w:cs="Times New Roman"/>
          <w:sz w:val="24"/>
          <w:szCs w:val="24"/>
          <w:lang w:val="en-GB" w:eastAsia="en-GB"/>
        </w:rPr>
        <w:t xml:space="preserve">also worked together effectively to support private sector thermal, geothermal and wind generation. </w:t>
      </w:r>
      <w:r w:rsidRPr="00C844EE">
        <w:rPr>
          <w:rFonts w:ascii="Times New Roman" w:hAnsi="Times New Roman" w:cs="Times New Roman"/>
          <w:bCs/>
          <w:sz w:val="24"/>
          <w:szCs w:val="24"/>
          <w:lang w:val="en-GB" w:eastAsia="en-GB"/>
        </w:rPr>
        <w:t>For example</w:t>
      </w:r>
      <w:r w:rsidRPr="00C844EE">
        <w:rPr>
          <w:rFonts w:ascii="Times New Roman" w:hAnsi="Times New Roman" w:cs="Times New Roman"/>
          <w:sz w:val="24"/>
          <w:szCs w:val="24"/>
          <w:lang w:val="en-GB" w:eastAsia="en-GB"/>
        </w:rPr>
        <w:t xml:space="preserve"> IFC financed two private sector financed power generation projects, MIGA provided political risk insurance cover for two, and IDA provided partial credit guarantees for four. IFC and IDA also provided financing for KPLC’s investment program, the state-owned electricity distribution company. Overall the number of new independent power projects established exceeded CPS targets albeit with slightly fewer in the geothermal sector than projected. Although transmission losses increased during the CPS period this was overall outweighed by major success on the other two quantitative indicators for energy suggesting an overall rating of mostly achieved.</w:t>
      </w:r>
    </w:p>
    <w:p w14:paraId="13E3598B"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13EEE36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 xml:space="preserve">The Water and Sanitation Program (WSP) was highly integrated with the CPS urban program.  </w:t>
      </w:r>
      <w:r w:rsidRPr="00C844EE">
        <w:rPr>
          <w:rFonts w:ascii="Times New Roman" w:hAnsi="Times New Roman" w:cs="Times New Roman"/>
          <w:sz w:val="24"/>
          <w:szCs w:val="24"/>
          <w:lang w:val="en-GB" w:eastAsia="en-GB"/>
        </w:rPr>
        <w:t>WSP has primarily supported three of the country’s seven water boards in the rehabilitation of multiple aspects of water supply, sewerage networks and treatment facilities, the provision of equipment and technical assistance to improve the overall operations of all three Boards. As a result there has been a large increase in the number of people with access to improved water and adequate sewerage services. (Note that the baseline data for the two water and sanitation sector CPS indicators has been corrected to bring it into line with data made available in 2008 after the WASSIP project appraisal document which was the source of data for the CPS. This was not updated in the CPS PR due to an oversight.) Overall the CPS objective was mostly achieved in the water and sanitation sector.</w:t>
      </w:r>
    </w:p>
    <w:p w14:paraId="4E974302"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lastRenderedPageBreak/>
        <w:t>The CPS program in ICT included strategic interventions to increase Kenya’s external connectivity as well as increasing the number of internet users within the country.</w:t>
      </w:r>
      <w:r w:rsidRPr="00C844EE">
        <w:rPr>
          <w:rFonts w:ascii="Times New Roman" w:hAnsi="Times New Roman" w:cs="Times New Roman"/>
          <w:sz w:val="24"/>
          <w:szCs w:val="24"/>
          <w:lang w:val="en-GB" w:eastAsia="en-GB"/>
        </w:rPr>
        <w:t xml:space="preserve"> It included the important EASSy Cable project (IFC Portfolio project with Bank support) as well as IFC’s KMIP (IFC Special Economic Zone Project). The introduction of the EASSy cable demonstrated to other investors that the laying of sub-marine cables was a viable investment. Today there are four cables while five years ago there were none. There is approximately 20 times as much data now being transmitted and prices are approximately 10 times lower than they were. </w:t>
      </w:r>
    </w:p>
    <w:p w14:paraId="1BF273FA"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3F5805E7"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Internally, the Bank also helped stimulate demand for data by buying capacity to connect university campuses across the country.</w:t>
      </w:r>
      <w:r w:rsidRPr="00C844EE">
        <w:rPr>
          <w:rFonts w:ascii="Times New Roman" w:hAnsi="Times New Roman" w:cs="Times New Roman"/>
          <w:sz w:val="24"/>
          <w:szCs w:val="24"/>
          <w:lang w:val="en-GB" w:eastAsia="en-GB"/>
        </w:rPr>
        <w:t xml:space="preserve"> This led to an increase in megabytes and fall in unit prices. Overall the Bank’s technical strategy was very sound. Internal prices have also fallen but not as much.</w:t>
      </w:r>
    </w:p>
    <w:p w14:paraId="2EE73EB8"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785DDD7A"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In the area of internet usage the Bank’s role was to encourage and support the Government through its on-going policy dialogue; as well as implementation of the Regional Communications Infrastructure Project, KTCIP.</w:t>
      </w:r>
      <w:r w:rsidRPr="00C844EE">
        <w:rPr>
          <w:rFonts w:ascii="Times New Roman" w:hAnsi="Times New Roman" w:cs="Times New Roman"/>
          <w:sz w:val="24"/>
          <w:szCs w:val="24"/>
          <w:lang w:val="en-GB" w:eastAsia="en-GB"/>
        </w:rPr>
        <w:t xml:space="preserve"> The regional dimension of this project helped give the Bank added profile (although this was also a challenge). Overall the CPS objective was achieved in ICT.</w:t>
      </w:r>
    </w:p>
    <w:p w14:paraId="440679D8"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eastAsia="en-GB"/>
        </w:rPr>
      </w:pPr>
    </w:p>
    <w:p w14:paraId="477D3C4B" w14:textId="77777777" w:rsidR="00C844EE" w:rsidRPr="00C844EE" w:rsidRDefault="00C844EE" w:rsidP="00C844EE">
      <w:pPr>
        <w:spacing w:after="0" w:line="240" w:lineRule="auto"/>
        <w:contextualSpacing/>
        <w:rPr>
          <w:rFonts w:ascii="Times New Roman" w:hAnsi="Times New Roman" w:cs="Times New Roman"/>
          <w:b/>
          <w:i/>
          <w:sz w:val="24"/>
          <w:szCs w:val="24"/>
          <w:lang w:val="en-GB" w:eastAsia="en-GB"/>
        </w:rPr>
      </w:pPr>
      <w:r w:rsidRPr="00C844EE">
        <w:rPr>
          <w:rFonts w:ascii="Times New Roman" w:hAnsi="Times New Roman" w:cs="Times New Roman"/>
          <w:b/>
          <w:i/>
          <w:sz w:val="24"/>
          <w:szCs w:val="24"/>
          <w:lang w:val="en-GB" w:eastAsia="en-GB"/>
        </w:rPr>
        <w:t>CPS outcome: Enhanced agricultural productivity with a focus on food security</w:t>
      </w:r>
    </w:p>
    <w:p w14:paraId="2A7EE782" w14:textId="77777777" w:rsidR="00C844EE" w:rsidRPr="00C844EE" w:rsidRDefault="00C844EE" w:rsidP="00C844EE">
      <w:pPr>
        <w:spacing w:after="0" w:line="240" w:lineRule="auto"/>
        <w:ind w:left="360"/>
        <w:contextualSpacing/>
        <w:rPr>
          <w:rFonts w:ascii="Times New Roman" w:hAnsi="Times New Roman" w:cs="Times New Roman"/>
          <w:sz w:val="24"/>
          <w:szCs w:val="24"/>
          <w:lang w:val="en-GB" w:eastAsia="en-GB"/>
        </w:rPr>
      </w:pPr>
    </w:p>
    <w:p w14:paraId="61842D08"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This objective was mostly achieved</w:t>
      </w:r>
      <w:r w:rsidRPr="00C844EE">
        <w:rPr>
          <w:rFonts w:ascii="Times New Roman" w:hAnsi="Times New Roman" w:cs="Times New Roman"/>
          <w:sz w:val="24"/>
          <w:szCs w:val="24"/>
          <w:lang w:val="en-GB" w:eastAsia="en-GB"/>
        </w:rPr>
        <w:t xml:space="preserve"> in terms of the specific indicators contained within the CASPR results matrix, but achieving a broader impact in the sector remains a challenge for the Bank Group.</w:t>
      </w:r>
    </w:p>
    <w:p w14:paraId="26C07EB3"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41C956FE"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Bank Group support to the agricultural sector was aimed at supporting: 1) the generation, dissemination and adoption of agricultural technology; 2) a package of measures to improve basic services and livelihoods in arid and semi-arid lands; and 3) the provision of finance to key private sector organizations operating in the agribusiness sector. </w:t>
      </w:r>
      <w:r w:rsidRPr="00C844EE">
        <w:rPr>
          <w:rFonts w:ascii="Times New Roman" w:hAnsi="Times New Roman" w:cs="Times New Roman"/>
          <w:sz w:val="24"/>
          <w:szCs w:val="24"/>
          <w:lang w:val="en-GB" w:eastAsia="en-GB"/>
        </w:rPr>
        <w:t>Bank support largely comprised support for policy and institutional reforms, extension system reform, agricultural research system reform and farmer client empowerment; and targeted support to the poorest farmers in the country’s 28 arid and semi-arid land districts including natural resource and drought management techniques and other community level capacity building.</w:t>
      </w:r>
    </w:p>
    <w:p w14:paraId="641B306D"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021DC3D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sz w:val="24"/>
          <w:szCs w:val="24"/>
          <w:lang w:val="en-GB" w:eastAsia="en-GB"/>
        </w:rPr>
        <w:t>The overall performance of agriculture has been variable due in large part to an over-reliance on rain-fed agriculture. For example average cereal yields declined from 1710 kg/ha in 2010 to 1659 kg/ha in 2012. However a</w:t>
      </w:r>
      <w:r w:rsidRPr="00C844EE">
        <w:rPr>
          <w:rFonts w:ascii="Times New Roman" w:hAnsi="Times New Roman" w:cs="Times New Roman"/>
          <w:b/>
          <w:sz w:val="24"/>
          <w:szCs w:val="24"/>
          <w:lang w:val="en-GB" w:eastAsia="en-GB"/>
        </w:rPr>
        <w:t>s a result of WBG initiatives maize yields, a key weakness in the agricultural sector, increased by over 7% in targeted areas</w:t>
      </w:r>
      <w:r w:rsidRPr="00C844EE">
        <w:rPr>
          <w:rFonts w:ascii="Times New Roman" w:hAnsi="Times New Roman" w:cs="Times New Roman"/>
          <w:sz w:val="24"/>
          <w:szCs w:val="24"/>
          <w:lang w:val="en-GB" w:eastAsia="en-GB"/>
        </w:rPr>
        <w:t xml:space="preserve">. Tea, horticulture and dairy have performed considerably better than food crops. Storage capacity for tea was given a boost by IFC’s financing of a Mombasa warehouse facility. </w:t>
      </w:r>
    </w:p>
    <w:p w14:paraId="4AEF5E82"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5C0972AD"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sz w:val="24"/>
          <w:szCs w:val="24"/>
          <w:lang w:val="en-GB" w:eastAsia="en-GB"/>
        </w:rPr>
        <w:t xml:space="preserve">Across the country there has been some improvement in overall indicators of food security. For example the depth of the food deficit was reduced from 213 calories in 2010 to 201 calories in 2012. The share of the population experiencing undernourishment fell from 31.8% </w:t>
      </w:r>
      <w:r w:rsidRPr="00C844EE">
        <w:rPr>
          <w:rFonts w:ascii="Times New Roman" w:hAnsi="Times New Roman" w:cs="Times New Roman"/>
          <w:sz w:val="24"/>
          <w:szCs w:val="24"/>
          <w:lang w:val="en-GB" w:eastAsia="en-GB"/>
        </w:rPr>
        <w:lastRenderedPageBreak/>
        <w:t>in 2010 to 30.4% in 2011.  As a result of WBG initiatives earnings of small holders farmers, men and women, in specific product sub-sectors increased during the period of the CPS albeit by amounts less than those targeted. Male incomes remained three times higher than female incomes. Bank support for farmers in arid and semi-arid land, however, was interrupted: based on an understanding of preliminary findings of an Institutional Integrity (INT) forensic audit, in July 2010 management informally suspended IDA financing for ALRMP II, and the suspension remained in place through closing on December 31, 2010. The implications of this for the CPS are further discussed below under the Governance Pillar.</w:t>
      </w:r>
    </w:p>
    <w:p w14:paraId="71813255"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0474DEC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In addition, IFC, for which agribusiness and food security have become a strategic priority in Kenya, booked two agribusiness transactions</w:t>
      </w:r>
      <w:r w:rsidRPr="00C844EE">
        <w:rPr>
          <w:rFonts w:ascii="Times New Roman" w:hAnsi="Times New Roman" w:cs="Times New Roman"/>
          <w:sz w:val="24"/>
          <w:szCs w:val="24"/>
          <w:lang w:val="en-GB" w:eastAsia="en-GB"/>
        </w:rPr>
        <w:t xml:space="preserve"> in FY10-FY13 for a total $22 million in long term debt. </w:t>
      </w:r>
      <w:r w:rsidRPr="00C844EE">
        <w:rPr>
          <w:rFonts w:ascii="Times New Roman" w:hAnsi="Times New Roman" w:cs="Times New Roman"/>
          <w:bCs/>
          <w:sz w:val="24"/>
          <w:szCs w:val="24"/>
          <w:lang w:val="en-GB" w:eastAsia="en-GB"/>
        </w:rPr>
        <w:t xml:space="preserve">In </w:t>
      </w:r>
      <w:r w:rsidRPr="00C844EE">
        <w:rPr>
          <w:rFonts w:ascii="Times New Roman" w:hAnsi="Times New Roman" w:cs="Times New Roman"/>
          <w:sz w:val="24"/>
          <w:szCs w:val="24"/>
          <w:lang w:val="en-GB" w:eastAsia="en-GB"/>
        </w:rPr>
        <w:t xml:space="preserve">October 2012, IFC committed a $12 million loan to the privatized Kenya Tea Development Agency (KTDA) to build a 200,000-square-foot warehouse in Mombasa. The warehouse will increase revenues for KTDA, ultimately benefitting the 562,000 farmers who are the agency’s shareholders. IFC agreed a $10 million loan to </w:t>
      </w:r>
      <w:r w:rsidRPr="00C844EE">
        <w:rPr>
          <w:rFonts w:ascii="Times New Roman" w:hAnsi="Times New Roman" w:cs="Times New Roman"/>
          <w:bCs/>
          <w:sz w:val="24"/>
          <w:szCs w:val="24"/>
          <w:lang w:val="en-GB" w:eastAsia="en-GB"/>
        </w:rPr>
        <w:t xml:space="preserve">ETC Group, an agricultural supply chain manager and food processor, in June 2013. </w:t>
      </w:r>
    </w:p>
    <w:p w14:paraId="1292D0A9" w14:textId="77777777" w:rsidR="00C844EE" w:rsidRPr="00C844EE" w:rsidRDefault="00C844EE" w:rsidP="00C844EE">
      <w:pPr>
        <w:spacing w:after="0" w:line="240" w:lineRule="auto"/>
        <w:rPr>
          <w:rFonts w:ascii="Times New Roman" w:hAnsi="Times New Roman" w:cs="Times New Roman"/>
          <w:sz w:val="24"/>
          <w:szCs w:val="24"/>
          <w:lang w:val="en-GB"/>
        </w:rPr>
      </w:pPr>
    </w:p>
    <w:p w14:paraId="255B9380"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IFC’s financial markets and agribusiness departments also jointly funded local banks to channel financing to Kenyan farms.</w:t>
      </w:r>
      <w:r w:rsidRPr="00C844EE">
        <w:rPr>
          <w:rFonts w:ascii="Times New Roman" w:hAnsi="Times New Roman" w:cs="Times New Roman"/>
          <w:sz w:val="24"/>
          <w:szCs w:val="24"/>
          <w:lang w:val="en-GB" w:eastAsia="en-GB"/>
        </w:rPr>
        <w:t xml:space="preserve"> For instance, a seven-year, $60 million senior loan in December 2012 to Cooperative Bank of Kenya requires it to direct about $10 million to agribusiness clients.  </w:t>
      </w:r>
    </w:p>
    <w:p w14:paraId="45366081"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522107E2"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Despite the examples of success noted above it is clear that the poor performance of the food sector as a whole, particularly with respect to maize, remains a major challenge</w:t>
      </w:r>
      <w:r w:rsidRPr="00C844EE">
        <w:rPr>
          <w:rFonts w:ascii="Times New Roman" w:hAnsi="Times New Roman" w:cs="Times New Roman"/>
          <w:sz w:val="24"/>
          <w:szCs w:val="24"/>
          <w:lang w:val="en-GB" w:eastAsia="en-GB"/>
        </w:rPr>
        <w:t xml:space="preserve">. Understanding whether and how the Bank can help meet this challenge is an important prior condition for any future Bank involvement in the sector. This is further discussed under lessons and suggestions below. </w:t>
      </w:r>
    </w:p>
    <w:p w14:paraId="58384CD4"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02E85828"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 xml:space="preserve">Pillar 2: Reducing inequality and strengthening resilience. </w:t>
      </w:r>
    </w:p>
    <w:p w14:paraId="268AA2AA"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Overall this outcome was mostly achieved</w:t>
      </w:r>
      <w:r w:rsidRPr="00C844EE">
        <w:rPr>
          <w:rFonts w:ascii="Times New Roman" w:hAnsi="Times New Roman" w:cs="Times New Roman"/>
          <w:sz w:val="24"/>
          <w:szCs w:val="24"/>
          <w:lang w:val="en-GB" w:eastAsia="en-GB"/>
        </w:rPr>
        <w:t xml:space="preserve"> with the combined outcome for health, education and urban development partially achieved and those for environment and social protection achieved. </w:t>
      </w:r>
    </w:p>
    <w:p w14:paraId="2F8F2D13" w14:textId="77777777" w:rsidR="00C844EE" w:rsidRPr="00C844EE" w:rsidRDefault="00C844EE" w:rsidP="00C844EE">
      <w:pPr>
        <w:spacing w:after="0" w:line="240" w:lineRule="auto"/>
        <w:jc w:val="both"/>
        <w:rPr>
          <w:rFonts w:ascii="Times New Roman" w:hAnsi="Times New Roman" w:cs="Times New Roman"/>
          <w:b/>
          <w:i/>
          <w:sz w:val="24"/>
          <w:szCs w:val="24"/>
          <w:lang w:val="en-GB"/>
        </w:rPr>
      </w:pPr>
    </w:p>
    <w:p w14:paraId="22C1102A" w14:textId="77777777" w:rsidR="00C844EE" w:rsidRPr="00C844EE" w:rsidRDefault="00C844EE" w:rsidP="00C844EE">
      <w:pPr>
        <w:spacing w:after="0" w:line="240" w:lineRule="auto"/>
        <w:jc w:val="both"/>
        <w:rPr>
          <w:rFonts w:ascii="Times New Roman" w:hAnsi="Times New Roman" w:cs="Times New Roman"/>
          <w:b/>
          <w:i/>
          <w:sz w:val="24"/>
          <w:szCs w:val="24"/>
          <w:lang w:val="en-GB"/>
        </w:rPr>
      </w:pPr>
      <w:r w:rsidRPr="00C844EE">
        <w:rPr>
          <w:rFonts w:ascii="Times New Roman" w:hAnsi="Times New Roman" w:cs="Times New Roman"/>
          <w:b/>
          <w:i/>
          <w:sz w:val="24"/>
          <w:szCs w:val="24"/>
          <w:lang w:val="en-GB"/>
        </w:rPr>
        <w:t>CPS outcome: Better access to health care, education, and basic infrastructure services</w:t>
      </w:r>
    </w:p>
    <w:p w14:paraId="6395E210" w14:textId="77777777" w:rsidR="00C844EE" w:rsidRPr="00C844EE" w:rsidRDefault="00C844EE" w:rsidP="00C844EE">
      <w:pPr>
        <w:spacing w:after="0" w:line="240" w:lineRule="auto"/>
        <w:jc w:val="both"/>
        <w:rPr>
          <w:rFonts w:ascii="Times New Roman" w:hAnsi="Times New Roman" w:cs="Times New Roman"/>
          <w:b/>
          <w:sz w:val="24"/>
          <w:szCs w:val="24"/>
          <w:lang w:val="en-GB"/>
        </w:rPr>
      </w:pPr>
    </w:p>
    <w:p w14:paraId="080E729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Bank’s health program during FY10-FY13 targeted an improvement in the delivery of basic health services and in the efficiency of pharmaceutical planning, processes and management.</w:t>
      </w:r>
      <w:r w:rsidRPr="00C844EE">
        <w:rPr>
          <w:rFonts w:ascii="Times New Roman" w:hAnsi="Times New Roman" w:cs="Times New Roman"/>
          <w:sz w:val="24"/>
          <w:szCs w:val="24"/>
          <w:lang w:val="en-GB" w:eastAsia="en-GB"/>
        </w:rPr>
        <w:t xml:space="preserve"> </w:t>
      </w:r>
      <w:r w:rsidRPr="00C844EE">
        <w:rPr>
          <w:rFonts w:ascii="Times New Roman" w:eastAsia="Times New Roman" w:hAnsi="Times New Roman" w:cs="Times New Roman"/>
          <w:sz w:val="24"/>
          <w:szCs w:val="24"/>
          <w:lang w:val="en-GB" w:eastAsia="en-GB"/>
        </w:rPr>
        <w:t xml:space="preserve">The Bank’s main lending instrument was a health SWAp. This included two core reforms started by the Government of Kenya: namely a) direct facility cash transfers to ensure timely availability of resources and enable local policy relevant planning; and b) establishment of a system of demand-based drawing rights for Essential Medicines and Medical Supplies to respond to actual needs and reduce wastage. It also included 5 pilots. Two of these showed good progress namely a) social accountability and b) results based financing. </w:t>
      </w:r>
    </w:p>
    <w:p w14:paraId="2D4F6247"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5979F996"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eastAsia="Times New Roman" w:hAnsi="Times New Roman" w:cs="Times New Roman"/>
          <w:b/>
          <w:sz w:val="24"/>
          <w:szCs w:val="24"/>
          <w:lang w:val="en-GB" w:eastAsia="en-GB"/>
        </w:rPr>
        <w:lastRenderedPageBreak/>
        <w:t>In addition IFC’s</w:t>
      </w:r>
      <w:r w:rsidRPr="00C844EE">
        <w:rPr>
          <w:rFonts w:ascii="Times New Roman" w:hAnsi="Times New Roman" w:cs="Times New Roman"/>
          <w:b/>
          <w:sz w:val="24"/>
          <w:szCs w:val="24"/>
          <w:lang w:val="en-GB" w:eastAsia="en-GB"/>
        </w:rPr>
        <w:t xml:space="preserve"> Health in Africa Initiative (launched in 2007)</w:t>
      </w:r>
      <w:r w:rsidRPr="00C844EE">
        <w:rPr>
          <w:rFonts w:ascii="Times New Roman" w:hAnsi="Times New Roman" w:cs="Times New Roman"/>
          <w:sz w:val="24"/>
          <w:szCs w:val="24"/>
          <w:lang w:val="en-GB" w:eastAsia="en-GB"/>
        </w:rPr>
        <w:t>, a multi-country advisory service targeting legal, regulatory, and institutional reforms in the health sector, led to enactment of legislation in Kenya in 2012 creating equal opportunity for public and private healthcare providers and is expected to result in expanded coverage for up to 20 million Kenyans.</w:t>
      </w:r>
    </w:p>
    <w:p w14:paraId="3768C762" w14:textId="77777777" w:rsidR="00C844EE" w:rsidRPr="00C844EE" w:rsidRDefault="00C844EE" w:rsidP="00C844EE">
      <w:pPr>
        <w:spacing w:after="0" w:line="240" w:lineRule="auto"/>
        <w:ind w:left="720"/>
        <w:contextualSpacing/>
        <w:rPr>
          <w:rFonts w:ascii="Times New Roman" w:eastAsia="Times New Roman" w:hAnsi="Times New Roman" w:cs="Times New Roman"/>
          <w:sz w:val="24"/>
          <w:szCs w:val="24"/>
          <w:lang w:val="en-GB" w:eastAsia="en-GB"/>
        </w:rPr>
      </w:pPr>
    </w:p>
    <w:p w14:paraId="49B5D6EA"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eastAsia="Times New Roman" w:hAnsi="Times New Roman" w:cs="Times New Roman"/>
          <w:b/>
          <w:sz w:val="24"/>
          <w:szCs w:val="24"/>
          <w:lang w:val="en-GB" w:eastAsia="en-GB"/>
        </w:rPr>
        <w:t xml:space="preserve">Overall the health CPS outcome was partially achieved. </w:t>
      </w:r>
      <w:r w:rsidRPr="00C844EE">
        <w:rPr>
          <w:rFonts w:ascii="Times New Roman" w:eastAsia="Times New Roman" w:hAnsi="Times New Roman" w:cs="Times New Roman"/>
          <w:sz w:val="24"/>
          <w:szCs w:val="24"/>
          <w:lang w:val="en-GB" w:eastAsia="en-GB"/>
        </w:rPr>
        <w:t xml:space="preserve">Two of the four health sector CPS targets have been fully achieved: firstly 38.9 million people – of which 21.3 million are females - now have access to basic services against a target of 18.3 million. This is confirmed by the recent household survey on health care utilization and expenditure. </w:t>
      </w:r>
      <w:r w:rsidRPr="00C844EE">
        <w:rPr>
          <w:rFonts w:ascii="Times New Roman" w:hAnsi="Times New Roman" w:cs="Times New Roman"/>
          <w:sz w:val="24"/>
          <w:szCs w:val="24"/>
          <w:lang w:val="en-GB" w:eastAsia="en-GB"/>
        </w:rPr>
        <w:t xml:space="preserve">The preliminary results of the survey has shown that per-capita outpatient utilization increased from 1.9 visits to 3.1 visits from 2003 to 2013 and the share of those who reported sick but not sought health care reduced from 22.8 to 12.7% during the same period. The inpatient admissions also increased from 15 to 38 per 1000 population. There were no inequities noted for outpatient care while inequities continue for in-patient care. More importantly, the public sector remains the main source of care with the exception of the richest quintile. </w:t>
      </w:r>
      <w:r w:rsidRPr="00C844EE">
        <w:rPr>
          <w:rFonts w:ascii="Times New Roman" w:eastAsia="Times New Roman" w:hAnsi="Times New Roman" w:cs="Times New Roman"/>
          <w:sz w:val="24"/>
          <w:szCs w:val="24"/>
          <w:lang w:val="en-GB" w:eastAsia="en-GB"/>
        </w:rPr>
        <w:t xml:space="preserve">Secondly 97.3% of facilities receiving HSSF grants meet core financial management requirements have improved FM (against a target of 50%). There was an error in the target for immunization of children aged less than 1 year which should have been 1.23 million and not 1.8 million which is greater than the entire birth cohort of 1.5 million. The actual result was 1.11 million (partly because of disruption of services in the north-east of the country because of tensions with Somalia). Hence this target is partially achieved. Recent National Immunization survey data suggests full immunization coverage of 80%. </w:t>
      </w:r>
    </w:p>
    <w:p w14:paraId="6002A074" w14:textId="77777777" w:rsidR="00C844EE" w:rsidRPr="00C844EE" w:rsidRDefault="00C844EE" w:rsidP="00C844EE">
      <w:pPr>
        <w:spacing w:after="0" w:line="240" w:lineRule="auto"/>
        <w:ind w:left="720"/>
        <w:contextualSpacing/>
        <w:rPr>
          <w:rFonts w:ascii="Times New Roman" w:eastAsia="Times New Roman" w:hAnsi="Times New Roman" w:cs="Times New Roman"/>
          <w:sz w:val="24"/>
          <w:szCs w:val="24"/>
          <w:lang w:val="en-GB" w:eastAsia="en-GB"/>
        </w:rPr>
      </w:pPr>
    </w:p>
    <w:p w14:paraId="5FD26CFD"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eastAsia="Times New Roman" w:hAnsi="Times New Roman" w:cs="Times New Roman"/>
          <w:b/>
          <w:sz w:val="24"/>
          <w:szCs w:val="24"/>
          <w:lang w:val="en-GB" w:eastAsia="en-GB"/>
        </w:rPr>
        <w:t xml:space="preserve">The target for use of condoms by youth, both male and female, was partially achieved </w:t>
      </w:r>
      <w:r w:rsidRPr="00C844EE">
        <w:rPr>
          <w:rFonts w:ascii="Times New Roman" w:eastAsia="Times New Roman" w:hAnsi="Times New Roman" w:cs="Times New Roman"/>
          <w:sz w:val="24"/>
          <w:szCs w:val="24"/>
          <w:lang w:val="en-GB" w:eastAsia="en-GB"/>
        </w:rPr>
        <w:t xml:space="preserve">according to the Kenya AIDS Indicators Survey (KAIS 2012).  </w:t>
      </w:r>
      <w:r w:rsidRPr="00C844EE">
        <w:rPr>
          <w:rFonts w:ascii="Times New Roman" w:eastAsia="Times New Roman" w:hAnsi="Times New Roman" w:cs="Times New Roman"/>
          <w:lang w:val="en-GB" w:eastAsia="en-GB"/>
        </w:rPr>
        <w:t xml:space="preserve">The Proportion of youth aged 15-24 reporting condom use in the last sexual encounter with a non-regular partner increased from 24% and 47% (2009) to 48.7% and 58.7% respectively for females and males. While this is a notable increase, especially among women, the targets set (55% and 75%) could not be fully achieved.  </w:t>
      </w:r>
      <w:r w:rsidRPr="00C844EE">
        <w:rPr>
          <w:rFonts w:ascii="Times New Roman" w:eastAsia="Times New Roman" w:hAnsi="Times New Roman" w:cs="Times New Roman"/>
          <w:sz w:val="24"/>
          <w:szCs w:val="24"/>
          <w:lang w:val="en-GB" w:eastAsia="en-GB"/>
        </w:rPr>
        <w:t xml:space="preserve">  While administrative data is improving, there are still challenges in timely and complete reporting. In future, the Bank will aim to obtain population based statistics by financing surveys to obtain more reliable estimates of this indicator. </w:t>
      </w:r>
    </w:p>
    <w:p w14:paraId="26AC0080" w14:textId="77777777" w:rsidR="00C844EE" w:rsidRPr="00C844EE" w:rsidRDefault="00C844EE" w:rsidP="00C844EE">
      <w:pPr>
        <w:spacing w:after="0" w:line="240" w:lineRule="auto"/>
        <w:ind w:left="720"/>
        <w:contextualSpacing/>
        <w:rPr>
          <w:rFonts w:ascii="Times New Roman" w:eastAsia="Times New Roman" w:hAnsi="Times New Roman" w:cs="Times New Roman"/>
          <w:sz w:val="24"/>
          <w:szCs w:val="24"/>
          <w:lang w:val="en-GB" w:eastAsia="en-GB"/>
        </w:rPr>
      </w:pPr>
    </w:p>
    <w:p w14:paraId="2F9BF921" w14:textId="77777777" w:rsidR="00C844EE" w:rsidRPr="00C844EE" w:rsidRDefault="00C844EE" w:rsidP="007B5E57">
      <w:pPr>
        <w:numPr>
          <w:ilvl w:val="0"/>
          <w:numId w:val="22"/>
        </w:numPr>
        <w:autoSpaceDE w:val="0"/>
        <w:autoSpaceDN w:val="0"/>
        <w:adjustRightInd w:val="0"/>
        <w:spacing w:after="0" w:line="240" w:lineRule="auto"/>
        <w:contextualSpacing/>
        <w:jc w:val="both"/>
        <w:rPr>
          <w:rFonts w:ascii="Times New Roman" w:hAnsi="Times New Roman" w:cs="Times New Roman"/>
          <w:sz w:val="24"/>
          <w:szCs w:val="24"/>
          <w:lang w:val="en-GB"/>
        </w:rPr>
      </w:pPr>
      <w:r w:rsidRPr="00C844EE">
        <w:rPr>
          <w:rFonts w:ascii="Times New Roman" w:eastAsia="Times New Roman" w:hAnsi="Times New Roman" w:cs="Times New Roman"/>
          <w:b/>
          <w:sz w:val="24"/>
          <w:szCs w:val="24"/>
          <w:lang w:val="en-GB" w:eastAsia="en-GB"/>
        </w:rPr>
        <w:t>The Bank’s overall objective in the education sector was to improve basic education ensuring equity of access and enhancing quality and learning achievement as well as providing opportunities for further education and training and improving sector management</w:t>
      </w:r>
      <w:r w:rsidRPr="00C844EE">
        <w:rPr>
          <w:rFonts w:ascii="Times New Roman" w:eastAsia="Times New Roman" w:hAnsi="Times New Roman" w:cs="Times New Roman"/>
          <w:sz w:val="24"/>
          <w:szCs w:val="24"/>
          <w:lang w:val="en-GB" w:eastAsia="en-GB"/>
        </w:rPr>
        <w:t xml:space="preserve">. The Bank’s main instrument was the Education Sector Support Project. However IDA disbursements for the project were effectively suspended in July 2009 due to emerging evidence of fraud and corruption and the project was formally closed in December 2010, a year ahead of schedule. The ICR for the project, completed in September 2011, found that the project was unsatisfactory due to non-achievement of the majority of PDO indicators at the time of assessment i.e. December 2010.  In addition, in June 2010 IFC committed a $4 million loan to Braeburn Group of Schools which operates 13 private kindergarten, primary, and high schools across seven campuses in Kenya and Tanzania serving over 3,000 students. IFC’s financing helped Braeburn expand technical and vocational training, and invest in teacher training and professional staff development, a modest but still important contribution to progress in this area. This includes a partnership </w:t>
      </w:r>
      <w:r w:rsidRPr="00C844EE">
        <w:rPr>
          <w:rFonts w:ascii="Times New Roman" w:eastAsia="Times New Roman" w:hAnsi="Times New Roman" w:cs="Times New Roman"/>
          <w:sz w:val="24"/>
          <w:szCs w:val="24"/>
          <w:lang w:val="en-GB" w:eastAsia="en-GB"/>
        </w:rPr>
        <w:lastRenderedPageBreak/>
        <w:t xml:space="preserve">with Kenyatta University on specially designed graduate education courses to increase the availability of highly qualified teaching staff in Kenya and Tanzania. </w:t>
      </w:r>
    </w:p>
    <w:p w14:paraId="0DB13D89"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63925C60"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specific CPS targets for education were partially achieved</w:t>
      </w:r>
      <w:r w:rsidRPr="00C844EE">
        <w:rPr>
          <w:rFonts w:ascii="Times New Roman" w:hAnsi="Times New Roman" w:cs="Times New Roman"/>
          <w:sz w:val="24"/>
          <w:szCs w:val="24"/>
          <w:lang w:val="en-GB" w:eastAsia="en-GB"/>
        </w:rPr>
        <w:t>: a) primary completion rates rose from 79.5% in 2008 to 80.3% by 2012; b) primary to secondary education transition rates rose from 64.1% to 76.6% by 2012; and c) there was a near doubling in the number of students attending university. The overall assessment for the sector is that the CPS objective was partially achieved. The implications of the early closure of the project because of irregularities are further discussed under the governance section below.</w:t>
      </w:r>
    </w:p>
    <w:p w14:paraId="00EEC424"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62E756D1" w14:textId="77777777" w:rsidR="00C844EE" w:rsidRPr="00C844EE" w:rsidRDefault="00C844EE" w:rsidP="007B5E57">
      <w:pPr>
        <w:numPr>
          <w:ilvl w:val="0"/>
          <w:numId w:val="22"/>
        </w:numPr>
        <w:autoSpaceDE w:val="0"/>
        <w:autoSpaceDN w:val="0"/>
        <w:adjustRightInd w:val="0"/>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Bank’s primary objective in the area of urban development was to improve living conditions in informal settlements in selected municipalities in Kenya.</w:t>
      </w:r>
      <w:r w:rsidRPr="00C844EE">
        <w:rPr>
          <w:rFonts w:ascii="Times New Roman" w:hAnsi="Times New Roman" w:cs="Times New Roman"/>
          <w:sz w:val="24"/>
          <w:szCs w:val="24"/>
          <w:lang w:val="en-GB" w:eastAsia="en-GB"/>
        </w:rPr>
        <w:t xml:space="preserve"> This was to be achieved by enhancing security of tenure and improving infrastructure based on plans developed in consultation with the community. The Bank’s program in the area of slum upgrading included institutional support to the Ministries of Housing and Land and a number of local authorities; help implementing the new national land policy in informal urban settlements; financing for a range of investments in roads, walkways, public spaces and the like, and involved close collaboration with the Bank’s program of investment in water and sanitation in Nairobi, Mombasa and Malindi as well as its investments in increasing access to electricity. </w:t>
      </w:r>
    </w:p>
    <w:p w14:paraId="5FFA838A"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289534DA" w14:textId="77777777" w:rsidR="00C844EE" w:rsidRPr="00C844EE" w:rsidRDefault="00C844EE" w:rsidP="007B5E57">
      <w:pPr>
        <w:numPr>
          <w:ilvl w:val="0"/>
          <w:numId w:val="22"/>
        </w:numPr>
        <w:autoSpaceDE w:val="0"/>
        <w:autoSpaceDN w:val="0"/>
        <w:adjustRightInd w:val="0"/>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The largest part of the Bank’s program, namely the works investment program, was significantly delayed</w:t>
      </w:r>
      <w:r w:rsidRPr="00C844EE">
        <w:rPr>
          <w:rFonts w:ascii="Times New Roman" w:hAnsi="Times New Roman" w:cs="Times New Roman"/>
          <w:sz w:val="24"/>
          <w:szCs w:val="24"/>
          <w:lang w:val="en-GB" w:eastAsia="en-GB"/>
        </w:rPr>
        <w:t>. Consequently the target of providing access to improved infrastructure services for 50,000 has not been achieved. The cause of the delay in completing preparatory work was primarily due to unrealistic target-setting on the Bank’s side combined with some delays due to weak counterpart capacity. In particular, the project was designed as a framework project, yet there were no activities that were ready to appraise/implement when the project was approved; community consultation and design work only started during implementation; and there was no advance procurement.  Given that the project was approved in February 2011 it is clear that even under a best scenario results were unlikely to materialize until at least 3 years later i.e. more than 6 months after the end of the FY10-FY13 CPS period. Weak counterpart capacity resulting in delays in payments to the consortium added some additional months to the overall delay.</w:t>
      </w:r>
    </w:p>
    <w:p w14:paraId="7F19625D"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0BDF7B74" w14:textId="77777777" w:rsidR="00C844EE" w:rsidRPr="00C844EE" w:rsidRDefault="00C844EE" w:rsidP="00C844EE">
      <w:pPr>
        <w:spacing w:after="0" w:line="240" w:lineRule="auto"/>
        <w:contextualSpacing/>
        <w:jc w:val="both"/>
        <w:rPr>
          <w:rFonts w:ascii="Times New Roman" w:hAnsi="Times New Roman" w:cs="Times New Roman"/>
          <w:b/>
          <w:i/>
          <w:sz w:val="24"/>
          <w:szCs w:val="24"/>
          <w:lang w:val="en-GB" w:eastAsia="en-GB"/>
        </w:rPr>
      </w:pPr>
      <w:r w:rsidRPr="00C844EE">
        <w:rPr>
          <w:rFonts w:ascii="Times New Roman" w:hAnsi="Times New Roman" w:cs="Times New Roman"/>
          <w:b/>
          <w:i/>
          <w:sz w:val="24"/>
          <w:szCs w:val="24"/>
          <w:lang w:val="en-GB" w:eastAsia="en-GB"/>
        </w:rPr>
        <w:t>CPS outcome: establishing comprehensive, scalable social protection mechanisms</w:t>
      </w:r>
    </w:p>
    <w:p w14:paraId="178FD9C0"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04A14E9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 As a first step </w:t>
      </w:r>
      <w:r w:rsidR="00ED7A95">
        <w:rPr>
          <w:rFonts w:ascii="Times New Roman" w:hAnsi="Times New Roman" w:cs="Times New Roman"/>
          <w:b/>
          <w:sz w:val="24"/>
          <w:szCs w:val="24"/>
          <w:lang w:val="en-GB" w:eastAsia="en-GB"/>
        </w:rPr>
        <w:t>toward</w:t>
      </w:r>
      <w:r w:rsidRPr="00C844EE">
        <w:rPr>
          <w:rFonts w:ascii="Times New Roman" w:hAnsi="Times New Roman" w:cs="Times New Roman"/>
          <w:b/>
          <w:sz w:val="24"/>
          <w:szCs w:val="24"/>
          <w:lang w:val="en-GB" w:eastAsia="en-GB"/>
        </w:rPr>
        <w:t xml:space="preserve"> achieving the CPS outcome for social protection the Bank focused on supporting the development of a national social protection framework and providing specific support to orphans and vulnerable children. </w:t>
      </w:r>
      <w:r w:rsidRPr="00C844EE">
        <w:rPr>
          <w:rFonts w:ascii="Times New Roman" w:hAnsi="Times New Roman" w:cs="Times New Roman"/>
          <w:sz w:val="24"/>
          <w:szCs w:val="24"/>
          <w:lang w:val="en-GB" w:eastAsia="en-GB"/>
        </w:rPr>
        <w:t xml:space="preserve"> This objective was achieved with support from the Bank on two main fronts: a program of private sector internships together with policy support for the Ministry of Youth and Sports; and a major and innovative program of cash transfers targeting orphans and vulnerable children. Both programs achieved their targets and more. The Bank’s social protection program benefited from a sustained analytical effort to understand the priorities in the sector which resulted in a social protection strategy that was adopted by the Government as their own. Building on this </w:t>
      </w:r>
      <w:r w:rsidRPr="00C844EE">
        <w:rPr>
          <w:rFonts w:ascii="Times New Roman" w:hAnsi="Times New Roman" w:cs="Times New Roman"/>
          <w:sz w:val="24"/>
          <w:szCs w:val="24"/>
          <w:lang w:val="en-GB" w:eastAsia="en-GB"/>
        </w:rPr>
        <w:lastRenderedPageBreak/>
        <w:t xml:space="preserve">success the priority now is to consolidate the many cash transfer and safety net initiatives that are administered by different government departments. </w:t>
      </w:r>
    </w:p>
    <w:p w14:paraId="3B513819"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35E1DBDE" w14:textId="77777777" w:rsidR="00C844EE" w:rsidRPr="00C844EE" w:rsidRDefault="00C844EE" w:rsidP="00C844EE">
      <w:pPr>
        <w:spacing w:after="0" w:line="240" w:lineRule="auto"/>
        <w:contextualSpacing/>
        <w:rPr>
          <w:rFonts w:ascii="Times New Roman" w:hAnsi="Times New Roman" w:cs="Times New Roman"/>
          <w:b/>
          <w:i/>
          <w:sz w:val="24"/>
          <w:szCs w:val="24"/>
          <w:lang w:val="en-GB" w:eastAsia="en-GB"/>
        </w:rPr>
      </w:pPr>
      <w:r w:rsidRPr="00C844EE">
        <w:rPr>
          <w:rFonts w:ascii="Times New Roman" w:hAnsi="Times New Roman" w:cs="Times New Roman"/>
          <w:b/>
          <w:i/>
          <w:sz w:val="24"/>
          <w:szCs w:val="24"/>
          <w:lang w:val="en-GB" w:eastAsia="en-GB"/>
        </w:rPr>
        <w:t>CPS outcome: improved management of key natural resources and adapting to climate change</w:t>
      </w:r>
    </w:p>
    <w:p w14:paraId="34BCA3BF" w14:textId="77777777" w:rsidR="00C844EE" w:rsidRPr="00C844EE" w:rsidRDefault="00C844EE" w:rsidP="00C844EE">
      <w:pPr>
        <w:spacing w:after="0" w:line="240" w:lineRule="auto"/>
        <w:contextualSpacing/>
        <w:rPr>
          <w:rFonts w:ascii="Times New Roman" w:hAnsi="Times New Roman" w:cs="Times New Roman"/>
          <w:sz w:val="24"/>
          <w:szCs w:val="24"/>
          <w:lang w:val="en-GB" w:eastAsia="en-GB"/>
        </w:rPr>
      </w:pPr>
    </w:p>
    <w:p w14:paraId="43E2B6E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This objective was achieved. </w:t>
      </w:r>
      <w:r w:rsidRPr="00C844EE">
        <w:rPr>
          <w:rFonts w:ascii="Times New Roman" w:hAnsi="Times New Roman" w:cs="Times New Roman"/>
          <w:sz w:val="24"/>
          <w:szCs w:val="24"/>
          <w:lang w:val="en-GB" w:eastAsia="en-GB"/>
        </w:rPr>
        <w:t xml:space="preserve">The Bank’s program has focused on extending the area of land under irrigation by rehabilitating existing networks and constructing new ones; as well as increasing the area of forest managed in accordance with approved forest management plans. An additional 8270 ha of land was brought under irrigation as a result of WBG efforts. An additional 320,000 ha of forests were brought under management in target areas. The Bank also supported this objective through its work supporting farmers in drought and natural resource management techniques in arid and semi-arid land districts (also noted above under agriculture). </w:t>
      </w:r>
    </w:p>
    <w:p w14:paraId="6B8F473B" w14:textId="77777777" w:rsidR="00C844EE" w:rsidRPr="00C844EE" w:rsidRDefault="00C844EE" w:rsidP="00C844EE">
      <w:pPr>
        <w:spacing w:after="0" w:line="240" w:lineRule="auto"/>
        <w:ind w:left="720"/>
        <w:contextualSpacing/>
        <w:rPr>
          <w:rFonts w:ascii="Times New Roman" w:hAnsi="Times New Roman" w:cs="Times New Roman"/>
          <w:b/>
          <w:sz w:val="24"/>
          <w:szCs w:val="24"/>
          <w:lang w:val="en-GB"/>
        </w:rPr>
      </w:pPr>
    </w:p>
    <w:p w14:paraId="72AC8CAE"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rPr>
        <w:t xml:space="preserve">Pillar 3: Increasing Transparency and Accountability </w:t>
      </w:r>
    </w:p>
    <w:p w14:paraId="609DDEED" w14:textId="77777777" w:rsidR="00C844EE" w:rsidRPr="00C844EE" w:rsidRDefault="00C844EE" w:rsidP="00C844EE">
      <w:pPr>
        <w:jc w:val="both"/>
        <w:rPr>
          <w:rFonts w:ascii="Times New Roman" w:hAnsi="Times New Roman" w:cs="Times New Roman"/>
          <w:b/>
          <w:sz w:val="24"/>
          <w:szCs w:val="24"/>
          <w:lang w:val="en-GB"/>
        </w:rPr>
      </w:pPr>
      <w:r w:rsidRPr="00C844EE">
        <w:rPr>
          <w:rFonts w:ascii="Times New Roman" w:hAnsi="Times New Roman" w:cs="Times New Roman"/>
          <w:b/>
          <w:i/>
          <w:sz w:val="24"/>
          <w:szCs w:val="24"/>
          <w:lang w:val="en-GB"/>
        </w:rPr>
        <w:t>CPS outcome: improved transparency and accountability</w:t>
      </w:r>
    </w:p>
    <w:p w14:paraId="237E23B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At the time of the CASPR governance was reconstituted as a separate pillar in order to highlight its importance</w:t>
      </w:r>
      <w:r w:rsidRPr="00C844EE">
        <w:rPr>
          <w:rFonts w:ascii="Times New Roman" w:hAnsi="Times New Roman" w:cs="Times New Roman"/>
          <w:sz w:val="24"/>
          <w:szCs w:val="24"/>
          <w:lang w:val="en-GB" w:eastAsia="en-GB"/>
        </w:rPr>
        <w:t xml:space="preserve">. Based on the indicators contained within the CPS PR (April 2012) the objective of the new pillar was not achieved.  </w:t>
      </w:r>
    </w:p>
    <w:p w14:paraId="392CA907"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015D35F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Bank was active in a number of areas in support of these indicators.</w:t>
      </w:r>
      <w:r w:rsidRPr="00C844EE">
        <w:rPr>
          <w:rFonts w:ascii="Times New Roman" w:hAnsi="Times New Roman" w:cs="Times New Roman"/>
          <w:sz w:val="24"/>
          <w:szCs w:val="24"/>
          <w:lang w:val="en-GB" w:eastAsia="en-GB"/>
        </w:rPr>
        <w:t xml:space="preserve"> It supported the Government in strengthening budget processes, public financial management including auditing, procurement, revenue mobilization, parliamentary oversight and institutional capacity building in ministries; as well as institutional strengthening at municipal level. The Bank’s main project in this area included a wide range of PDO and intermediate outcome indicators which included the CPS indicators of timely financial statement (partially achieved) and external audit preparation and publication (not achieved). Slower than expected progress in achieving these indicators was due in part to delays in putting in place the requisite infrastructure at both central and local levels. The third indicator, improvement in Kenya’s PEFA score, was not achieved.</w:t>
      </w:r>
    </w:p>
    <w:p w14:paraId="6FEBA542"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3E2FCA17"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In fact the Bank’s activities in this area go well beyond those summarized in the CASPR indicators and delivered through the projects listed in the results framework</w:t>
      </w:r>
      <w:r w:rsidRPr="00C844EE">
        <w:rPr>
          <w:rFonts w:ascii="Times New Roman" w:hAnsi="Times New Roman" w:cs="Times New Roman"/>
          <w:b/>
          <w:sz w:val="24"/>
          <w:szCs w:val="24"/>
          <w:lang w:val="en-GB"/>
        </w:rPr>
        <w:t>.</w:t>
      </w:r>
      <w:r w:rsidRPr="00C844EE">
        <w:rPr>
          <w:rFonts w:ascii="Times New Roman" w:hAnsi="Times New Roman" w:cs="Times New Roman"/>
          <w:sz w:val="24"/>
          <w:szCs w:val="24"/>
          <w:lang w:val="en-GB"/>
        </w:rPr>
        <w:t xml:space="preserve"> Although not explicitly captured by the CPS targets, the Bank has also played an important role in the area of decentralization via the Fiscal Decentralization Knowledge Program (now scaled up into a $6.5 million Kenya Accountable Devolution program financed by the Governance Partnership Facility, GPF, with support from AusAID and DFID); has established itself as a leading external partner on devolution; issued multiple pieces of analysis on devolution; and is supporting judicial reform. The Bank supported the Government as </w:t>
      </w:r>
      <w:r w:rsidRPr="00C844EE">
        <w:rPr>
          <w:rFonts w:ascii="Times New Roman" w:hAnsi="Times New Roman" w:cs="Times New Roman"/>
          <w:bCs/>
          <w:sz w:val="24"/>
          <w:szCs w:val="24"/>
          <w:lang w:val="en-GB" w:eastAsia="en-GB"/>
        </w:rPr>
        <w:t>convenor, facilitator and catalyst in support of the Government’s Open Data Initiative, launched in July 2011, which has propelled Kenya to center stage among developing country efforts to release government data, making over 400 datasets available to the public through the</w:t>
      </w:r>
      <w:hyperlink r:id="rId19" w:history="1">
        <w:r w:rsidRPr="00C844EE">
          <w:rPr>
            <w:rFonts w:ascii="Times New Roman" w:hAnsi="Times New Roman" w:cs="Times New Roman"/>
            <w:bCs/>
            <w:sz w:val="24"/>
            <w:szCs w:val="24"/>
            <w:u w:val="single"/>
            <w:lang w:val="en-GB" w:eastAsia="en-GB"/>
          </w:rPr>
          <w:t xml:space="preserve"> </w:t>
        </w:r>
      </w:hyperlink>
      <w:hyperlink r:id="rId20" w:history="1">
        <w:r w:rsidRPr="00C844EE">
          <w:rPr>
            <w:rFonts w:ascii="Times New Roman" w:hAnsi="Times New Roman" w:cs="Times New Roman"/>
            <w:bCs/>
            <w:sz w:val="24"/>
            <w:szCs w:val="24"/>
            <w:u w:val="single"/>
            <w:lang w:val="en-GB" w:eastAsia="en-GB"/>
          </w:rPr>
          <w:t>opendata</w:t>
        </w:r>
      </w:hyperlink>
      <w:hyperlink r:id="rId21" w:history="1">
        <w:r w:rsidRPr="00C844EE">
          <w:rPr>
            <w:rFonts w:ascii="Times New Roman" w:hAnsi="Times New Roman" w:cs="Times New Roman"/>
            <w:bCs/>
            <w:sz w:val="24"/>
            <w:szCs w:val="24"/>
            <w:u w:val="single"/>
            <w:lang w:val="en-GB" w:eastAsia="en-GB"/>
          </w:rPr>
          <w:t>.</w:t>
        </w:r>
      </w:hyperlink>
      <w:hyperlink r:id="rId22" w:history="1">
        <w:r w:rsidRPr="00C844EE">
          <w:rPr>
            <w:rFonts w:ascii="Times New Roman" w:hAnsi="Times New Roman" w:cs="Times New Roman"/>
            <w:bCs/>
            <w:sz w:val="24"/>
            <w:szCs w:val="24"/>
            <w:u w:val="single"/>
            <w:lang w:val="en-GB" w:eastAsia="en-GB"/>
          </w:rPr>
          <w:t>go</w:t>
        </w:r>
      </w:hyperlink>
      <w:hyperlink r:id="rId23" w:history="1">
        <w:r w:rsidRPr="00C844EE">
          <w:rPr>
            <w:rFonts w:ascii="Times New Roman" w:hAnsi="Times New Roman" w:cs="Times New Roman"/>
            <w:bCs/>
            <w:sz w:val="24"/>
            <w:szCs w:val="24"/>
            <w:u w:val="single"/>
            <w:lang w:val="en-GB" w:eastAsia="en-GB"/>
          </w:rPr>
          <w:t>.</w:t>
        </w:r>
      </w:hyperlink>
      <w:hyperlink r:id="rId24" w:history="1">
        <w:r w:rsidRPr="00C844EE">
          <w:rPr>
            <w:rFonts w:ascii="Times New Roman" w:hAnsi="Times New Roman" w:cs="Times New Roman"/>
            <w:bCs/>
            <w:sz w:val="24"/>
            <w:szCs w:val="24"/>
            <w:u w:val="single"/>
            <w:lang w:val="en-GB" w:eastAsia="en-GB"/>
          </w:rPr>
          <w:t>ke</w:t>
        </w:r>
      </w:hyperlink>
      <w:r w:rsidRPr="00C844EE">
        <w:rPr>
          <w:rFonts w:ascii="Times New Roman" w:hAnsi="Times New Roman" w:cs="Times New Roman"/>
          <w:bCs/>
          <w:sz w:val="24"/>
          <w:szCs w:val="24"/>
          <w:lang w:val="en-GB" w:eastAsia="en-GB"/>
        </w:rPr>
        <w:t xml:space="preserve"> government portal.  </w:t>
      </w:r>
      <w:r w:rsidRPr="00C844EE">
        <w:rPr>
          <w:rFonts w:ascii="Times New Roman" w:hAnsi="Times New Roman" w:cs="Times New Roman"/>
          <w:sz w:val="24"/>
          <w:szCs w:val="24"/>
          <w:lang w:val="en-GB" w:eastAsia="en-GB"/>
        </w:rPr>
        <w:t xml:space="preserve">The initial Innovation Fund award of $100,000 catalyzed other financing, and ownership of open data outreach was increasingly shouldered by Kenyan partners.  Similarly the Bank supported the GoK through provision of </w:t>
      </w:r>
      <w:r w:rsidRPr="00C844EE">
        <w:rPr>
          <w:rFonts w:ascii="Times New Roman" w:hAnsi="Times New Roman" w:cs="Times New Roman"/>
          <w:sz w:val="24"/>
          <w:szCs w:val="24"/>
          <w:lang w:val="en-GB" w:eastAsia="en-GB"/>
        </w:rPr>
        <w:lastRenderedPageBreak/>
        <w:t>input on international best practice in Access to Information and data protection, and provided comments on the draft 2012 Freedom of Information and Data Protection Bills before they were submitted to Cabinet for debate. None of these Bank activities is fully captured by the existing CPS indicators. In part they speak to Bank performance. But they also point to the fact that a significant share of the very positive governance developments that occurred at national level are also to some degree CPS program successes.</w:t>
      </w:r>
    </w:p>
    <w:p w14:paraId="4A68B623"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2E20382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 xml:space="preserve">During this period the Bank worked closely with Government to investigate and respond to a number of financial losses flowing from irregularities arising prior to the FY10-FY13 CPS. </w:t>
      </w:r>
      <w:r w:rsidRPr="00C844EE">
        <w:rPr>
          <w:rFonts w:ascii="Times New Roman" w:hAnsi="Times New Roman" w:cs="Times New Roman"/>
          <w:sz w:val="24"/>
          <w:szCs w:val="24"/>
          <w:lang w:val="en-GB" w:eastAsia="en-GB"/>
        </w:rPr>
        <w:t xml:space="preserve"> In September 2009, i.e. several months prior to Board approval of the FY10-FY13 CPS, the government's Internal Audit Department (IAD) concluded a forensic audit of the Kenya Education Sector Support Project (KESSP) and the Western Kenya Community Driven Development (CDD) project, finding substantial questionable spending, and possible fraud and corruption, under each project. Disbursements were immediately suspended and work undertaken to determine what caused the integrity failures, whether systemic issues contributed, and how such systemic issues could best be addressed. During this period, the Bank's Integrity Vice Presidency (INT) conducted and finalized a forensic audit of phase two of the Arid Lands Management Project, presenting its findings to the government in April 2011. In this case, project disbursements were informally suspended in July 2010, based on a verbal communication of INT's initial findings. KESSP and Arid Lands both closed in December 2010, as scheduled, without resuming disbursements but Western Kenya CDD has resumed operations, after a 16-month suspension, with (inter alia) a new professionally-recruited project implementation unit.</w:t>
      </w:r>
    </w:p>
    <w:p w14:paraId="2516148B"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eastAsia="en-GB"/>
        </w:rPr>
      </w:pPr>
    </w:p>
    <w:p w14:paraId="5B1EE812"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 xml:space="preserve">The excellent and exhaustive work by Government and Bank teams (described further in the next section) in response to these irregularities </w:t>
      </w:r>
      <w:r w:rsidRPr="00C844EE">
        <w:rPr>
          <w:rFonts w:ascii="Times New Roman" w:hAnsi="Times New Roman" w:cs="Times New Roman"/>
          <w:b/>
          <w:sz w:val="24"/>
          <w:szCs w:val="24"/>
          <w:lang w:val="en-GB" w:eastAsia="en-GB"/>
        </w:rPr>
        <w:t xml:space="preserve">have reduced the incidence of fraud and corruption and ineligible expenditures from 15 projects in FY11/12 to only one project in FY12/13.  </w:t>
      </w:r>
      <w:r w:rsidRPr="00C844EE">
        <w:rPr>
          <w:rFonts w:ascii="Times New Roman" w:hAnsi="Times New Roman" w:cs="Times New Roman"/>
          <w:sz w:val="24"/>
          <w:szCs w:val="24"/>
          <w:lang w:val="en-GB" w:eastAsia="en-GB"/>
        </w:rPr>
        <w:t xml:space="preserve">This work </w:t>
      </w:r>
      <w:r w:rsidRPr="00C844EE">
        <w:rPr>
          <w:rFonts w:ascii="Times New Roman" w:hAnsi="Times New Roman" w:cs="Times New Roman"/>
          <w:sz w:val="24"/>
          <w:szCs w:val="24"/>
          <w:lang w:val="en-GB"/>
        </w:rPr>
        <w:t>has also been recognized by the OPCS Governance and Corruption (GAC) team at the Bank and included in its database for wider reference.  Starting in the fall of 2010, the suspended Western Kenya CDD project underwent a major restructuring, based on a detailed governance and anti-corruption plan developed in response to the audit findings, that included appointment of an independent fiduciary agent, new project procedures and manuals on record-keeping, reporting, transparency (including signboards, participation, complaints handling system); a vehicle tracking system was put in place, and a system was set up to geo-map all sub-projects (CDD, local development, flood mitigation). Using "home-grown" GAC FM mechanisms with support from the GPF, and relying on country systems and government institutions the Government and Bank teams have turned a project that was suspended in 2009, before Board approval of the FY10-FY13 CPS, on account of fraud and corruption into the CDD project in Kenya with the most robust FM systems.</w:t>
      </w:r>
      <w:r w:rsidRPr="00C844EE">
        <w:rPr>
          <w:rFonts w:ascii="Times New Roman" w:hAnsi="Times New Roman" w:cs="Times New Roman"/>
          <w:sz w:val="24"/>
          <w:szCs w:val="24"/>
          <w:lang w:val="en-GB" w:eastAsia="en-GB"/>
        </w:rPr>
        <w:t xml:space="preserve"> </w:t>
      </w:r>
    </w:p>
    <w:p w14:paraId="4BB9D0A2"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3285A56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New governance measures were also applied to other projects in the Kenya portfolio.</w:t>
      </w:r>
      <w:r w:rsidRPr="00C844EE">
        <w:rPr>
          <w:rFonts w:ascii="Times New Roman" w:hAnsi="Times New Roman" w:cs="Times New Roman"/>
          <w:sz w:val="24"/>
          <w:szCs w:val="24"/>
          <w:lang w:val="en-GB"/>
        </w:rPr>
        <w:t xml:space="preserve">  Independent fiduciary agents were put in place for three other projects </w:t>
      </w:r>
      <w:r w:rsidRPr="00C844EE">
        <w:rPr>
          <w:rFonts w:ascii="Times New Roman" w:hAnsi="Times New Roman" w:cs="Times New Roman"/>
          <w:sz w:val="24"/>
          <w:szCs w:val="24"/>
          <w:lang w:eastAsia="en-GB"/>
        </w:rPr>
        <w:t>(Health Sector Support Project-HSSF, Total War on Aids, Cash Transfers for Orphans and Vulnerable Children).  S</w:t>
      </w:r>
      <w:r w:rsidRPr="00C844EE">
        <w:rPr>
          <w:rFonts w:ascii="Times New Roman" w:hAnsi="Times New Roman" w:cs="Times New Roman"/>
          <w:bCs/>
          <w:sz w:val="24"/>
          <w:szCs w:val="24"/>
          <w:lang w:eastAsia="en-GB"/>
        </w:rPr>
        <w:t xml:space="preserve">upervision of project record-keeping and accounting was intensified across the portfolio with a particular focus on CDD and local service delivery components.  </w:t>
      </w:r>
      <w:r w:rsidRPr="00C844EE">
        <w:rPr>
          <w:rFonts w:ascii="Times New Roman" w:hAnsi="Times New Roman" w:cs="Times New Roman"/>
          <w:sz w:val="24"/>
          <w:szCs w:val="24"/>
          <w:lang w:eastAsia="en-GB"/>
        </w:rPr>
        <w:t xml:space="preserve">Governance </w:t>
      </w:r>
      <w:r w:rsidRPr="00C844EE">
        <w:rPr>
          <w:rFonts w:ascii="Times New Roman" w:hAnsi="Times New Roman" w:cs="Times New Roman"/>
          <w:sz w:val="24"/>
          <w:szCs w:val="24"/>
          <w:lang w:eastAsia="en-GB"/>
        </w:rPr>
        <w:lastRenderedPageBreak/>
        <w:t xml:space="preserve">and social accountability measures on transparency, participation, and complaints handling were strengthened in HSSF, the Kenya Coastal Development Program, the Kenya Youth Empowerment Program, and the Natural Resource Management project.    </w:t>
      </w:r>
    </w:p>
    <w:p w14:paraId="4C263B80"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71C57F5B" w14:textId="77777777" w:rsidR="00C844EE" w:rsidRPr="00C844EE" w:rsidRDefault="00C844EE" w:rsidP="007B5E57">
      <w:pPr>
        <w:numPr>
          <w:ilvl w:val="0"/>
          <w:numId w:val="23"/>
        </w:numPr>
        <w:spacing w:after="0" w:line="240" w:lineRule="auto"/>
        <w:contextualSpacing/>
        <w:jc w:val="both"/>
        <w:rPr>
          <w:rFonts w:ascii="Times New Roman" w:hAnsi="Times New Roman" w:cs="Times New Roman"/>
          <w:b/>
          <w:sz w:val="24"/>
          <w:szCs w:val="24"/>
          <w:lang w:val="en-GB" w:eastAsia="en-GB"/>
        </w:rPr>
      </w:pPr>
      <w:r w:rsidRPr="00C844EE">
        <w:rPr>
          <w:rFonts w:ascii="Times New Roman" w:hAnsi="Times New Roman" w:cs="Times New Roman"/>
          <w:b/>
          <w:sz w:val="24"/>
          <w:szCs w:val="24"/>
          <w:lang w:val="en-GB" w:eastAsia="en-GB"/>
        </w:rPr>
        <w:t>Review of Bank performance</w:t>
      </w:r>
    </w:p>
    <w:p w14:paraId="40B3A871" w14:textId="77777777" w:rsidR="00C844EE" w:rsidRPr="00C844EE" w:rsidRDefault="00C844EE" w:rsidP="00C844EE">
      <w:pPr>
        <w:spacing w:after="0" w:line="240" w:lineRule="auto"/>
        <w:ind w:left="720"/>
        <w:contextualSpacing/>
        <w:jc w:val="both"/>
        <w:rPr>
          <w:rFonts w:ascii="Times New Roman" w:hAnsi="Times New Roman" w:cs="Times New Roman"/>
          <w:b/>
          <w:sz w:val="24"/>
          <w:szCs w:val="24"/>
          <w:lang w:val="en-GB" w:eastAsia="en-GB"/>
        </w:rPr>
      </w:pPr>
    </w:p>
    <w:p w14:paraId="4751BD8F"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b/>
          <w:sz w:val="24"/>
          <w:szCs w:val="24"/>
          <w:lang w:val="en-GB"/>
        </w:rPr>
      </w:pPr>
      <w:r w:rsidRPr="00C844EE">
        <w:rPr>
          <w:rFonts w:ascii="Times New Roman" w:hAnsi="Times New Roman" w:cs="Times New Roman"/>
          <w:b/>
          <w:sz w:val="24"/>
          <w:szCs w:val="24"/>
          <w:lang w:val="en-GB" w:eastAsia="en-GB"/>
        </w:rPr>
        <w:t xml:space="preserve">Bank performance during the Kenya FY2010-13 CPS was good. </w:t>
      </w:r>
      <w:r w:rsidRPr="00C844EE">
        <w:rPr>
          <w:rFonts w:ascii="Times New Roman" w:hAnsi="Times New Roman" w:cs="Times New Roman"/>
          <w:sz w:val="24"/>
          <w:szCs w:val="24"/>
          <w:lang w:val="en-GB" w:eastAsia="en-GB"/>
        </w:rPr>
        <w:t>Both program design and implementation successfully contributed to CPS objectives, with minor weaknesses, and there is a sound program of ongoing activities.</w:t>
      </w:r>
    </w:p>
    <w:p w14:paraId="25E1EDDE"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676F2C19" w14:textId="77777777" w:rsidR="00C844EE" w:rsidRPr="00C844EE" w:rsidRDefault="00C844EE" w:rsidP="00C844EE">
      <w:pPr>
        <w:spacing w:after="0" w:line="240" w:lineRule="auto"/>
        <w:contextualSpacing/>
        <w:jc w:val="both"/>
        <w:rPr>
          <w:rFonts w:ascii="Times New Roman" w:hAnsi="Times New Roman" w:cs="Times New Roman"/>
          <w:b/>
          <w:i/>
          <w:sz w:val="24"/>
          <w:szCs w:val="24"/>
          <w:lang w:val="en-GB"/>
        </w:rPr>
      </w:pPr>
      <w:r w:rsidRPr="00C844EE">
        <w:rPr>
          <w:rFonts w:ascii="Times New Roman" w:hAnsi="Times New Roman" w:cs="Times New Roman"/>
          <w:b/>
          <w:i/>
          <w:sz w:val="24"/>
          <w:szCs w:val="24"/>
          <w:lang w:val="en-GB"/>
        </w:rPr>
        <w:t>Design of the CPS</w:t>
      </w:r>
    </w:p>
    <w:p w14:paraId="2EFB9BBE" w14:textId="77777777" w:rsidR="00C844EE" w:rsidRPr="00C844EE" w:rsidRDefault="00C844EE" w:rsidP="00C844EE">
      <w:pPr>
        <w:spacing w:after="0" w:line="240" w:lineRule="auto"/>
        <w:contextualSpacing/>
        <w:jc w:val="both"/>
        <w:rPr>
          <w:rFonts w:ascii="Times New Roman" w:hAnsi="Times New Roman" w:cs="Times New Roman"/>
          <w:b/>
          <w:i/>
          <w:sz w:val="24"/>
          <w:szCs w:val="24"/>
          <w:lang w:val="en-GB"/>
        </w:rPr>
      </w:pPr>
    </w:p>
    <w:p w14:paraId="059287A4"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eastAsia="en-GB"/>
        </w:rPr>
        <w:t>The CPS as a whole was highly relevant and well aligned</w:t>
      </w:r>
      <w:r w:rsidRPr="00C844EE">
        <w:rPr>
          <w:rFonts w:ascii="Times New Roman" w:hAnsi="Times New Roman" w:cs="Times New Roman"/>
          <w:sz w:val="24"/>
          <w:szCs w:val="24"/>
          <w:lang w:val="en-GB" w:eastAsia="en-GB"/>
        </w:rPr>
        <w:t xml:space="preserve"> with the key building blocks of Kenya’s long term development strategy, Vision 2030, and the specific priorities contained within the MTP. This is particularly true for transport, energy, water and sanitation, ICT, health and social protection. In the area of agriculture, although the CPS results were mostly achieved, the Bank program could have given greater emphasis to supporting reform of the regulatory and enabling environment, particularly in the food sector. </w:t>
      </w:r>
    </w:p>
    <w:p w14:paraId="616A5A38"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481406A9"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results framework was in general strong and avoided the common problem of an excessive number of outcomes.</w:t>
      </w:r>
      <w:r w:rsidRPr="00C844EE">
        <w:rPr>
          <w:rFonts w:ascii="Times New Roman" w:hAnsi="Times New Roman" w:cs="Times New Roman"/>
          <w:sz w:val="24"/>
          <w:szCs w:val="24"/>
          <w:lang w:val="en-GB"/>
        </w:rPr>
        <w:t xml:space="preserve"> The three pillars that focused on growth, social inclusion and governance were highly appropriate. Most CPS outcomes aimed to achieve incremental improvements in particular economic or social objectives. In one case, social protection, the CPS objective of establishing comprehensive, scalable social protection mechanisms was perhaps over-ambitious given the complexity of the challenge facing the Bank particularly given the low knowledge base from which the Bank was initially starting. Some baseline data (e.g. in the water and sanitation sector) and targets (e.g. in the health sector) that required adjusting were overlooked at the time of the CPS PR but have been adjusted now. </w:t>
      </w:r>
    </w:p>
    <w:p w14:paraId="435065F3"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7E63EBF9" w14:textId="2EC917D3"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But in some areas such as governance, some highly strategic and significant Bank activities were not well captured by indicators in the results framework.</w:t>
      </w:r>
      <w:r w:rsidRPr="00C844EE">
        <w:rPr>
          <w:rFonts w:ascii="Times New Roman" w:hAnsi="Times New Roman" w:cs="Times New Roman"/>
          <w:sz w:val="24"/>
          <w:szCs w:val="24"/>
          <w:lang w:val="en-GB"/>
        </w:rPr>
        <w:t xml:space="preserve">  In this area, the Bank was active in a wide range of activities, many of which were supported by a GPF trust fund for Kenya initiated in late 2010.  Some of these activities are described above in the previous section (paragraphs 44-45). As a result, although the CPS outcomes were not achieved this is not considered to be a major short coming for the purposes of rating the CPS. As discussed above part of the Bank’s work involved responding to issues arising from the pre-CPS period. </w:t>
      </w:r>
      <w:r w:rsidRPr="00C844EE">
        <w:rPr>
          <w:rFonts w:ascii="Times New Roman" w:eastAsia="Times New Roman" w:hAnsi="Times New Roman" w:cs="Times New Roman"/>
          <w:sz w:val="24"/>
          <w:szCs w:val="24"/>
          <w:lang w:val="en-GB" w:eastAsia="en-GB"/>
        </w:rPr>
        <w:t xml:space="preserve">Project-level governance issues in Kenya thus received high-level visibility from WB management and the Executive Directors, requiring significant resources and attention by the country team. In the new CPS it will be important for the Bank and GoK to translate the lessons learned into joint work on building improved government systems for public financial management, procurement, transparency, and oversight at the national and </w:t>
      </w:r>
      <w:r w:rsidR="00804542">
        <w:rPr>
          <w:rFonts w:ascii="Times New Roman" w:eastAsia="Times New Roman" w:hAnsi="Times New Roman" w:cs="Times New Roman"/>
          <w:sz w:val="24"/>
          <w:szCs w:val="24"/>
          <w:lang w:val="en-GB" w:eastAsia="en-GB"/>
        </w:rPr>
        <w:t>subnational</w:t>
      </w:r>
      <w:r w:rsidRPr="00C844EE">
        <w:rPr>
          <w:rFonts w:ascii="Times New Roman" w:eastAsia="Times New Roman" w:hAnsi="Times New Roman" w:cs="Times New Roman"/>
          <w:sz w:val="24"/>
          <w:szCs w:val="24"/>
          <w:lang w:val="en-GB" w:eastAsia="en-GB"/>
        </w:rPr>
        <w:t xml:space="preserve"> levels. </w:t>
      </w:r>
    </w:p>
    <w:p w14:paraId="5A60A159"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481AB0C4"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Although gender issues were highlighted in the FY10-FY13 CPS, gender-specific dimensions were not incorporated in any of the formulated CPS outcomes</w:t>
      </w:r>
      <w:r w:rsidRPr="00C844EE">
        <w:rPr>
          <w:rFonts w:ascii="Times New Roman" w:hAnsi="Times New Roman" w:cs="Times New Roman"/>
          <w:sz w:val="24"/>
          <w:szCs w:val="24"/>
          <w:lang w:val="en-GB"/>
        </w:rPr>
        <w:t xml:space="preserve">. The CPS highlighted gender disparities as shown by relatively low employment rates, income levels, </w:t>
      </w:r>
      <w:r w:rsidRPr="00C844EE">
        <w:rPr>
          <w:rFonts w:ascii="Times New Roman" w:hAnsi="Times New Roman" w:cs="Times New Roman"/>
          <w:sz w:val="24"/>
          <w:szCs w:val="24"/>
          <w:lang w:val="en-GB"/>
        </w:rPr>
        <w:lastRenderedPageBreak/>
        <w:t xml:space="preserve">political representation, access to land and agricultural support services; and relatively high shares of household and caring duties as well as overall poverty levels. It focused on the role that gender mainstreaming can and has played in the agricultural sector. Gender specific targets were set and partially achieved in agriculture and health. Disaggregated data was also collected in education and social protection. This suggests that there are opportunities in the forthcoming CPS to consider a more systematic inclusion of gender disaggregated indicators e.g. in additional sectors where women are disproportionately excluded such as access to finance, governance, and water and sanitation.  </w:t>
      </w:r>
    </w:p>
    <w:p w14:paraId="42FC3C73"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61A7DB2C"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In ICT the target of 3 million users of internet services was in hindsight clearly too modest</w:t>
      </w:r>
      <w:r w:rsidRPr="00C844EE">
        <w:rPr>
          <w:rFonts w:ascii="Times New Roman" w:hAnsi="Times New Roman" w:cs="Times New Roman"/>
          <w:sz w:val="24"/>
          <w:szCs w:val="24"/>
          <w:lang w:val="en-GB" w:eastAsia="en-GB"/>
        </w:rPr>
        <w:t xml:space="preserve"> (given the actual outcome of over 16 million). However, given the information that was available at the time that the targets were set, it is not obvious that a different target should have been chosen.</w:t>
      </w:r>
    </w:p>
    <w:p w14:paraId="7F900730"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5370C555" w14:textId="77777777" w:rsidR="00C844EE" w:rsidRPr="00C844EE" w:rsidRDefault="00C844EE" w:rsidP="00C844EE">
      <w:pPr>
        <w:spacing w:after="0" w:line="240" w:lineRule="auto"/>
        <w:contextualSpacing/>
        <w:jc w:val="both"/>
        <w:rPr>
          <w:rFonts w:ascii="Times New Roman" w:hAnsi="Times New Roman" w:cs="Times New Roman"/>
          <w:b/>
          <w:i/>
          <w:sz w:val="24"/>
          <w:szCs w:val="24"/>
          <w:lang w:val="en-GB"/>
        </w:rPr>
      </w:pPr>
      <w:r w:rsidRPr="00C844EE">
        <w:rPr>
          <w:rFonts w:ascii="Times New Roman" w:hAnsi="Times New Roman" w:cs="Times New Roman"/>
          <w:b/>
          <w:i/>
          <w:sz w:val="24"/>
          <w:szCs w:val="24"/>
          <w:lang w:val="en-GB"/>
        </w:rPr>
        <w:t>Implementation of the CPS</w:t>
      </w:r>
    </w:p>
    <w:p w14:paraId="284F2253"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7EE498D3"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bCs/>
          <w:sz w:val="24"/>
          <w:szCs w:val="24"/>
          <w:lang w:val="en-GB" w:eastAsia="en-GB"/>
        </w:rPr>
      </w:pPr>
      <w:r w:rsidRPr="00C844EE">
        <w:rPr>
          <w:rFonts w:ascii="Times New Roman" w:hAnsi="Times New Roman" w:cs="Times New Roman"/>
          <w:b/>
          <w:sz w:val="24"/>
          <w:szCs w:val="24"/>
          <w:lang w:val="en-GB"/>
        </w:rPr>
        <w:t>Overall, the Bank’s project portfolio performed well,</w:t>
      </w:r>
      <w:r w:rsidRPr="00C844EE">
        <w:rPr>
          <w:rFonts w:ascii="Times New Roman" w:hAnsi="Times New Roman" w:cs="Times New Roman"/>
          <w:sz w:val="24"/>
          <w:szCs w:val="24"/>
          <w:lang w:val="en-GB"/>
        </w:rPr>
        <w:t xml:space="preserve"> with 82% of projects on-track to meet their end-project targets based on the Development Objective (DO) rating in the last Implementation Status and Results Report (ISR) before end FY13. The likelihood that projects would achieve the PDO as rated Marginally Satisfactory (MS)/Satisfactory (S) </w:t>
      </w:r>
      <w:r w:rsidRPr="00C844EE">
        <w:rPr>
          <w:rFonts w:ascii="Times New Roman" w:hAnsi="Times New Roman" w:cs="Times New Roman"/>
          <w:bCs/>
          <w:sz w:val="24"/>
          <w:szCs w:val="24"/>
          <w:lang w:val="en-GB" w:eastAsia="en-GB"/>
        </w:rPr>
        <w:t>for DO increased from 80% of the portfolio in FY09 to 94% in FY13. The trend was similar with respect to Implementation Progress (IP): implementation of 94% of the portfolio was either MS/S compared to 80% in FY09 as at end FY13. There was only one problem project by end FY13 in the portfolio, down from three in FY12, namely the Kenya Youth Employment Project which was restructured to cancel one component because of challenges related to financial management (FM) and implementation.</w:t>
      </w:r>
      <w:r w:rsidRPr="00C844EE">
        <w:rPr>
          <w:rFonts w:ascii="Times New Roman" w:hAnsi="Times New Roman" w:cs="Times New Roman"/>
          <w:sz w:val="24"/>
          <w:szCs w:val="24"/>
          <w:lang w:val="en-GB" w:eastAsia="en-GB"/>
        </w:rPr>
        <w:t xml:space="preserve"> </w:t>
      </w:r>
      <w:r w:rsidRPr="00C844EE">
        <w:rPr>
          <w:rFonts w:ascii="Times New Roman" w:hAnsi="Times New Roman" w:cs="Times New Roman"/>
          <w:bCs/>
          <w:sz w:val="24"/>
          <w:szCs w:val="24"/>
          <w:lang w:val="en-GB" w:eastAsia="en-GB"/>
        </w:rPr>
        <w:t>Disbursements have remained low during the CPS period, but showed improvement in the last year of the CPS – increasing from $160 million in FY09 to $229 million in FY11 and $397 million in FY13.  B</w:t>
      </w:r>
      <w:r w:rsidRPr="00C844EE">
        <w:rPr>
          <w:rFonts w:ascii="Times New Roman" w:hAnsi="Times New Roman" w:cs="Times New Roman"/>
          <w:sz w:val="24"/>
          <w:szCs w:val="24"/>
          <w:lang w:val="en-GB" w:eastAsia="en-GB"/>
        </w:rPr>
        <w:t xml:space="preserve">oth the Bank and GoK teams have made good efforts </w:t>
      </w:r>
      <w:r w:rsidR="00ED7A95">
        <w:rPr>
          <w:rFonts w:ascii="Times New Roman" w:hAnsi="Times New Roman" w:cs="Times New Roman"/>
          <w:sz w:val="24"/>
          <w:szCs w:val="24"/>
          <w:lang w:val="en-GB" w:eastAsia="en-GB"/>
        </w:rPr>
        <w:t>toward</w:t>
      </w:r>
      <w:r w:rsidRPr="00C844EE">
        <w:rPr>
          <w:rFonts w:ascii="Times New Roman" w:hAnsi="Times New Roman" w:cs="Times New Roman"/>
          <w:sz w:val="24"/>
          <w:szCs w:val="24"/>
          <w:lang w:val="en-GB" w:eastAsia="en-GB"/>
        </w:rPr>
        <w:t xml:space="preserve"> cancelling IDA funds from slow disbursing and non-performing projects and re-allocating them to other good performing and fast disbursing projects in the Kenya portfolio.  Between FY12 and FY14 SDR 62.6 million of IDA funds were cancelled from six projects and reallocated to other well-performing projects in the Kenya portfolio.</w:t>
      </w:r>
    </w:p>
    <w:p w14:paraId="22C7CC38" w14:textId="77777777" w:rsidR="00C844EE" w:rsidRPr="00C844EE" w:rsidRDefault="00C844EE" w:rsidP="00C844EE">
      <w:pPr>
        <w:spacing w:after="0" w:line="240" w:lineRule="auto"/>
        <w:ind w:left="360"/>
        <w:contextualSpacing/>
        <w:jc w:val="both"/>
        <w:rPr>
          <w:rFonts w:ascii="Times New Roman" w:hAnsi="Times New Roman" w:cs="Times New Roman"/>
          <w:bCs/>
          <w:sz w:val="24"/>
          <w:szCs w:val="24"/>
          <w:lang w:val="en-GB" w:eastAsia="en-GB"/>
        </w:rPr>
      </w:pPr>
    </w:p>
    <w:p w14:paraId="65F233AB"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bCs/>
          <w:sz w:val="24"/>
          <w:szCs w:val="24"/>
          <w:lang w:val="en-GB" w:eastAsia="en-GB"/>
        </w:rPr>
      </w:pPr>
      <w:r w:rsidRPr="00C844EE">
        <w:rPr>
          <w:rFonts w:ascii="Times New Roman" w:hAnsi="Times New Roman" w:cs="Times New Roman"/>
          <w:b/>
          <w:bCs/>
          <w:sz w:val="24"/>
          <w:szCs w:val="24"/>
          <w:lang w:val="en-GB" w:eastAsia="en-GB"/>
        </w:rPr>
        <w:t>The FY10-FY13 CAS identified a number of risks to the program and mitigating measures.</w:t>
      </w:r>
      <w:r w:rsidRPr="00C844EE">
        <w:rPr>
          <w:rFonts w:ascii="Times New Roman" w:hAnsi="Times New Roman" w:cs="Times New Roman"/>
          <w:bCs/>
          <w:sz w:val="24"/>
          <w:szCs w:val="24"/>
          <w:lang w:val="en-GB" w:eastAsia="en-GB"/>
        </w:rPr>
        <w:t xml:space="preserve"> These included: political uncertainty arising from elections and the need to remain flexible in its programming; a reversal or slowing of macroeconomic progress and the need to ensure that projects underwent thorough cost benefit analysis; exposure to external shocks and the need to maintain sound macroeconomic management; vulnerability to climate change and the need to support the Government in undertaking adaptation measures; terrorism and the need to remain vigilant; and project management and fiduciary risks and the need to provide bespoke training, undertake regular supervision and learn the lessons of the previous CAS. In practice, as already noted above, the political and macroeconomic environment was remarkably steady throughout the CAS. Environmental stresses have continued to play a role but the Bank has been active along the lines anticipated in the CAS. Finally the problems </w:t>
      </w:r>
      <w:r w:rsidRPr="00C844EE">
        <w:rPr>
          <w:rFonts w:ascii="Times New Roman" w:hAnsi="Times New Roman" w:cs="Times New Roman"/>
          <w:bCs/>
          <w:sz w:val="24"/>
          <w:szCs w:val="24"/>
          <w:lang w:val="en-GB" w:eastAsia="en-GB"/>
        </w:rPr>
        <w:lastRenderedPageBreak/>
        <w:t xml:space="preserve">relating to project management and fiduciary issues that arose in the previous period have if anything resulted in stronger systems and processes during the FY10-FY13 CAS. </w:t>
      </w:r>
    </w:p>
    <w:p w14:paraId="17B51139" w14:textId="77777777" w:rsidR="00C844EE" w:rsidRPr="00C844EE" w:rsidRDefault="00C844EE" w:rsidP="00C844EE">
      <w:pPr>
        <w:spacing w:after="0" w:line="240" w:lineRule="auto"/>
        <w:ind w:left="720"/>
        <w:contextualSpacing/>
        <w:rPr>
          <w:rFonts w:ascii="Times New Roman" w:hAnsi="Times New Roman" w:cs="Times New Roman"/>
          <w:bCs/>
          <w:sz w:val="24"/>
          <w:szCs w:val="24"/>
          <w:lang w:val="en-GB" w:eastAsia="en-GB"/>
        </w:rPr>
      </w:pPr>
    </w:p>
    <w:p w14:paraId="186272FA"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bCs/>
          <w:sz w:val="24"/>
          <w:szCs w:val="24"/>
          <w:lang w:val="en-GB" w:eastAsia="en-GB"/>
        </w:rPr>
        <w:t>Kenya is now one of IFC’s most important markets in Sub-Saharan Africa,</w:t>
      </w:r>
      <w:r w:rsidRPr="00C844EE">
        <w:rPr>
          <w:rFonts w:ascii="Times New Roman" w:hAnsi="Times New Roman" w:cs="Times New Roman"/>
          <w:bCs/>
          <w:sz w:val="24"/>
          <w:szCs w:val="24"/>
          <w:lang w:val="en-GB" w:eastAsia="en-GB"/>
        </w:rPr>
        <w:t xml:space="preserve"> particularly for its global financial markets franchise. Kenya is IFC’s fourth largest exposure in the Sub-Sahara region with a committed and outstanding portfolio at the end of FY13 of $702.5 million, and IFC’s 17</w:t>
      </w:r>
      <w:r w:rsidRPr="00C844EE">
        <w:rPr>
          <w:rFonts w:ascii="Times New Roman" w:hAnsi="Times New Roman" w:cs="Times New Roman"/>
          <w:bCs/>
          <w:sz w:val="24"/>
          <w:szCs w:val="24"/>
          <w:vertAlign w:val="superscript"/>
          <w:lang w:val="en-GB" w:eastAsia="en-GB"/>
        </w:rPr>
        <w:t>th</w:t>
      </w:r>
      <w:r w:rsidRPr="00C844EE">
        <w:rPr>
          <w:rFonts w:ascii="Times New Roman" w:hAnsi="Times New Roman" w:cs="Times New Roman"/>
          <w:bCs/>
          <w:sz w:val="24"/>
          <w:szCs w:val="24"/>
          <w:lang w:val="en-GB" w:eastAsia="en-GB"/>
        </w:rPr>
        <w:t xml:space="preserve"> largest global market. The Corporation and its investment partners committed $860.9 million to clients in the country during FY10-FY13 in transactions with 26 clients. Energy was particularly important for IFC in Kenya with commitments of $121 million in six projects during FY10-FY13. IFC investment partners committed $27 million of this in a single $53.8 million infrastructure deal with Gulf Power Ltd intended to </w:t>
      </w:r>
      <w:r w:rsidRPr="00C844EE">
        <w:rPr>
          <w:rFonts w:ascii="Times New Roman" w:hAnsi="Times New Roman" w:cs="Times New Roman"/>
          <w:sz w:val="24"/>
          <w:szCs w:val="24"/>
          <w:lang w:val="en-GB" w:eastAsia="en-GB"/>
        </w:rPr>
        <w:t>support development of an 80 MW heavy fuel oil diesel plant</w:t>
      </w:r>
      <w:r w:rsidRPr="00C844EE">
        <w:rPr>
          <w:rFonts w:ascii="Times New Roman" w:hAnsi="Times New Roman" w:cs="Times New Roman"/>
          <w:bCs/>
          <w:sz w:val="24"/>
          <w:szCs w:val="24"/>
          <w:lang w:val="en-GB" w:eastAsia="en-GB"/>
        </w:rPr>
        <w:t xml:space="preserve"> in Nairobi. Nevertheless IFC’s activities in Kenya are fairly recent and have accelerated rapidly in a short period of time. As a result, most projects in the portfolio are still either under development, or have not generated more than two years of development impact data. In many cases it is therefore still too early to tell how IFC operations have benefited women, farmers, or MSMEs among others. </w:t>
      </w:r>
    </w:p>
    <w:p w14:paraId="13E1AE4D"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eastAsia="en-GB"/>
        </w:rPr>
      </w:pPr>
    </w:p>
    <w:p w14:paraId="53E86C67"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eastAsia="en-GB"/>
        </w:rPr>
      </w:pPr>
      <w:r w:rsidRPr="00C844EE">
        <w:rPr>
          <w:rFonts w:ascii="Times New Roman" w:hAnsi="Times New Roman" w:cs="Times New Roman"/>
          <w:b/>
          <w:sz w:val="24"/>
          <w:szCs w:val="24"/>
          <w:lang w:val="en-GB" w:eastAsia="en-GB"/>
        </w:rPr>
        <w:t>There were examples of outstanding analytical and advisory (AAA) work</w:t>
      </w:r>
      <w:r w:rsidRPr="00C844EE">
        <w:rPr>
          <w:rFonts w:ascii="Times New Roman" w:hAnsi="Times New Roman" w:cs="Times New Roman"/>
          <w:sz w:val="24"/>
          <w:szCs w:val="24"/>
          <w:lang w:val="en-GB" w:eastAsia="en-GB"/>
        </w:rPr>
        <w:t xml:space="preserve"> notably in the area of social protection where the Bank invested strongly in deepening its understanding of the sector and did so in a manner that enabled the Government to publish the Bank’s economic and sector work as its own. In agriculture more investment in AAA might have positioned the Bank to play a more strategic role in shaping the policy environment in the food sector. IFC’s Advisory Services (AS) arm has also played significant role in Kenya, with $29.8 million in total project expenditures during the CPS period, the largest in the region. Investment Climate work is a major part of AS caseload in Kenya, with four projects underway in FY13, compared with two in FY10. Project spending in the period was $8.5 million. Operations included work on streamlining national regulations, work with local authorities, and support for regional integration. </w:t>
      </w:r>
    </w:p>
    <w:p w14:paraId="1693A09C"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38853772" w14:textId="77777777" w:rsidR="00C844EE" w:rsidRPr="00C844EE" w:rsidRDefault="00C844EE" w:rsidP="007B5E57">
      <w:pPr>
        <w:numPr>
          <w:ilvl w:val="0"/>
          <w:numId w:val="22"/>
        </w:numPr>
        <w:spacing w:before="100" w:beforeAutospacing="1" w:after="100" w:afterAutospacing="1" w:line="240" w:lineRule="auto"/>
        <w:contextualSpacing/>
        <w:jc w:val="both"/>
        <w:rPr>
          <w:rFonts w:ascii="Times New Roman" w:eastAsia="Times New Roman" w:hAnsi="Times New Roman" w:cs="Times New Roman"/>
          <w:sz w:val="24"/>
          <w:szCs w:val="24"/>
          <w:lang w:val="en-GB" w:eastAsia="en-GB"/>
        </w:rPr>
      </w:pPr>
      <w:r w:rsidRPr="00C844EE">
        <w:rPr>
          <w:rFonts w:ascii="Times New Roman" w:hAnsi="Times New Roman" w:cs="Times New Roman"/>
          <w:b/>
          <w:sz w:val="24"/>
          <w:szCs w:val="24"/>
          <w:lang w:val="en-GB"/>
        </w:rPr>
        <w:t xml:space="preserve">As already noted in the section above, the Bank’s governance team was extensively involved in putting in place robust fiduciary mechanisms at project level that have since been recognized by GAC team as excellent practice. </w:t>
      </w:r>
      <w:r w:rsidRPr="00C844EE">
        <w:rPr>
          <w:rFonts w:ascii="Times New Roman" w:hAnsi="Times New Roman" w:cs="Times New Roman"/>
          <w:sz w:val="24"/>
          <w:szCs w:val="24"/>
          <w:lang w:val="en-GB"/>
        </w:rPr>
        <w:t>In addition, more</w:t>
      </w:r>
      <w:r w:rsidRPr="00C844EE">
        <w:rPr>
          <w:rFonts w:ascii="Times New Roman" w:hAnsi="Times New Roman" w:cs="Times New Roman"/>
          <w:b/>
          <w:sz w:val="24"/>
          <w:szCs w:val="24"/>
          <w:lang w:val="en-GB"/>
        </w:rPr>
        <w:t xml:space="preserve"> </w:t>
      </w:r>
      <w:r w:rsidRPr="00C844EE">
        <w:rPr>
          <w:rFonts w:ascii="Times New Roman" w:hAnsi="Times New Roman" w:cs="Times New Roman"/>
          <w:sz w:val="24"/>
          <w:szCs w:val="24"/>
          <w:lang w:val="en-GB"/>
        </w:rPr>
        <w:t xml:space="preserve">WB staff resources were devoted to governance:  a senior social development specialist was recruited starting in Sept 2010 to review the governance weaknesses emerging from the forensic audits and help GoK counterparts and task team leaders strengthen governance in CDD and local service delivery projects. A lead public sector/governance specialist was recruited; and extended consultancies were put in place (funded by TFs) to review CDD (see below) and to strengthen social accountability, transparency, complaints handling in WKCDD and Health projects and related government systems.  Led by the CMU, a cross-sectoral governance team was put together in 2012 to review and strengthen these governance measures across the portfolio. </w:t>
      </w:r>
    </w:p>
    <w:p w14:paraId="69ACE1C9" w14:textId="77777777" w:rsidR="00C844EE" w:rsidRPr="00C844EE" w:rsidRDefault="00C844EE" w:rsidP="00C844EE">
      <w:pPr>
        <w:spacing w:before="100" w:beforeAutospacing="1" w:after="100" w:afterAutospacing="1" w:line="240" w:lineRule="auto"/>
        <w:ind w:left="360"/>
        <w:contextualSpacing/>
        <w:jc w:val="both"/>
        <w:rPr>
          <w:rFonts w:ascii="Times New Roman" w:eastAsia="Times New Roman" w:hAnsi="Times New Roman" w:cs="Times New Roman"/>
          <w:sz w:val="24"/>
          <w:szCs w:val="24"/>
          <w:lang w:val="en-GB" w:eastAsia="en-GB"/>
        </w:rPr>
      </w:pPr>
    </w:p>
    <w:p w14:paraId="285EBFE7" w14:textId="77777777" w:rsidR="00C844EE" w:rsidRPr="00C844EE" w:rsidRDefault="00C844EE" w:rsidP="007B5E57">
      <w:pPr>
        <w:numPr>
          <w:ilvl w:val="0"/>
          <w:numId w:val="22"/>
        </w:numPr>
        <w:spacing w:before="100" w:beforeAutospacing="1" w:after="100" w:afterAutospacing="1"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Work was also initiated to scale up the lessons from the problem projects into government systems</w:t>
      </w:r>
      <w:r w:rsidRPr="00C844EE">
        <w:rPr>
          <w:rFonts w:ascii="Times New Roman" w:hAnsi="Times New Roman" w:cs="Times New Roman"/>
          <w:sz w:val="24"/>
          <w:szCs w:val="24"/>
          <w:lang w:val="en-GB"/>
        </w:rPr>
        <w:t xml:space="preserve">. In response to a request from Treasury, a detailed review of fiduciary issues in WB portfolio involving CDD and decentralized expenditures was conducted.  Based </w:t>
      </w:r>
      <w:r w:rsidRPr="00C844EE">
        <w:rPr>
          <w:rFonts w:ascii="Times New Roman" w:hAnsi="Times New Roman" w:cs="Times New Roman"/>
          <w:sz w:val="24"/>
          <w:szCs w:val="24"/>
          <w:lang w:val="en-GB"/>
        </w:rPr>
        <w:lastRenderedPageBreak/>
        <w:t xml:space="preserve">on this review, the WB team together with the Ministry of Finance developed a draft GoK CDD policy that lays out the key principles and actions to reduce governance risks. The Bank team also placed a strong emphasis on governance in the devolution technical assistance and analysis (especially around PFM, transparency, accountability).  </w:t>
      </w:r>
    </w:p>
    <w:p w14:paraId="55F4B943" w14:textId="77777777" w:rsidR="00C844EE" w:rsidRPr="00C844EE" w:rsidRDefault="00C844EE" w:rsidP="00C844EE">
      <w:pPr>
        <w:spacing w:before="100" w:beforeAutospacing="1" w:after="100" w:afterAutospacing="1" w:line="240" w:lineRule="auto"/>
        <w:ind w:left="360"/>
        <w:contextualSpacing/>
        <w:jc w:val="both"/>
        <w:rPr>
          <w:rFonts w:ascii="Times New Roman" w:hAnsi="Times New Roman" w:cs="Times New Roman"/>
          <w:sz w:val="24"/>
          <w:szCs w:val="24"/>
          <w:lang w:val="en-GB"/>
        </w:rPr>
      </w:pPr>
    </w:p>
    <w:p w14:paraId="28742FF5" w14:textId="77777777" w:rsidR="00C844EE" w:rsidRPr="00C844EE" w:rsidRDefault="00C844EE" w:rsidP="007B5E57">
      <w:pPr>
        <w:numPr>
          <w:ilvl w:val="0"/>
          <w:numId w:val="22"/>
        </w:numPr>
        <w:spacing w:before="100" w:beforeAutospacing="1" w:after="100" w:afterAutospacing="1"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In general there was a good level of trust and dialogue between the Bank and the GoK as well as with the donor community in general.</w:t>
      </w:r>
      <w:r w:rsidRPr="00C844EE">
        <w:rPr>
          <w:rFonts w:ascii="Times New Roman" w:hAnsi="Times New Roman" w:cs="Times New Roman"/>
          <w:sz w:val="24"/>
          <w:szCs w:val="24"/>
          <w:lang w:val="en-GB"/>
        </w:rPr>
        <w:t xml:space="preserve"> In those instances where projects resulted in fraud and corruption the GoK was quick to react. For example in KESSP, the strengthening of KENAO and IAD were key ingredients in uncovering the fraud and corruption that occurred. Without these, it is unlikely that the fraud and corruption would have been discovered at that time. However it remains unclear whether as a result of the investigations that have since occurred those responsible have been held to full account.</w:t>
      </w:r>
    </w:p>
    <w:p w14:paraId="0C60A412"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728306C0" w14:textId="77777777" w:rsid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As with most country programs, there are examples of project preparation starting, but then having to be re-timetabled or discontinued</w:t>
      </w:r>
      <w:r w:rsidRPr="00C844EE">
        <w:rPr>
          <w:rFonts w:ascii="Times New Roman" w:hAnsi="Times New Roman" w:cs="Times New Roman"/>
          <w:sz w:val="24"/>
          <w:szCs w:val="24"/>
          <w:lang w:val="en-GB"/>
        </w:rPr>
        <w:t>. For example the Bank initially suspended preparation of a judicial performance improvement project on the basis that Government support for the project was likely to be stronger following approval of a new, progressive Constitution in August 2010. Project preparation resumed in 2011 once enabling conditions had improved and a new Judicial Performance Improvement project was approved in FY13. Re-timetabling or discontinuing projects during preparation helped avoid implementation problems that might have emerged at a later stage. Such decisions were generally taken as swiftly as possible although the decision by IDA and IFC not to finance the Nairobi toll road project, which also involved private sector investors, took about one year.</w:t>
      </w:r>
    </w:p>
    <w:p w14:paraId="27A6E724" w14:textId="77777777" w:rsidR="00614D5C" w:rsidRDefault="00614D5C" w:rsidP="00614D5C">
      <w:pPr>
        <w:pStyle w:val="ListParagraph"/>
        <w:rPr>
          <w:rFonts w:ascii="Times New Roman" w:hAnsi="Times New Roman" w:cs="Times New Roman"/>
          <w:sz w:val="24"/>
          <w:szCs w:val="24"/>
          <w:lang w:val="en-GB"/>
        </w:rPr>
      </w:pPr>
    </w:p>
    <w:p w14:paraId="48FE1F6D" w14:textId="77777777" w:rsidR="00C844EE" w:rsidRPr="00C844EE" w:rsidRDefault="00C844EE" w:rsidP="007B5E57">
      <w:pPr>
        <w:numPr>
          <w:ilvl w:val="0"/>
          <w:numId w:val="23"/>
        </w:numPr>
        <w:spacing w:after="0" w:line="240" w:lineRule="auto"/>
        <w:contextualSpacing/>
        <w:jc w:val="both"/>
        <w:rPr>
          <w:rFonts w:ascii="Times New Roman" w:hAnsi="Times New Roman" w:cs="Times New Roman"/>
          <w:b/>
          <w:sz w:val="24"/>
          <w:szCs w:val="24"/>
          <w:lang w:val="en-GB" w:eastAsia="en-GB"/>
        </w:rPr>
      </w:pPr>
      <w:r w:rsidRPr="00C844EE">
        <w:rPr>
          <w:rFonts w:ascii="Times New Roman" w:hAnsi="Times New Roman" w:cs="Times New Roman"/>
          <w:b/>
          <w:sz w:val="24"/>
          <w:szCs w:val="24"/>
          <w:lang w:val="en-GB" w:eastAsia="en-GB"/>
        </w:rPr>
        <w:t>Key lessons and suggestions</w:t>
      </w:r>
    </w:p>
    <w:p w14:paraId="58088026" w14:textId="77777777" w:rsidR="00C844EE" w:rsidRPr="00C844EE" w:rsidRDefault="00C844EE" w:rsidP="00C844EE">
      <w:pPr>
        <w:spacing w:after="0" w:line="240" w:lineRule="auto"/>
        <w:ind w:left="720"/>
        <w:contextualSpacing/>
        <w:jc w:val="both"/>
        <w:rPr>
          <w:rFonts w:ascii="Times New Roman" w:hAnsi="Times New Roman" w:cs="Times New Roman"/>
          <w:b/>
          <w:sz w:val="24"/>
          <w:szCs w:val="24"/>
          <w:lang w:val="en-GB" w:eastAsia="en-GB"/>
        </w:rPr>
      </w:pPr>
    </w:p>
    <w:p w14:paraId="59290CB1"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importance of scale and strategic scope.</w:t>
      </w:r>
      <w:r w:rsidRPr="00C844EE">
        <w:rPr>
          <w:rFonts w:ascii="Times New Roman" w:hAnsi="Times New Roman" w:cs="Times New Roman"/>
          <w:sz w:val="24"/>
          <w:szCs w:val="24"/>
          <w:lang w:val="en-GB"/>
        </w:rPr>
        <w:t xml:space="preserve"> An example where the Bank was able to engage the GoK at a highly strategic level was in social protection on the back of its AAA work. The Bank’s AAA work helped provide a solid foundation for its future program of work in the sector, built credibility with the Government and with partners, and created a shared vision and framework for interventions. However in agriculture the Bank did not address the major strategic issue of regulation of the food sector and hence did not have an impact on the all-important issue of excessive maize prices. Some aspects of the finance and private sector development program appeared to fall beneath the GoK’s radar.  Analysis of IEG ratings of Kenya projects supports this lesson. Since at least 1990 the percentage of project outcomes rated MS or better has been consistently below the regional average and within this it appears that larger projects (i.e. those over $100 million) are twice as likely to be rated moderately satisfactory as smaller projects. Projects that close on time have also done better than those that continue beyond 5 years. Ratings of Bank and Borrower performance have also been below regional averages.</w:t>
      </w:r>
    </w:p>
    <w:p w14:paraId="16D8C8CE" w14:textId="77777777" w:rsidR="00C844EE" w:rsidRPr="00C844EE" w:rsidRDefault="00C844EE" w:rsidP="00C844EE">
      <w:pPr>
        <w:spacing w:after="0" w:line="240" w:lineRule="auto"/>
        <w:ind w:left="720"/>
        <w:contextualSpacing/>
        <w:jc w:val="both"/>
        <w:rPr>
          <w:rFonts w:ascii="Times New Roman" w:hAnsi="Times New Roman" w:cs="Times New Roman"/>
          <w:sz w:val="24"/>
          <w:szCs w:val="24"/>
          <w:lang w:val="en-GB"/>
        </w:rPr>
      </w:pPr>
    </w:p>
    <w:p w14:paraId="159C4CE6"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Effective Bank group collaboration.</w:t>
      </w:r>
      <w:r w:rsidRPr="00C844EE">
        <w:rPr>
          <w:rFonts w:ascii="Times New Roman" w:hAnsi="Times New Roman" w:cs="Times New Roman"/>
          <w:sz w:val="24"/>
          <w:szCs w:val="24"/>
          <w:lang w:val="en-GB"/>
        </w:rPr>
        <w:t xml:space="preserve"> Collaboration within the Bank works best where actors each bring something different to the table.  In the area of business regulation and access to finance IFC and the Bank have worked in tandem to improve the business environment for MSMEs. In the energy sector there was good collaboration between the Bank, IFC and MIGA in the creation of a number of new Independent Power Producers </w:t>
      </w:r>
      <w:r w:rsidRPr="00C844EE">
        <w:rPr>
          <w:rFonts w:ascii="Times New Roman" w:hAnsi="Times New Roman" w:cs="Times New Roman"/>
          <w:sz w:val="24"/>
          <w:szCs w:val="24"/>
          <w:lang w:val="en-GB"/>
        </w:rPr>
        <w:lastRenderedPageBreak/>
        <w:t xml:space="preserve">through a combination of financing, partial credit guarantees, political risk insurance and advisory services. In railways collaboration also worked well (even though the project encountered difficulties) with IFC providing finance and IDA dealing with 70,000 resettlements. IFC and the Bank are also working side by side in the agribusiness and health sectors albeit IFC’s involvement is relatively recent. </w:t>
      </w:r>
    </w:p>
    <w:p w14:paraId="283EC0AA" w14:textId="77777777" w:rsidR="00C844EE" w:rsidRPr="00C844EE" w:rsidRDefault="00C844EE" w:rsidP="00C844EE">
      <w:pPr>
        <w:spacing w:after="0" w:line="240" w:lineRule="auto"/>
        <w:ind w:left="720"/>
        <w:contextualSpacing/>
        <w:rPr>
          <w:rFonts w:ascii="Times New Roman" w:hAnsi="Times New Roman" w:cs="Times New Roman"/>
          <w:sz w:val="24"/>
          <w:szCs w:val="24"/>
          <w:lang w:val="en-GB"/>
        </w:rPr>
      </w:pPr>
    </w:p>
    <w:p w14:paraId="0A71FA93"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need to strengthen M&amp;E</w:t>
      </w:r>
      <w:r w:rsidRPr="00C844EE">
        <w:rPr>
          <w:rFonts w:ascii="Times New Roman" w:hAnsi="Times New Roman" w:cs="Times New Roman"/>
          <w:sz w:val="24"/>
          <w:szCs w:val="24"/>
          <w:lang w:val="en-GB"/>
        </w:rPr>
        <w:t xml:space="preserve">. </w:t>
      </w:r>
      <w:r w:rsidRPr="00C844EE">
        <w:rPr>
          <w:rFonts w:ascii="Times New Roman" w:hAnsi="Times New Roman" w:cs="Times New Roman"/>
          <w:sz w:val="24"/>
          <w:szCs w:val="24"/>
          <w:lang w:val="en-GB" w:eastAsia="en-GB"/>
        </w:rPr>
        <w:t>M&amp;E systems in Kenya have improved, particularly with respect to the production of data and progress reports, however, quality and the use of the result information in decision-making remains a challenge.</w:t>
      </w:r>
      <w:r w:rsidRPr="00C844EE">
        <w:rPr>
          <w:rFonts w:ascii="Times New Roman" w:hAnsi="Times New Roman" w:cs="Times New Roman"/>
          <w:b/>
          <w:sz w:val="24"/>
          <w:szCs w:val="24"/>
          <w:lang w:val="en-GB" w:eastAsia="en-GB"/>
        </w:rPr>
        <w:t xml:space="preserve"> </w:t>
      </w:r>
      <w:r w:rsidRPr="00C844EE">
        <w:rPr>
          <w:rFonts w:ascii="Times New Roman" w:hAnsi="Times New Roman" w:cs="Times New Roman"/>
          <w:sz w:val="24"/>
          <w:szCs w:val="24"/>
          <w:lang w:val="en-GB" w:eastAsia="en-GB"/>
        </w:rPr>
        <w:t>Throughout the CPS period</w:t>
      </w:r>
      <w:r w:rsidRPr="00C844EE">
        <w:rPr>
          <w:rFonts w:ascii="Times New Roman" w:hAnsi="Times New Roman" w:cs="Times New Roman"/>
          <w:b/>
          <w:sz w:val="24"/>
          <w:szCs w:val="24"/>
          <w:lang w:val="en-GB" w:eastAsia="en-GB"/>
        </w:rPr>
        <w:t xml:space="preserve"> </w:t>
      </w:r>
      <w:r w:rsidRPr="00C844EE">
        <w:rPr>
          <w:rFonts w:ascii="Times New Roman" w:hAnsi="Times New Roman" w:cs="Times New Roman"/>
          <w:sz w:val="24"/>
          <w:szCs w:val="24"/>
          <w:lang w:val="en-GB" w:eastAsia="en-GB"/>
        </w:rPr>
        <w:t xml:space="preserve">the Bank provided financial and technical assistance to strengthen M&amp;E systems at national/sectoral and decentralized (district/county) levels. This was achieved through a number of lending operations at sector level, including the STATCAP project. High level technical assistance focused on support formulating the new M&amp;E Policy and strengthening the Annual Progress Reports to include a greater emphasis on dissemination and use in planning, budgeting and program/project implementation. </w:t>
      </w:r>
    </w:p>
    <w:p w14:paraId="51A69173"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7E26BD85"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CPS results framework could have been stronger</w:t>
      </w:r>
      <w:r w:rsidRPr="00C844EE">
        <w:rPr>
          <w:rFonts w:ascii="Times New Roman" w:hAnsi="Times New Roman" w:cs="Times New Roman"/>
          <w:sz w:val="24"/>
          <w:szCs w:val="24"/>
          <w:lang w:val="en-GB"/>
        </w:rPr>
        <w:t xml:space="preserve"> in two respects: 1) gender and 2) alignment of results with activities. With respect to gender, although the CPS highlighted the issue of gender and included gender specific targets in two sectors, agriculture and health, it did not mainstream gender across the results matrix. Without – at least - gender specific targets in key sectors there is inevitably a significant risk that Bank Group attention to this critical issue will slip. More generally there were several instances, most notably under governance, where the results set out in the results framework were not well-aligned with the Bank program and failed properly to reflect the wide front across which the Bank was active. </w:t>
      </w:r>
    </w:p>
    <w:p w14:paraId="2F4181DE" w14:textId="77777777" w:rsidR="00C844EE" w:rsidRPr="00C844EE" w:rsidRDefault="00C844EE" w:rsidP="00C844EE">
      <w:pPr>
        <w:spacing w:after="0" w:line="240" w:lineRule="auto"/>
        <w:ind w:left="720"/>
        <w:contextualSpacing/>
        <w:rPr>
          <w:rFonts w:ascii="Times New Roman" w:hAnsi="Times New Roman" w:cs="Times New Roman"/>
          <w:b/>
          <w:sz w:val="24"/>
          <w:szCs w:val="24"/>
          <w:lang w:val="en-GB" w:eastAsia="en-GB"/>
        </w:rPr>
      </w:pPr>
    </w:p>
    <w:p w14:paraId="7F1FE082"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The importance of clearly signalling, particularly in projects involving private finance, the likely time, cost and Government supervisory implications of Bank Group due diligence requirements</w:t>
      </w:r>
      <w:r w:rsidRPr="00C844EE">
        <w:rPr>
          <w:rFonts w:ascii="Times New Roman" w:hAnsi="Times New Roman" w:cs="Times New Roman"/>
          <w:sz w:val="24"/>
          <w:szCs w:val="24"/>
          <w:lang w:val="en-GB"/>
        </w:rPr>
        <w:t>.  In its September 2013 Investment Prospectus the Government of Kenya states that it will approach IDA for partial risk guarantees (PRGs) to help encourage private investment into a pipeline of privately financed electricity and other infrastructure generation projects. In order to provide such PRGs the Bank would require independent professional assessments to be carried out, as part of its due diligence requirements, to ensure that projects proposed are consistent with least-cost development planning and realistic growth assumptions. In order that all parties fully understand these requirements, and to avoid possible misunderstanding and disappointment, it will be important for the Bank to clearly signal at an early stage what these due diligence requirements are, how long they are likely to take and cost implications. It will also be important to ensure that there is sufficient capacity to commission and supervise these due diligence requirements within the relevant government ministries, utilities and other corporate bodies.</w:t>
      </w:r>
    </w:p>
    <w:p w14:paraId="04F4EAA5" w14:textId="77777777" w:rsidR="00C844EE" w:rsidRPr="00C844EE" w:rsidRDefault="00C844EE" w:rsidP="00C844EE">
      <w:pPr>
        <w:spacing w:after="0" w:line="240" w:lineRule="auto"/>
        <w:ind w:left="360"/>
        <w:contextualSpacing/>
        <w:jc w:val="both"/>
        <w:rPr>
          <w:rFonts w:ascii="Times New Roman" w:hAnsi="Times New Roman" w:cs="Times New Roman"/>
          <w:sz w:val="24"/>
          <w:szCs w:val="24"/>
          <w:lang w:val="en-GB"/>
        </w:rPr>
      </w:pPr>
    </w:p>
    <w:p w14:paraId="42DA6288" w14:textId="77777777" w:rsidR="00C844EE" w:rsidRPr="00C844EE" w:rsidRDefault="00C844EE" w:rsidP="007B5E57">
      <w:pPr>
        <w:numPr>
          <w:ilvl w:val="0"/>
          <w:numId w:val="22"/>
        </w:numPr>
        <w:spacing w:after="0" w:line="240" w:lineRule="auto"/>
        <w:contextualSpacing/>
        <w:jc w:val="both"/>
        <w:rPr>
          <w:rFonts w:ascii="Times New Roman" w:hAnsi="Times New Roman" w:cs="Times New Roman"/>
          <w:sz w:val="24"/>
          <w:szCs w:val="24"/>
          <w:lang w:val="en-GB"/>
        </w:rPr>
      </w:pPr>
      <w:r w:rsidRPr="00C844EE">
        <w:rPr>
          <w:rFonts w:ascii="Times New Roman" w:hAnsi="Times New Roman" w:cs="Times New Roman"/>
          <w:b/>
          <w:sz w:val="24"/>
          <w:szCs w:val="24"/>
          <w:lang w:val="en-GB"/>
        </w:rPr>
        <w:t>In addition to the insights and lessons that emerge from ICRs and discussions with Bank staff, as well as IEG analysis, the Bank’s stakeholders have also provided a range of insights through the latest client survey undertaken in 2012.</w:t>
      </w:r>
      <w:r w:rsidRPr="00C844EE">
        <w:rPr>
          <w:rFonts w:ascii="Times New Roman" w:hAnsi="Times New Roman" w:cs="Times New Roman"/>
          <w:sz w:val="24"/>
          <w:szCs w:val="24"/>
          <w:lang w:val="en-GB"/>
        </w:rPr>
        <w:t xml:space="preserve"> Some challenges emerging from the survey include the following: </w:t>
      </w:r>
      <w:r w:rsidRPr="00C844EE">
        <w:rPr>
          <w:rFonts w:ascii="Times New Roman" w:hAnsi="Times New Roman" w:cs="Times New Roman"/>
          <w:bCs/>
          <w:iCs/>
          <w:sz w:val="24"/>
          <w:szCs w:val="24"/>
          <w:lang w:val="en-GB" w:eastAsia="en-GB"/>
        </w:rPr>
        <w:t xml:space="preserve">the </w:t>
      </w:r>
      <w:r w:rsidRPr="00C844EE">
        <w:rPr>
          <w:rFonts w:ascii="Times New Roman" w:hAnsi="Times New Roman" w:cs="Times New Roman"/>
          <w:sz w:val="24"/>
          <w:szCs w:val="24"/>
          <w:lang w:val="en-GB" w:eastAsia="en-GB"/>
        </w:rPr>
        <w:t xml:space="preserve">3rd highest priority for poverty reduction according to stakeholders is job creation and employment; yet this is the sector where stakeholders rate the Bank second lowest. Second, while the Bank values gender, the </w:t>
      </w:r>
      <w:r w:rsidRPr="00C844EE">
        <w:rPr>
          <w:rFonts w:ascii="Times New Roman" w:hAnsi="Times New Roman" w:cs="Times New Roman"/>
          <w:sz w:val="24"/>
          <w:szCs w:val="24"/>
          <w:lang w:val="en-GB" w:eastAsia="en-GB"/>
        </w:rPr>
        <w:lastRenderedPageBreak/>
        <w:t>environment and natural resource management, these do not appear to be prioritised by stakeholders to the same extent. Third, agriculture and education are two of the top three sectors for poverty reduction and growth according to stakeholders. Yet in some respects, and for reasons discussed above in this CASCR, the Bank has struggled to have an impact in these sectors during FY10-13. Each of these insights are useful challenges for the new CPS.</w:t>
      </w:r>
    </w:p>
    <w:p w14:paraId="4F02C3C9" w14:textId="77777777" w:rsidR="00C844EE" w:rsidRPr="00C844EE" w:rsidRDefault="00C844EE" w:rsidP="00C844EE">
      <w:pPr>
        <w:spacing w:after="0" w:line="240" w:lineRule="auto"/>
        <w:ind w:left="720"/>
        <w:contextualSpacing/>
        <w:rPr>
          <w:rFonts w:ascii="Times New Roman" w:hAnsi="Times New Roman" w:cs="Times New Roman"/>
          <w:b/>
          <w:sz w:val="24"/>
          <w:szCs w:val="24"/>
          <w:lang w:val="en-GB" w:eastAsia="en-GB"/>
        </w:rPr>
      </w:pPr>
    </w:p>
    <w:p w14:paraId="381DE1B1" w14:textId="77777777" w:rsidR="00C844EE" w:rsidRPr="00C844EE" w:rsidRDefault="00C844EE" w:rsidP="00C844EE">
      <w:pPr>
        <w:spacing w:after="0" w:line="240" w:lineRule="auto"/>
        <w:contextualSpacing/>
        <w:jc w:val="both"/>
        <w:rPr>
          <w:rFonts w:ascii="Times New Roman" w:hAnsi="Times New Roman" w:cs="Times New Roman"/>
          <w:b/>
          <w:sz w:val="24"/>
          <w:szCs w:val="24"/>
          <w:lang w:val="en-GB" w:eastAsia="en-GB"/>
        </w:rPr>
      </w:pPr>
      <w:r w:rsidRPr="00C844EE">
        <w:rPr>
          <w:rFonts w:ascii="Times New Roman" w:hAnsi="Times New Roman" w:cs="Times New Roman"/>
          <w:b/>
          <w:sz w:val="24"/>
          <w:szCs w:val="24"/>
          <w:lang w:val="en-GB" w:eastAsia="en-GB"/>
        </w:rPr>
        <w:t>Notes</w:t>
      </w:r>
    </w:p>
    <w:p w14:paraId="6D681DD0" w14:textId="77777777" w:rsidR="00C844EE" w:rsidRPr="00C844EE" w:rsidRDefault="00C844EE" w:rsidP="00C844EE">
      <w:pPr>
        <w:spacing w:after="0" w:line="240" w:lineRule="auto"/>
        <w:contextualSpacing/>
        <w:jc w:val="both"/>
        <w:rPr>
          <w:rFonts w:ascii="Times New Roman" w:hAnsi="Times New Roman" w:cs="Times New Roman"/>
          <w:sz w:val="24"/>
          <w:szCs w:val="24"/>
          <w:lang w:val="en-GB"/>
        </w:rPr>
        <w:sectPr w:rsidR="00C844EE" w:rsidRPr="00C844EE" w:rsidSect="00C844EE">
          <w:footerReference w:type="default" r:id="rId25"/>
          <w:endnotePr>
            <w:numFmt w:val="decimal"/>
          </w:endnotePr>
          <w:pgSz w:w="12240" w:h="15840" w:code="1"/>
          <w:pgMar w:top="1440" w:right="1440" w:bottom="1440" w:left="1440" w:header="708" w:footer="708" w:gutter="0"/>
          <w:cols w:space="708"/>
          <w:docGrid w:linePitch="360"/>
        </w:sectPr>
      </w:pPr>
    </w:p>
    <w:tbl>
      <w:tblPr>
        <w:tblStyle w:val="TableGrid"/>
        <w:tblW w:w="14174" w:type="dxa"/>
        <w:tblInd w:w="-522" w:type="dxa"/>
        <w:tblLayout w:type="fixed"/>
        <w:tblLook w:val="04A0" w:firstRow="1" w:lastRow="0" w:firstColumn="1" w:lastColumn="0" w:noHBand="0" w:noVBand="1"/>
      </w:tblPr>
      <w:tblGrid>
        <w:gridCol w:w="2802"/>
        <w:gridCol w:w="3260"/>
        <w:gridCol w:w="2835"/>
        <w:gridCol w:w="5277"/>
      </w:tblGrid>
      <w:tr w:rsidR="00C844EE" w:rsidRPr="00C844EE" w14:paraId="6C6CBB3A" w14:textId="77777777" w:rsidTr="00F169CF">
        <w:trPr>
          <w:tblHeader/>
        </w:trPr>
        <w:tc>
          <w:tcPr>
            <w:tcW w:w="14174" w:type="dxa"/>
            <w:gridSpan w:val="4"/>
            <w:shd w:val="clear" w:color="auto" w:fill="auto"/>
          </w:tcPr>
          <w:p w14:paraId="4E4C9E96" w14:textId="77777777" w:rsidR="00C844EE" w:rsidRPr="00C844EE" w:rsidRDefault="00C844EE" w:rsidP="00C844EE">
            <w:pPr>
              <w:jc w:val="center"/>
              <w:rPr>
                <w:rFonts w:ascii="Times New Roman" w:hAnsi="Times New Roman" w:cs="Times New Roman"/>
                <w:b/>
                <w:sz w:val="26"/>
                <w:szCs w:val="26"/>
              </w:rPr>
            </w:pPr>
            <w:r w:rsidRPr="00C844EE">
              <w:rPr>
                <w:rFonts w:ascii="Times New Roman" w:hAnsi="Times New Roman" w:cs="Times New Roman"/>
                <w:b/>
                <w:sz w:val="26"/>
                <w:szCs w:val="26"/>
              </w:rPr>
              <w:lastRenderedPageBreak/>
              <w:t>Table 1: Summary of CPS Program Self-evaluation</w:t>
            </w:r>
          </w:p>
        </w:tc>
      </w:tr>
      <w:tr w:rsidR="00C844EE" w:rsidRPr="00C844EE" w14:paraId="3D04A4FB" w14:textId="77777777" w:rsidTr="00F169CF">
        <w:trPr>
          <w:tblHeader/>
        </w:trPr>
        <w:tc>
          <w:tcPr>
            <w:tcW w:w="2802" w:type="dxa"/>
            <w:shd w:val="clear" w:color="auto" w:fill="D9D9D9" w:themeFill="background1" w:themeFillShade="D9"/>
          </w:tcPr>
          <w:p w14:paraId="22579F00" w14:textId="77777777" w:rsidR="00C844EE" w:rsidRPr="00C844EE" w:rsidRDefault="00C844EE" w:rsidP="00C844EE">
            <w:pPr>
              <w:rPr>
                <w:rFonts w:ascii="Times New Roman" w:hAnsi="Times New Roman" w:cs="Times New Roman"/>
                <w:b/>
              </w:rPr>
            </w:pPr>
            <w:r w:rsidRPr="00C844EE">
              <w:rPr>
                <w:rFonts w:ascii="Times New Roman" w:hAnsi="Times New Roman" w:cs="Times New Roman"/>
                <w:b/>
              </w:rPr>
              <w:t>Cluster of outcomes and outcome indicators</w:t>
            </w:r>
          </w:p>
        </w:tc>
        <w:tc>
          <w:tcPr>
            <w:tcW w:w="3260" w:type="dxa"/>
            <w:shd w:val="clear" w:color="auto" w:fill="D9D9D9" w:themeFill="background1" w:themeFillShade="D9"/>
          </w:tcPr>
          <w:p w14:paraId="167B9174" w14:textId="77777777" w:rsidR="00C844EE" w:rsidRPr="00C844EE" w:rsidRDefault="00C844EE" w:rsidP="00C844EE">
            <w:pPr>
              <w:rPr>
                <w:rFonts w:ascii="Times New Roman" w:hAnsi="Times New Roman" w:cs="Times New Roman"/>
                <w:b/>
              </w:rPr>
            </w:pPr>
            <w:r w:rsidRPr="00C844EE">
              <w:rPr>
                <w:rFonts w:ascii="Times New Roman" w:hAnsi="Times New Roman" w:cs="Times New Roman"/>
                <w:b/>
              </w:rPr>
              <w:t>Status and evaluation summary</w:t>
            </w:r>
          </w:p>
        </w:tc>
        <w:tc>
          <w:tcPr>
            <w:tcW w:w="2835" w:type="dxa"/>
            <w:shd w:val="clear" w:color="auto" w:fill="D9D9D9" w:themeFill="background1" w:themeFillShade="D9"/>
          </w:tcPr>
          <w:p w14:paraId="1D87C970" w14:textId="77777777" w:rsidR="00C844EE" w:rsidRPr="00C844EE" w:rsidRDefault="00C844EE" w:rsidP="00C844EE">
            <w:pPr>
              <w:rPr>
                <w:rFonts w:ascii="Times New Roman" w:hAnsi="Times New Roman" w:cs="Times New Roman"/>
                <w:b/>
              </w:rPr>
            </w:pPr>
            <w:r w:rsidRPr="00C844EE">
              <w:rPr>
                <w:rFonts w:ascii="Times New Roman" w:hAnsi="Times New Roman" w:cs="Times New Roman"/>
                <w:b/>
              </w:rPr>
              <w:t>Lending and non-lending activities that contributed to the outcome</w:t>
            </w:r>
          </w:p>
        </w:tc>
        <w:tc>
          <w:tcPr>
            <w:tcW w:w="5277" w:type="dxa"/>
            <w:shd w:val="clear" w:color="auto" w:fill="D9D9D9" w:themeFill="background1" w:themeFillShade="D9"/>
          </w:tcPr>
          <w:p w14:paraId="7D478D4C" w14:textId="77777777" w:rsidR="00C844EE" w:rsidRPr="00C844EE" w:rsidRDefault="00C844EE" w:rsidP="00C844EE">
            <w:pPr>
              <w:rPr>
                <w:rFonts w:ascii="Times New Roman" w:hAnsi="Times New Roman" w:cs="Times New Roman"/>
                <w:b/>
              </w:rPr>
            </w:pPr>
            <w:r w:rsidRPr="00C844EE">
              <w:rPr>
                <w:rFonts w:ascii="Times New Roman" w:hAnsi="Times New Roman" w:cs="Times New Roman"/>
                <w:b/>
              </w:rPr>
              <w:t>Lessons and suggestions for the new CPS</w:t>
            </w:r>
          </w:p>
        </w:tc>
      </w:tr>
      <w:tr w:rsidR="00C844EE" w:rsidRPr="00C844EE" w14:paraId="29645245" w14:textId="77777777" w:rsidTr="00F169CF">
        <w:tc>
          <w:tcPr>
            <w:tcW w:w="14174" w:type="dxa"/>
            <w:gridSpan w:val="4"/>
          </w:tcPr>
          <w:p w14:paraId="7639FB23" w14:textId="2342E420" w:rsidR="00C844EE" w:rsidRPr="00C844EE" w:rsidRDefault="00C844EE" w:rsidP="00F169CF">
            <w:pPr>
              <w:rPr>
                <w:rFonts w:ascii="Times New Roman" w:hAnsi="Times New Roman" w:cs="Times New Roman"/>
                <w:b/>
                <w:sz w:val="20"/>
                <w:szCs w:val="20"/>
              </w:rPr>
            </w:pPr>
            <w:r w:rsidRPr="00C844EE">
              <w:rPr>
                <w:rFonts w:ascii="Times New Roman" w:hAnsi="Times New Roman" w:cs="Times New Roman"/>
                <w:b/>
                <w:sz w:val="20"/>
                <w:szCs w:val="20"/>
              </w:rPr>
              <w:t xml:space="preserve">PILLAR 1: UNLEASHING KENYA’S GROWTH POTENTIAL                                                                                                                              MOSTLY ACHIEVED                                                                                                                                                               </w:t>
            </w:r>
          </w:p>
        </w:tc>
      </w:tr>
      <w:tr w:rsidR="00C844EE" w:rsidRPr="00C844EE" w14:paraId="20B17779" w14:textId="77777777" w:rsidTr="00F169CF">
        <w:tc>
          <w:tcPr>
            <w:tcW w:w="14174" w:type="dxa"/>
            <w:gridSpan w:val="4"/>
          </w:tcPr>
          <w:p w14:paraId="08B4F1EB"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Private sector development</w:t>
            </w:r>
          </w:p>
        </w:tc>
      </w:tr>
      <w:tr w:rsidR="00C844EE" w:rsidRPr="00C844EE" w14:paraId="061F10E4" w14:textId="77777777" w:rsidTr="00F169CF">
        <w:tc>
          <w:tcPr>
            <w:tcW w:w="14174" w:type="dxa"/>
            <w:gridSpan w:val="4"/>
          </w:tcPr>
          <w:p w14:paraId="53413226"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MTP objective: A vibrant and globally competitive financial sector driving high levels of savings and Kenya’s investment need:</w:t>
            </w:r>
          </w:p>
          <w:p w14:paraId="072DC9CE" w14:textId="77777777" w:rsidR="00C844EE" w:rsidRPr="00C844EE" w:rsidRDefault="00C844EE" w:rsidP="007B5E57">
            <w:pPr>
              <w:numPr>
                <w:ilvl w:val="0"/>
                <w:numId w:val="24"/>
              </w:numPr>
              <w:spacing w:before="100"/>
              <w:ind w:left="180" w:hanging="180"/>
              <w:contextualSpacing/>
              <w:rPr>
                <w:rFonts w:ascii="Times New Roman" w:hAnsi="Times New Roman" w:cs="Times New Roman"/>
                <w:bCs/>
                <w:sz w:val="20"/>
                <w:szCs w:val="20"/>
              </w:rPr>
            </w:pPr>
            <w:r w:rsidRPr="00C844EE">
              <w:rPr>
                <w:rFonts w:ascii="Times New Roman" w:hAnsi="Times New Roman" w:cs="Times New Roman"/>
                <w:bCs/>
                <w:sz w:val="20"/>
                <w:szCs w:val="20"/>
              </w:rPr>
              <w:t>Drive increases in efficiency and depth through selected reforms</w:t>
            </w:r>
          </w:p>
          <w:p w14:paraId="02A389D4" w14:textId="77777777" w:rsidR="00C844EE" w:rsidRPr="00C844EE" w:rsidRDefault="00C844EE" w:rsidP="007B5E57">
            <w:pPr>
              <w:numPr>
                <w:ilvl w:val="0"/>
                <w:numId w:val="24"/>
              </w:numPr>
              <w:spacing w:before="100"/>
              <w:ind w:left="180" w:hanging="180"/>
              <w:contextualSpacing/>
              <w:rPr>
                <w:rFonts w:ascii="Times New Roman" w:hAnsi="Times New Roman" w:cs="Times New Roman"/>
                <w:bCs/>
                <w:sz w:val="20"/>
                <w:szCs w:val="20"/>
              </w:rPr>
            </w:pPr>
            <w:r w:rsidRPr="00C844EE">
              <w:rPr>
                <w:rFonts w:ascii="Times New Roman" w:hAnsi="Times New Roman" w:cs="Times New Roman"/>
                <w:bCs/>
                <w:sz w:val="20"/>
                <w:szCs w:val="20"/>
              </w:rPr>
              <w:t>Broaden access to financial services, including formalizing informal finance and extend access to microfinance</w:t>
            </w:r>
          </w:p>
          <w:p w14:paraId="56EB4103" w14:textId="77777777" w:rsidR="00C844EE" w:rsidRPr="00C844EE" w:rsidRDefault="00C844EE" w:rsidP="007B5E57">
            <w:pPr>
              <w:numPr>
                <w:ilvl w:val="0"/>
                <w:numId w:val="24"/>
              </w:numPr>
              <w:spacing w:before="100"/>
              <w:ind w:left="180" w:hanging="180"/>
              <w:contextualSpacing/>
              <w:rPr>
                <w:rFonts w:ascii="Times New Roman" w:hAnsi="Times New Roman" w:cs="Times New Roman"/>
                <w:bCs/>
                <w:sz w:val="20"/>
                <w:szCs w:val="20"/>
              </w:rPr>
            </w:pPr>
            <w:r w:rsidRPr="00C844EE">
              <w:rPr>
                <w:rFonts w:ascii="Times New Roman" w:hAnsi="Times New Roman" w:cs="Times New Roman"/>
                <w:bCs/>
                <w:sz w:val="20"/>
                <w:szCs w:val="20"/>
              </w:rPr>
              <w:t>Deepen capital markets by raising institutional capital and expanding bond and equity markets</w:t>
            </w:r>
          </w:p>
          <w:p w14:paraId="1A29F65F" w14:textId="77777777" w:rsidR="00C844EE" w:rsidRPr="00C844EE" w:rsidRDefault="00C844EE" w:rsidP="007B5E57">
            <w:pPr>
              <w:numPr>
                <w:ilvl w:val="0"/>
                <w:numId w:val="24"/>
              </w:numPr>
              <w:spacing w:before="100"/>
              <w:ind w:left="180" w:hanging="180"/>
              <w:contextualSpacing/>
              <w:rPr>
                <w:rFonts w:ascii="Times New Roman" w:hAnsi="Times New Roman" w:cs="Times New Roman"/>
                <w:bCs/>
                <w:sz w:val="20"/>
                <w:szCs w:val="20"/>
              </w:rPr>
            </w:pPr>
            <w:r w:rsidRPr="00C844EE">
              <w:rPr>
                <w:rFonts w:ascii="Times New Roman" w:hAnsi="Times New Roman" w:cs="Times New Roman"/>
                <w:bCs/>
                <w:sz w:val="20"/>
                <w:szCs w:val="20"/>
              </w:rPr>
              <w:t>Improve the business environment in critical areas, such as licensing and security</w:t>
            </w:r>
          </w:p>
          <w:p w14:paraId="56DD62AB" w14:textId="77777777" w:rsidR="00C844EE" w:rsidRPr="00C844EE" w:rsidRDefault="00C844EE" w:rsidP="007B5E57">
            <w:pPr>
              <w:numPr>
                <w:ilvl w:val="0"/>
                <w:numId w:val="24"/>
              </w:numPr>
              <w:spacing w:before="100"/>
              <w:ind w:left="180" w:hanging="180"/>
              <w:contextualSpacing/>
              <w:rPr>
                <w:rFonts w:ascii="Times New Roman" w:hAnsi="Times New Roman" w:cs="Times New Roman"/>
                <w:bCs/>
                <w:sz w:val="20"/>
                <w:szCs w:val="20"/>
              </w:rPr>
            </w:pPr>
            <w:r w:rsidRPr="00C844EE">
              <w:rPr>
                <w:rFonts w:ascii="Times New Roman" w:hAnsi="Times New Roman" w:cs="Times New Roman"/>
                <w:bCs/>
                <w:sz w:val="20"/>
                <w:szCs w:val="20"/>
              </w:rPr>
              <w:t xml:space="preserve">Implement efficiency-enhancing reforms in the sector. </w:t>
            </w:r>
          </w:p>
        </w:tc>
      </w:tr>
      <w:tr w:rsidR="00C844EE" w:rsidRPr="00C844EE" w14:paraId="1F3AE182" w14:textId="77777777" w:rsidTr="00F169CF">
        <w:tc>
          <w:tcPr>
            <w:tcW w:w="14174" w:type="dxa"/>
            <w:gridSpan w:val="4"/>
          </w:tcPr>
          <w:p w14:paraId="70D7BB57"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CPS Outcome: Improved business environment and competitiveness.                                                                                                                  PARTIALLY ACHIEVED                                                                                                                                    </w:t>
            </w:r>
          </w:p>
        </w:tc>
      </w:tr>
      <w:tr w:rsidR="00C844EE" w:rsidRPr="00C844EE" w14:paraId="5CA69257" w14:textId="77777777" w:rsidTr="00F169CF">
        <w:tc>
          <w:tcPr>
            <w:tcW w:w="2802" w:type="dxa"/>
          </w:tcPr>
          <w:p w14:paraId="30E9F718"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Kenya’s Doing Business ranking improves.</w:t>
            </w:r>
            <w:r w:rsidRPr="00C844EE">
              <w:rPr>
                <w:rFonts w:ascii="Times New Roman" w:hAnsi="Times New Roman" w:cs="Times New Roman"/>
                <w:sz w:val="20"/>
                <w:szCs w:val="20"/>
              </w:rPr>
              <w:t xml:space="preserve">  Baseline (2009): 95, Target (2013) 78.</w:t>
            </w:r>
          </w:p>
          <w:p w14:paraId="1AB91668" w14:textId="77777777" w:rsidR="00C844EE" w:rsidRPr="00C844EE" w:rsidRDefault="00C844EE" w:rsidP="00C844EE">
            <w:pPr>
              <w:tabs>
                <w:tab w:val="num" w:pos="450"/>
              </w:tabs>
              <w:ind w:left="180"/>
              <w:rPr>
                <w:rFonts w:ascii="Times New Roman" w:hAnsi="Times New Roman" w:cs="Times New Roman"/>
                <w:sz w:val="20"/>
                <w:szCs w:val="20"/>
              </w:rPr>
            </w:pPr>
            <w:r w:rsidRPr="00C844EE">
              <w:rPr>
                <w:rFonts w:ascii="Times New Roman" w:hAnsi="Times New Roman" w:cs="Times New Roman"/>
                <w:sz w:val="20"/>
                <w:szCs w:val="20"/>
              </w:rPr>
              <w:t xml:space="preserve"> </w:t>
            </w:r>
          </w:p>
          <w:p w14:paraId="499D6095"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rPr>
            </w:pPr>
            <w:r w:rsidRPr="00C844EE">
              <w:rPr>
                <w:rFonts w:ascii="Times New Roman" w:hAnsi="Times New Roman" w:cs="Times New Roman"/>
                <w:i/>
                <w:sz w:val="20"/>
                <w:szCs w:val="20"/>
              </w:rPr>
              <w:t xml:space="preserve"> Access to finance increases</w:t>
            </w:r>
            <w:r w:rsidRPr="00C844EE">
              <w:rPr>
                <w:rFonts w:ascii="Times New Roman" w:hAnsi="Times New Roman" w:cs="Times New Roman"/>
                <w:sz w:val="20"/>
                <w:szCs w:val="20"/>
              </w:rPr>
              <w:t xml:space="preserve"> Baseline (2009): 40.5%, Target (2013) 55%.  Source: Biennial FinAccess surveys. </w:t>
            </w:r>
          </w:p>
        </w:tc>
        <w:tc>
          <w:tcPr>
            <w:tcW w:w="3260" w:type="dxa"/>
          </w:tcPr>
          <w:p w14:paraId="358F14F0"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b/>
                <w:sz w:val="20"/>
                <w:szCs w:val="20"/>
              </w:rPr>
            </w:pPr>
            <w:r w:rsidRPr="00C844EE">
              <w:rPr>
                <w:rFonts w:ascii="Times New Roman" w:hAnsi="Times New Roman" w:cs="Times New Roman"/>
                <w:b/>
                <w:sz w:val="20"/>
                <w:szCs w:val="20"/>
              </w:rPr>
              <w:t xml:space="preserve">Not achieved. </w:t>
            </w:r>
            <w:r w:rsidRPr="00C844EE">
              <w:rPr>
                <w:rFonts w:ascii="Times New Roman" w:hAnsi="Times New Roman" w:cs="Times New Roman"/>
                <w:color w:val="000000" w:themeColor="text1"/>
                <w:sz w:val="20"/>
                <w:szCs w:val="20"/>
              </w:rPr>
              <w:t>Actual (2013) 121 Source</w:t>
            </w:r>
            <w:r w:rsidRPr="00C844EE">
              <w:rPr>
                <w:rFonts w:ascii="Times New Roman" w:hAnsi="Times New Roman" w:cs="Times New Roman"/>
                <w:sz w:val="20"/>
                <w:szCs w:val="20"/>
              </w:rPr>
              <w:t xml:space="preserve">: Doing Business. </w:t>
            </w:r>
          </w:p>
          <w:p w14:paraId="4D2308BD" w14:textId="77777777" w:rsidR="00C844EE" w:rsidRPr="00C844EE" w:rsidRDefault="00C844EE" w:rsidP="00C844EE">
            <w:pPr>
              <w:tabs>
                <w:tab w:val="num" w:pos="450"/>
              </w:tabs>
              <w:ind w:left="180"/>
              <w:rPr>
                <w:rFonts w:ascii="Times New Roman" w:hAnsi="Times New Roman" w:cs="Times New Roman"/>
                <w:b/>
                <w:sz w:val="20"/>
                <w:szCs w:val="20"/>
              </w:rPr>
            </w:pPr>
          </w:p>
          <w:p w14:paraId="5413146C" w14:textId="77777777" w:rsidR="00C844EE" w:rsidRPr="00C844EE" w:rsidRDefault="00C844EE" w:rsidP="00C844EE">
            <w:pPr>
              <w:tabs>
                <w:tab w:val="num" w:pos="450"/>
              </w:tabs>
              <w:ind w:left="180" w:right="-101"/>
              <w:rPr>
                <w:rFonts w:ascii="Times New Roman" w:hAnsi="Times New Roman" w:cs="Times New Roman"/>
                <w:b/>
                <w:sz w:val="20"/>
                <w:szCs w:val="20"/>
              </w:rPr>
            </w:pPr>
          </w:p>
          <w:p w14:paraId="7B03644C"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b/>
                <w:color w:val="000000" w:themeColor="text1"/>
                <w:sz w:val="20"/>
                <w:szCs w:val="20"/>
              </w:rPr>
            </w:pPr>
            <w:r w:rsidRPr="00C844EE">
              <w:rPr>
                <w:rFonts w:ascii="Times New Roman" w:hAnsi="Times New Roman" w:cs="Times New Roman"/>
                <w:b/>
                <w:sz w:val="20"/>
                <w:szCs w:val="20"/>
              </w:rPr>
              <w:t xml:space="preserve">Achieved. </w:t>
            </w:r>
            <w:r w:rsidRPr="00C844EE">
              <w:rPr>
                <w:rFonts w:ascii="Times New Roman" w:hAnsi="Times New Roman" w:cs="Times New Roman"/>
                <w:sz w:val="20"/>
                <w:szCs w:val="20"/>
              </w:rPr>
              <w:t>Proxy indicators that show progress are: Number of deposit accounts has increased from 2.</w:t>
            </w:r>
            <w:r w:rsidRPr="00C844EE">
              <w:rPr>
                <w:rFonts w:ascii="Times New Roman" w:hAnsi="Times New Roman" w:cs="Times New Roman"/>
                <w:color w:val="000000" w:themeColor="text1"/>
                <w:sz w:val="20"/>
                <w:szCs w:val="20"/>
              </w:rPr>
              <w:t xml:space="preserve">55m in 2005 to 14.7 million at end of August 2011 to 17.61 million in December 2012 (including deposit taking MFIs); branch network increased from 534 in 2005 to 1,113 end of August 2011 to 1,209 in September 2012; 14,168 agents approved in September 2012 as compared to 7,828 agents approved as of end August 2010.] </w:t>
            </w:r>
          </w:p>
          <w:p w14:paraId="4C2BBB7C" w14:textId="77777777" w:rsidR="00C844EE" w:rsidRPr="00C844EE" w:rsidRDefault="00C844EE" w:rsidP="00C844EE">
            <w:pPr>
              <w:tabs>
                <w:tab w:val="num" w:pos="252"/>
              </w:tabs>
              <w:ind w:right="-101"/>
              <w:rPr>
                <w:rFonts w:ascii="Times New Roman" w:hAnsi="Times New Roman" w:cs="Times New Roman"/>
                <w:b/>
                <w:sz w:val="20"/>
                <w:szCs w:val="20"/>
              </w:rPr>
            </w:pPr>
          </w:p>
        </w:tc>
        <w:tc>
          <w:tcPr>
            <w:tcW w:w="2835" w:type="dxa"/>
          </w:tcPr>
          <w:p w14:paraId="44C451E6"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Ongoing: </w:t>
            </w:r>
            <w:r w:rsidRPr="00C844EE">
              <w:rPr>
                <w:rFonts w:ascii="Times New Roman" w:hAnsi="Times New Roman" w:cs="Times New Roman"/>
                <w:sz w:val="20"/>
                <w:szCs w:val="20"/>
              </w:rPr>
              <w:t xml:space="preserve">FLSTAP (closed March 2013), MSME (closed June 2012), Kenya Investment Climate Program (Regulatory Reform, Special Economic Zone, Sub-national Doing Business), AMSME, Municipal Program, WIN and ESMID. </w:t>
            </w:r>
          </w:p>
          <w:p w14:paraId="3A86B3D4" w14:textId="77777777" w:rsidR="00C844EE" w:rsidRPr="00C844EE" w:rsidRDefault="00C844EE" w:rsidP="00C844EE">
            <w:pPr>
              <w:pStyle w:val="ListParagraph"/>
              <w:ind w:left="450"/>
              <w:rPr>
                <w:rFonts w:ascii="Times New Roman" w:hAnsi="Times New Roman" w:cs="Times New Roman"/>
                <w:b/>
                <w:sz w:val="20"/>
                <w:szCs w:val="20"/>
              </w:rPr>
            </w:pPr>
          </w:p>
          <w:p w14:paraId="5CADAC99"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AAA: </w:t>
            </w:r>
            <w:r w:rsidRPr="00C844EE">
              <w:rPr>
                <w:rFonts w:ascii="Times New Roman" w:hAnsi="Times New Roman" w:cs="Times New Roman"/>
                <w:sz w:val="20"/>
                <w:szCs w:val="20"/>
              </w:rPr>
              <w:t>Kenya Economic Update (FY10-14), PER (1</w:t>
            </w:r>
            <w:r w:rsidRPr="00C844EE">
              <w:rPr>
                <w:rFonts w:ascii="Times New Roman" w:hAnsi="Times New Roman" w:cs="Times New Roman"/>
                <w:sz w:val="20"/>
                <w:szCs w:val="20"/>
                <w:vertAlign w:val="superscript"/>
              </w:rPr>
              <w:t>st</w:t>
            </w:r>
            <w:r w:rsidRPr="00C844EE">
              <w:rPr>
                <w:rFonts w:ascii="Times New Roman" w:hAnsi="Times New Roman" w:cs="Times New Roman"/>
                <w:sz w:val="20"/>
                <w:szCs w:val="20"/>
              </w:rPr>
              <w:t xml:space="preserve"> done in FY10, 2</w:t>
            </w:r>
            <w:r w:rsidRPr="00C844EE">
              <w:rPr>
                <w:rFonts w:ascii="Times New Roman" w:hAnsi="Times New Roman" w:cs="Times New Roman"/>
                <w:sz w:val="20"/>
                <w:szCs w:val="20"/>
                <w:vertAlign w:val="superscript"/>
              </w:rPr>
              <w:t>nd</w:t>
            </w:r>
            <w:r w:rsidRPr="00C844EE">
              <w:rPr>
                <w:rFonts w:ascii="Times New Roman" w:hAnsi="Times New Roman" w:cs="Times New Roman"/>
                <w:sz w:val="20"/>
                <w:szCs w:val="20"/>
              </w:rPr>
              <w:t xml:space="preserve"> for FY12), Governance ESW, Growth Diagnostic Notes, FSAP update 2010, Post-FSAP update (mortgage market, spreads analysis; access to finance, FY10-12), Tourism: Polishing the jewel (FY10), FPD Policy notes (FY10–11), Insolvency and Creditor Rights ROSC (FY12), Doing Business Report (FY11–14), Integrated </w:t>
            </w:r>
            <w:r w:rsidRPr="00C844EE">
              <w:rPr>
                <w:rFonts w:ascii="Times New Roman" w:hAnsi="Times New Roman" w:cs="Times New Roman"/>
                <w:sz w:val="20"/>
                <w:szCs w:val="20"/>
              </w:rPr>
              <w:lastRenderedPageBreak/>
              <w:t>Growth Poles/competitive partnership initiative (FY11), Manufacturing exports analytics (FY11), Subnational Doing Business (1</w:t>
            </w:r>
            <w:r w:rsidRPr="00C844EE">
              <w:rPr>
                <w:rFonts w:ascii="Times New Roman" w:hAnsi="Times New Roman" w:cs="Times New Roman"/>
                <w:sz w:val="20"/>
                <w:szCs w:val="20"/>
                <w:vertAlign w:val="superscript"/>
              </w:rPr>
              <w:t>st</w:t>
            </w:r>
            <w:r w:rsidRPr="00C844EE">
              <w:rPr>
                <w:rFonts w:ascii="Times New Roman" w:hAnsi="Times New Roman" w:cs="Times New Roman"/>
                <w:sz w:val="20"/>
                <w:szCs w:val="20"/>
              </w:rPr>
              <w:t xml:space="preserve"> done in FY10, 2</w:t>
            </w:r>
            <w:r w:rsidRPr="00C844EE">
              <w:rPr>
                <w:rFonts w:ascii="Times New Roman" w:hAnsi="Times New Roman" w:cs="Times New Roman"/>
                <w:sz w:val="20"/>
                <w:szCs w:val="20"/>
                <w:vertAlign w:val="superscript"/>
              </w:rPr>
              <w:t>nd</w:t>
            </w:r>
            <w:r w:rsidRPr="00C844EE">
              <w:rPr>
                <w:rFonts w:ascii="Times New Roman" w:hAnsi="Times New Roman" w:cs="Times New Roman"/>
                <w:sz w:val="20"/>
                <w:szCs w:val="20"/>
              </w:rPr>
              <w:t xml:space="preserve"> for FY12), Kenya Investment Climate Program (FY10-13), Investment Climate Assessment (FY13). </w:t>
            </w:r>
          </w:p>
          <w:p w14:paraId="0DC34898"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Regional: </w:t>
            </w:r>
            <w:r w:rsidRPr="00C844EE">
              <w:rPr>
                <w:rFonts w:ascii="Times New Roman" w:hAnsi="Times New Roman" w:cs="Times New Roman"/>
                <w:sz w:val="20"/>
                <w:szCs w:val="20"/>
              </w:rPr>
              <w:t>Regional Tourism ESW (FY11), Regional Study on SME Financing (FY13).</w:t>
            </w:r>
          </w:p>
        </w:tc>
        <w:tc>
          <w:tcPr>
            <w:tcW w:w="5277" w:type="dxa"/>
          </w:tcPr>
          <w:p w14:paraId="17C4AEFC" w14:textId="77777777" w:rsidR="00C844EE" w:rsidRPr="00C844EE" w:rsidRDefault="00C844EE" w:rsidP="007B5E57">
            <w:pPr>
              <w:pStyle w:val="ListParagraph"/>
              <w:numPr>
                <w:ilvl w:val="0"/>
                <w:numId w:val="37"/>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Complexity:</w:t>
            </w:r>
            <w:r w:rsidRPr="00C844EE">
              <w:rPr>
                <w:rFonts w:ascii="Times New Roman" w:eastAsia="Times New Roman" w:hAnsi="Times New Roman" w:cs="Times New Roman"/>
                <w:sz w:val="20"/>
                <w:szCs w:val="20"/>
              </w:rPr>
              <w:t xml:space="preserve"> FLSTAP suffered from having over 20 beneficiaries i.e. too many to keep track of and too complex.</w:t>
            </w:r>
          </w:p>
          <w:p w14:paraId="6F79C320" w14:textId="77777777" w:rsidR="00C844EE" w:rsidRPr="00C844EE" w:rsidRDefault="00C844EE" w:rsidP="007B5E57">
            <w:pPr>
              <w:pStyle w:val="ListParagraph"/>
              <w:numPr>
                <w:ilvl w:val="0"/>
                <w:numId w:val="37"/>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IFC collaboration</w:t>
            </w:r>
            <w:r w:rsidRPr="00C844EE">
              <w:rPr>
                <w:rFonts w:ascii="Times New Roman" w:eastAsia="Times New Roman" w:hAnsi="Times New Roman" w:cs="Times New Roman"/>
                <w:sz w:val="20"/>
                <w:szCs w:val="20"/>
              </w:rPr>
              <w:t>: IFC collaboration in this sector is key. It is particularly important that IFC advisory work is well integrated into the CPS.</w:t>
            </w:r>
          </w:p>
          <w:p w14:paraId="2D3F8AB4" w14:textId="77777777" w:rsidR="00C844EE" w:rsidRPr="00C844EE" w:rsidRDefault="00C844EE" w:rsidP="007B5E57">
            <w:pPr>
              <w:pStyle w:val="ListParagraph"/>
              <w:numPr>
                <w:ilvl w:val="0"/>
                <w:numId w:val="37"/>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Size matters</w:t>
            </w:r>
            <w:r w:rsidRPr="00C844EE">
              <w:rPr>
                <w:rFonts w:ascii="Times New Roman" w:eastAsia="Times New Roman" w:hAnsi="Times New Roman" w:cs="Times New Roman"/>
                <w:sz w:val="20"/>
                <w:szCs w:val="20"/>
              </w:rPr>
              <w:t xml:space="preserve">: Because the FPD program was a small program it was not given the attention by government of other programs. As a small program it is important to focus on the things that the Government cares about notably experience from elsewhere, what works and analytics. </w:t>
            </w:r>
          </w:p>
          <w:p w14:paraId="79B8DA67" w14:textId="77777777" w:rsidR="00C844EE" w:rsidRPr="00C844EE" w:rsidRDefault="00C844EE" w:rsidP="007B5E57">
            <w:pPr>
              <w:pStyle w:val="ListParagraph"/>
              <w:numPr>
                <w:ilvl w:val="0"/>
                <w:numId w:val="37"/>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Future directions</w:t>
            </w:r>
            <w:r w:rsidRPr="00C844EE">
              <w:rPr>
                <w:rFonts w:ascii="Times New Roman" w:eastAsia="Times New Roman" w:hAnsi="Times New Roman" w:cs="Times New Roman"/>
                <w:sz w:val="20"/>
                <w:szCs w:val="20"/>
              </w:rPr>
              <w:t>: PPP is going to be key and reforms will need to be linked to this. Previous government passed a PPP Act but the various line ministries worked on PPP in their own way. The government therefore struggled to develop a common framework.</w:t>
            </w:r>
          </w:p>
          <w:p w14:paraId="439F9867" w14:textId="77777777" w:rsidR="00C844EE" w:rsidRPr="00C844EE" w:rsidRDefault="00C844EE" w:rsidP="00C844EE">
            <w:pPr>
              <w:rPr>
                <w:rFonts w:ascii="Times New Roman" w:hAnsi="Times New Roman" w:cs="Times New Roman"/>
              </w:rPr>
            </w:pPr>
          </w:p>
        </w:tc>
      </w:tr>
      <w:tr w:rsidR="00C844EE" w:rsidRPr="00C844EE" w14:paraId="72F212C3" w14:textId="77777777" w:rsidTr="00F169CF">
        <w:tc>
          <w:tcPr>
            <w:tcW w:w="14174" w:type="dxa"/>
            <w:gridSpan w:val="4"/>
          </w:tcPr>
          <w:p w14:paraId="7D48F529"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Infrastructure</w:t>
            </w:r>
          </w:p>
        </w:tc>
      </w:tr>
      <w:tr w:rsidR="00C844EE" w:rsidRPr="00C844EE" w14:paraId="22C813A9" w14:textId="77777777" w:rsidTr="00F169CF">
        <w:tc>
          <w:tcPr>
            <w:tcW w:w="14174" w:type="dxa"/>
            <w:gridSpan w:val="4"/>
          </w:tcPr>
          <w:p w14:paraId="4BC6C032"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MTP Infrastructure Objective: Deploying world class infrastructure facilities and services</w:t>
            </w:r>
          </w:p>
        </w:tc>
      </w:tr>
      <w:tr w:rsidR="00C844EE" w:rsidRPr="00C844EE" w14:paraId="50732500" w14:textId="77777777" w:rsidTr="00F169CF">
        <w:tc>
          <w:tcPr>
            <w:tcW w:w="14174" w:type="dxa"/>
            <w:gridSpan w:val="4"/>
          </w:tcPr>
          <w:p w14:paraId="70A6F789"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CPS Infrastructure Outcome: Improved core infrastructure, with deeper regional integration.                                                                              MOSTLY ACHIEVED                                                                                                                          </w:t>
            </w:r>
          </w:p>
        </w:tc>
      </w:tr>
      <w:tr w:rsidR="00C844EE" w:rsidRPr="00C844EE" w14:paraId="1F8A62FC" w14:textId="77777777" w:rsidTr="00F169CF">
        <w:tc>
          <w:tcPr>
            <w:tcW w:w="14174" w:type="dxa"/>
            <w:gridSpan w:val="4"/>
          </w:tcPr>
          <w:p w14:paraId="6C5F4FEF"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Transport</w:t>
            </w:r>
          </w:p>
        </w:tc>
      </w:tr>
      <w:tr w:rsidR="00C844EE" w:rsidRPr="00C844EE" w14:paraId="2267C07C" w14:textId="77777777" w:rsidTr="00F169CF">
        <w:tc>
          <w:tcPr>
            <w:tcW w:w="14174" w:type="dxa"/>
            <w:gridSpan w:val="4"/>
          </w:tcPr>
          <w:p w14:paraId="1B042B66"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MTP objectives for Transport: </w:t>
            </w:r>
          </w:p>
          <w:p w14:paraId="0A01B755" w14:textId="77777777" w:rsidR="00C844EE" w:rsidRPr="00C844EE" w:rsidRDefault="00C844EE" w:rsidP="007B5E57">
            <w:pPr>
              <w:numPr>
                <w:ilvl w:val="0"/>
                <w:numId w:val="27"/>
              </w:numPr>
              <w:spacing w:before="100"/>
              <w:ind w:left="270" w:right="-101" w:hanging="270"/>
              <w:contextualSpacing/>
              <w:rPr>
                <w:rFonts w:ascii="Times New Roman" w:hAnsi="Times New Roman" w:cs="Times New Roman"/>
                <w:bCs/>
                <w:sz w:val="20"/>
                <w:szCs w:val="20"/>
              </w:rPr>
            </w:pPr>
            <w:r w:rsidRPr="00C844EE">
              <w:rPr>
                <w:rFonts w:ascii="Times New Roman" w:hAnsi="Times New Roman" w:cs="Times New Roman"/>
                <w:bCs/>
                <w:sz w:val="20"/>
                <w:szCs w:val="20"/>
              </w:rPr>
              <w:t>Strengthen the institutional and regulatory framework for infrastructure development</w:t>
            </w:r>
          </w:p>
          <w:p w14:paraId="7EE2F218" w14:textId="77777777" w:rsidR="00C844EE" w:rsidRPr="00C844EE" w:rsidRDefault="00C844EE" w:rsidP="007B5E57">
            <w:pPr>
              <w:numPr>
                <w:ilvl w:val="0"/>
                <w:numId w:val="27"/>
              </w:numPr>
              <w:spacing w:before="100"/>
              <w:ind w:left="270" w:right="-101" w:hanging="270"/>
              <w:contextualSpacing/>
              <w:rPr>
                <w:rFonts w:ascii="Times New Roman" w:hAnsi="Times New Roman" w:cs="Times New Roman"/>
                <w:bCs/>
                <w:sz w:val="20"/>
                <w:szCs w:val="20"/>
              </w:rPr>
            </w:pPr>
            <w:r w:rsidRPr="00C844EE">
              <w:rPr>
                <w:rFonts w:ascii="Times New Roman" w:hAnsi="Times New Roman" w:cs="Times New Roman"/>
                <w:bCs/>
                <w:sz w:val="20"/>
                <w:szCs w:val="20"/>
              </w:rPr>
              <w:t>Raise efficiency and quality of transport infrastructure and services</w:t>
            </w:r>
          </w:p>
          <w:p w14:paraId="636E8817" w14:textId="77777777" w:rsidR="00C844EE" w:rsidRPr="00C844EE" w:rsidRDefault="00C844EE" w:rsidP="007B5E57">
            <w:pPr>
              <w:numPr>
                <w:ilvl w:val="0"/>
                <w:numId w:val="27"/>
              </w:numPr>
              <w:spacing w:before="100"/>
              <w:ind w:left="270" w:right="-101" w:hanging="270"/>
              <w:contextualSpacing/>
              <w:rPr>
                <w:rFonts w:ascii="Times New Roman" w:hAnsi="Times New Roman" w:cs="Times New Roman"/>
                <w:sz w:val="20"/>
                <w:szCs w:val="20"/>
              </w:rPr>
            </w:pPr>
            <w:r w:rsidRPr="00C844EE">
              <w:rPr>
                <w:rFonts w:ascii="Times New Roman" w:hAnsi="Times New Roman" w:cs="Times New Roman"/>
                <w:bCs/>
                <w:sz w:val="20"/>
                <w:szCs w:val="20"/>
              </w:rPr>
              <w:t>Enhance private sector participation in the provision of infrastructure facilities and services.</w:t>
            </w:r>
          </w:p>
        </w:tc>
      </w:tr>
      <w:tr w:rsidR="00C844EE" w:rsidRPr="00C844EE" w14:paraId="79B3C832" w14:textId="77777777" w:rsidTr="00F169CF">
        <w:tc>
          <w:tcPr>
            <w:tcW w:w="14174" w:type="dxa"/>
            <w:gridSpan w:val="4"/>
          </w:tcPr>
          <w:p w14:paraId="01501EA1"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CPS infrastructure sub-outcome: Improved core infrastructure (transport) with deeper regional integration                                                PARTIALLY ACHIEVED                                                             </w:t>
            </w:r>
          </w:p>
        </w:tc>
      </w:tr>
      <w:tr w:rsidR="00C844EE" w:rsidRPr="00C844EE" w14:paraId="693BD9CD" w14:textId="77777777" w:rsidTr="00F169CF">
        <w:tc>
          <w:tcPr>
            <w:tcW w:w="2802" w:type="dxa"/>
          </w:tcPr>
          <w:p w14:paraId="011431D6"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Northern Corridor road in Kenya (Mombasa-Malaba) in fair or good condition rises (percentage).</w:t>
            </w:r>
            <w:r w:rsidRPr="00C844EE">
              <w:rPr>
                <w:rFonts w:ascii="Times New Roman" w:hAnsi="Times New Roman" w:cs="Times New Roman"/>
                <w:sz w:val="20"/>
                <w:szCs w:val="20"/>
              </w:rPr>
              <w:t xml:space="preserve">  Baseline (2009): 54%, target (2013): 80%. Source: University of Nairobi Enterprises and Services (M&amp;E consultants) data. </w:t>
            </w:r>
          </w:p>
          <w:p w14:paraId="7EC88D92" w14:textId="77777777" w:rsidR="00C844EE" w:rsidRPr="00C844EE" w:rsidRDefault="00C844EE" w:rsidP="00C844EE">
            <w:pPr>
              <w:tabs>
                <w:tab w:val="num" w:pos="252"/>
              </w:tabs>
              <w:ind w:left="180"/>
              <w:rPr>
                <w:rFonts w:ascii="Times New Roman" w:hAnsi="Times New Roman" w:cs="Times New Roman"/>
                <w:sz w:val="20"/>
                <w:szCs w:val="20"/>
              </w:rPr>
            </w:pPr>
          </w:p>
          <w:p w14:paraId="6EEC0808"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 xml:space="preserve">Average time to travel by </w:t>
            </w:r>
            <w:r w:rsidRPr="00C844EE">
              <w:rPr>
                <w:rFonts w:ascii="Times New Roman" w:hAnsi="Times New Roman" w:cs="Times New Roman"/>
                <w:i/>
                <w:sz w:val="20"/>
                <w:szCs w:val="20"/>
              </w:rPr>
              <w:lastRenderedPageBreak/>
              <w:t>road from the port of Mombasa to Malaba (border of Uganda) falls</w:t>
            </w:r>
            <w:r w:rsidRPr="00C844EE">
              <w:rPr>
                <w:rFonts w:ascii="Times New Roman" w:hAnsi="Times New Roman" w:cs="Times New Roman"/>
                <w:sz w:val="20"/>
                <w:szCs w:val="20"/>
              </w:rPr>
              <w:t>.  Baseline (2009): annual average 18 hours, target (2013) 12 hours.  Source: University of Nairobi Enterprises and Services data, reported in NCTIP reports</w:t>
            </w:r>
          </w:p>
          <w:p w14:paraId="6FFD1928" w14:textId="77777777" w:rsidR="00C844EE" w:rsidRPr="00C844EE" w:rsidRDefault="00C844EE" w:rsidP="00C844EE">
            <w:pPr>
              <w:pStyle w:val="ListParagraph"/>
              <w:rPr>
                <w:rFonts w:ascii="Times New Roman" w:hAnsi="Times New Roman" w:cs="Times New Roman"/>
                <w:sz w:val="20"/>
                <w:szCs w:val="20"/>
              </w:rPr>
            </w:pPr>
          </w:p>
          <w:p w14:paraId="5BBB1648"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 xml:space="preserve">Annual freight carried by Kenya-Uganda railway rises.  </w:t>
            </w:r>
            <w:r w:rsidRPr="00C844EE">
              <w:rPr>
                <w:rFonts w:ascii="Times New Roman" w:hAnsi="Times New Roman" w:cs="Times New Roman"/>
                <w:sz w:val="20"/>
                <w:szCs w:val="20"/>
              </w:rPr>
              <w:t xml:space="preserve">Baseline (2009): 1.56 million tons, target (2013) more than 2.3 million tons.  Source: Kenya Railway Corporation/Rift Valley Railways. </w:t>
            </w:r>
          </w:p>
          <w:p w14:paraId="3352A0A6" w14:textId="77777777" w:rsidR="00C844EE" w:rsidRPr="00C844EE" w:rsidRDefault="00C844EE" w:rsidP="00C844EE">
            <w:pPr>
              <w:pStyle w:val="ListParagraph"/>
              <w:rPr>
                <w:rFonts w:ascii="Times New Roman" w:hAnsi="Times New Roman" w:cs="Times New Roman"/>
                <w:sz w:val="20"/>
                <w:szCs w:val="20"/>
              </w:rPr>
            </w:pPr>
          </w:p>
          <w:p w14:paraId="03E9C7A4"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rPr>
            </w:pPr>
            <w:r w:rsidRPr="00C844EE">
              <w:rPr>
                <w:rFonts w:ascii="Times New Roman" w:hAnsi="Times New Roman" w:cs="Times New Roman"/>
                <w:i/>
                <w:sz w:val="20"/>
                <w:szCs w:val="20"/>
              </w:rPr>
              <w:t xml:space="preserve">Time of cross-border trade declines (baseline (2009): 27 days to export a container, 25 days to import a container Target (2013): 21 days to export a container, 20 days to import a container.  </w:t>
            </w:r>
            <w:r w:rsidRPr="00C844EE">
              <w:rPr>
                <w:rFonts w:ascii="Times New Roman" w:hAnsi="Times New Roman" w:cs="Times New Roman"/>
                <w:sz w:val="20"/>
                <w:szCs w:val="20"/>
              </w:rPr>
              <w:t xml:space="preserve">Source: Doing Business surveys).  </w:t>
            </w:r>
          </w:p>
        </w:tc>
        <w:tc>
          <w:tcPr>
            <w:tcW w:w="3260" w:type="dxa"/>
          </w:tcPr>
          <w:p w14:paraId="3A9C8F0F"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b/>
                <w:sz w:val="20"/>
                <w:szCs w:val="20"/>
              </w:rPr>
            </w:pPr>
            <w:r w:rsidRPr="00C844EE">
              <w:rPr>
                <w:rFonts w:ascii="Times New Roman" w:hAnsi="Times New Roman" w:cs="Times New Roman"/>
                <w:b/>
                <w:sz w:val="20"/>
                <w:szCs w:val="20"/>
              </w:rPr>
              <w:lastRenderedPageBreak/>
              <w:t>Achieved [80% (December 2012)]</w:t>
            </w:r>
          </w:p>
          <w:p w14:paraId="2328F9EF" w14:textId="77777777" w:rsidR="00C844EE" w:rsidRPr="00C844EE" w:rsidRDefault="00C844EE" w:rsidP="00C844EE">
            <w:pPr>
              <w:tabs>
                <w:tab w:val="num" w:pos="252"/>
              </w:tabs>
              <w:ind w:left="180"/>
              <w:rPr>
                <w:rFonts w:ascii="Times New Roman" w:hAnsi="Times New Roman" w:cs="Times New Roman"/>
                <w:b/>
                <w:sz w:val="20"/>
                <w:szCs w:val="20"/>
              </w:rPr>
            </w:pPr>
          </w:p>
          <w:p w14:paraId="7609043D" w14:textId="77777777" w:rsidR="00C844EE" w:rsidRPr="00C844EE" w:rsidRDefault="00C844EE" w:rsidP="00C844EE">
            <w:pPr>
              <w:rPr>
                <w:rFonts w:ascii="Times New Roman" w:hAnsi="Times New Roman" w:cs="Times New Roman"/>
                <w:sz w:val="20"/>
                <w:szCs w:val="20"/>
              </w:rPr>
            </w:pPr>
          </w:p>
          <w:p w14:paraId="52F47DC3" w14:textId="77777777" w:rsidR="00C844EE" w:rsidRPr="00C844EE" w:rsidRDefault="00C844EE" w:rsidP="00C844EE">
            <w:pPr>
              <w:rPr>
                <w:rFonts w:ascii="Times New Roman" w:hAnsi="Times New Roman" w:cs="Times New Roman"/>
                <w:sz w:val="20"/>
                <w:szCs w:val="20"/>
              </w:rPr>
            </w:pPr>
          </w:p>
          <w:p w14:paraId="0889875F" w14:textId="77777777" w:rsidR="00C844EE" w:rsidRPr="00C844EE" w:rsidRDefault="00C844EE" w:rsidP="00C844EE">
            <w:pPr>
              <w:rPr>
                <w:rFonts w:ascii="Times New Roman" w:hAnsi="Times New Roman" w:cs="Times New Roman"/>
                <w:sz w:val="20"/>
                <w:szCs w:val="20"/>
              </w:rPr>
            </w:pPr>
          </w:p>
          <w:p w14:paraId="1F1AFFB6" w14:textId="77777777" w:rsidR="00C844EE" w:rsidRPr="00C844EE" w:rsidRDefault="00C844EE" w:rsidP="00C844EE">
            <w:pPr>
              <w:rPr>
                <w:rFonts w:ascii="Times New Roman" w:hAnsi="Times New Roman" w:cs="Times New Roman"/>
                <w:sz w:val="20"/>
                <w:szCs w:val="20"/>
              </w:rPr>
            </w:pPr>
          </w:p>
          <w:p w14:paraId="69D0A56F" w14:textId="77777777" w:rsidR="00C844EE" w:rsidRPr="00C844EE" w:rsidRDefault="00C844EE" w:rsidP="00C844EE">
            <w:pPr>
              <w:rPr>
                <w:rFonts w:ascii="Times New Roman" w:hAnsi="Times New Roman" w:cs="Times New Roman"/>
                <w:sz w:val="20"/>
                <w:szCs w:val="20"/>
              </w:rPr>
            </w:pPr>
          </w:p>
          <w:p w14:paraId="046775A2" w14:textId="77777777" w:rsidR="00C844EE" w:rsidRPr="00C844EE" w:rsidRDefault="00C844EE" w:rsidP="00C844EE">
            <w:pPr>
              <w:rPr>
                <w:rFonts w:ascii="Times New Roman" w:hAnsi="Times New Roman" w:cs="Times New Roman"/>
                <w:sz w:val="20"/>
                <w:szCs w:val="20"/>
              </w:rPr>
            </w:pPr>
          </w:p>
          <w:p w14:paraId="10188752" w14:textId="77777777" w:rsidR="00C844EE" w:rsidRPr="00C844EE" w:rsidRDefault="00C844EE" w:rsidP="00C844EE">
            <w:pPr>
              <w:rPr>
                <w:rFonts w:ascii="Times New Roman" w:hAnsi="Times New Roman" w:cs="Times New Roman"/>
                <w:sz w:val="20"/>
                <w:szCs w:val="20"/>
              </w:rPr>
            </w:pPr>
          </w:p>
          <w:p w14:paraId="180C0280"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sz w:val="20"/>
                <w:szCs w:val="20"/>
              </w:rPr>
              <w:t xml:space="preserve"> </w:t>
            </w:r>
            <w:r w:rsidRPr="00C844EE">
              <w:rPr>
                <w:rFonts w:ascii="Times New Roman" w:hAnsi="Times New Roman" w:cs="Times New Roman"/>
                <w:b/>
                <w:sz w:val="20"/>
                <w:szCs w:val="20"/>
              </w:rPr>
              <w:t>Mostly achieved.</w:t>
            </w:r>
            <w:r w:rsidRPr="00C844EE">
              <w:rPr>
                <w:rFonts w:ascii="Times New Roman" w:hAnsi="Times New Roman" w:cs="Times New Roman"/>
                <w:sz w:val="20"/>
                <w:szCs w:val="20"/>
              </w:rPr>
              <w:t xml:space="preserve"> 8 hours by car </w:t>
            </w:r>
            <w:r w:rsidRPr="00C844EE">
              <w:rPr>
                <w:rFonts w:ascii="Times New Roman" w:hAnsi="Times New Roman" w:cs="Times New Roman"/>
                <w:sz w:val="20"/>
                <w:szCs w:val="20"/>
              </w:rPr>
              <w:lastRenderedPageBreak/>
              <w:t xml:space="preserve">Mombasa-Timboroa (750km of about 920 km) (June 2012) </w:t>
            </w:r>
          </w:p>
          <w:p w14:paraId="1FC89456" w14:textId="77777777" w:rsidR="00C844EE" w:rsidRPr="00C844EE" w:rsidRDefault="00C844EE" w:rsidP="00C844EE">
            <w:pPr>
              <w:tabs>
                <w:tab w:val="num" w:pos="450"/>
              </w:tabs>
              <w:rPr>
                <w:rFonts w:ascii="Times New Roman" w:hAnsi="Times New Roman" w:cs="Times New Roman"/>
                <w:sz w:val="20"/>
                <w:szCs w:val="20"/>
              </w:rPr>
            </w:pPr>
          </w:p>
          <w:p w14:paraId="6CEF64AE" w14:textId="77777777" w:rsidR="00C844EE" w:rsidRPr="00C844EE" w:rsidRDefault="00C844EE" w:rsidP="00C844EE">
            <w:pPr>
              <w:tabs>
                <w:tab w:val="num" w:pos="450"/>
              </w:tabs>
              <w:rPr>
                <w:rFonts w:ascii="Times New Roman" w:hAnsi="Times New Roman" w:cs="Times New Roman"/>
                <w:sz w:val="20"/>
                <w:szCs w:val="20"/>
              </w:rPr>
            </w:pPr>
          </w:p>
          <w:p w14:paraId="36F66551" w14:textId="77777777" w:rsidR="00C844EE" w:rsidRPr="00C844EE" w:rsidRDefault="00C844EE" w:rsidP="00C844EE">
            <w:pPr>
              <w:tabs>
                <w:tab w:val="num" w:pos="450"/>
              </w:tabs>
              <w:rPr>
                <w:rFonts w:ascii="Times New Roman" w:hAnsi="Times New Roman" w:cs="Times New Roman"/>
                <w:sz w:val="20"/>
                <w:szCs w:val="20"/>
              </w:rPr>
            </w:pPr>
          </w:p>
          <w:p w14:paraId="2599A2E1" w14:textId="77777777" w:rsidR="00C844EE" w:rsidRPr="00C844EE" w:rsidRDefault="00C844EE" w:rsidP="00C844EE">
            <w:pPr>
              <w:tabs>
                <w:tab w:val="num" w:pos="450"/>
              </w:tabs>
              <w:rPr>
                <w:rFonts w:ascii="Times New Roman" w:hAnsi="Times New Roman" w:cs="Times New Roman"/>
                <w:sz w:val="20"/>
                <w:szCs w:val="20"/>
              </w:rPr>
            </w:pPr>
          </w:p>
          <w:p w14:paraId="120A4C09" w14:textId="77777777" w:rsidR="00C844EE" w:rsidRPr="00C844EE" w:rsidRDefault="00C844EE" w:rsidP="00C844EE">
            <w:pPr>
              <w:tabs>
                <w:tab w:val="num" w:pos="450"/>
              </w:tabs>
              <w:rPr>
                <w:rFonts w:ascii="Times New Roman" w:hAnsi="Times New Roman" w:cs="Times New Roman"/>
                <w:sz w:val="20"/>
                <w:szCs w:val="20"/>
              </w:rPr>
            </w:pPr>
          </w:p>
          <w:p w14:paraId="3013B4E3" w14:textId="77777777" w:rsidR="00C844EE" w:rsidRPr="00C844EE" w:rsidRDefault="00C844EE" w:rsidP="00C844EE">
            <w:pPr>
              <w:tabs>
                <w:tab w:val="num" w:pos="450"/>
              </w:tabs>
              <w:rPr>
                <w:rFonts w:ascii="Times New Roman" w:hAnsi="Times New Roman" w:cs="Times New Roman"/>
                <w:sz w:val="20"/>
                <w:szCs w:val="20"/>
              </w:rPr>
            </w:pPr>
          </w:p>
          <w:p w14:paraId="7F0F241B" w14:textId="77777777" w:rsidR="00C844EE" w:rsidRPr="00C844EE" w:rsidRDefault="00C844EE" w:rsidP="00C844EE">
            <w:pPr>
              <w:tabs>
                <w:tab w:val="num" w:pos="450"/>
              </w:tabs>
              <w:rPr>
                <w:rFonts w:ascii="Times New Roman" w:hAnsi="Times New Roman" w:cs="Times New Roman"/>
                <w:sz w:val="20"/>
                <w:szCs w:val="20"/>
              </w:rPr>
            </w:pPr>
          </w:p>
          <w:p w14:paraId="02E91021"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b/>
                <w:sz w:val="20"/>
                <w:szCs w:val="20"/>
              </w:rPr>
              <w:t>Not Achieved:</w:t>
            </w:r>
            <w:r w:rsidRPr="00C844EE">
              <w:rPr>
                <w:rFonts w:ascii="Times New Roman" w:hAnsi="Times New Roman" w:cs="Times New Roman"/>
                <w:sz w:val="20"/>
                <w:szCs w:val="20"/>
              </w:rPr>
              <w:t xml:space="preserve">  Freight handled has not increased to reach the target. In FY11 it was  1.7 million  tonnes and 1.6 million tonnes in FY12 and is expected to fall further in FY13. </w:t>
            </w:r>
          </w:p>
          <w:p w14:paraId="421C8041" w14:textId="77777777" w:rsidR="00C844EE" w:rsidRPr="00C844EE" w:rsidRDefault="00C844EE" w:rsidP="00C844EE">
            <w:pPr>
              <w:tabs>
                <w:tab w:val="num" w:pos="252"/>
                <w:tab w:val="num" w:pos="450"/>
              </w:tabs>
              <w:ind w:left="180"/>
              <w:rPr>
                <w:rFonts w:ascii="Times New Roman" w:hAnsi="Times New Roman" w:cs="Times New Roman"/>
                <w:sz w:val="20"/>
                <w:szCs w:val="20"/>
              </w:rPr>
            </w:pPr>
          </w:p>
          <w:p w14:paraId="5A711548" w14:textId="77777777" w:rsidR="00C844EE" w:rsidRPr="00C844EE" w:rsidRDefault="00C844EE" w:rsidP="00C844EE">
            <w:pPr>
              <w:tabs>
                <w:tab w:val="num" w:pos="252"/>
                <w:tab w:val="num" w:pos="450"/>
              </w:tabs>
              <w:ind w:left="180"/>
              <w:rPr>
                <w:rFonts w:ascii="Times New Roman" w:hAnsi="Times New Roman" w:cs="Times New Roman"/>
                <w:sz w:val="20"/>
                <w:szCs w:val="20"/>
              </w:rPr>
            </w:pPr>
          </w:p>
          <w:p w14:paraId="3F4A4991" w14:textId="77777777" w:rsidR="00C844EE" w:rsidRPr="00C844EE" w:rsidRDefault="00C844EE" w:rsidP="00C844EE">
            <w:pPr>
              <w:tabs>
                <w:tab w:val="num" w:pos="252"/>
                <w:tab w:val="num" w:pos="450"/>
              </w:tabs>
              <w:ind w:left="180"/>
              <w:rPr>
                <w:rFonts w:ascii="Times New Roman" w:hAnsi="Times New Roman" w:cs="Times New Roman"/>
                <w:sz w:val="20"/>
                <w:szCs w:val="20"/>
              </w:rPr>
            </w:pPr>
          </w:p>
          <w:p w14:paraId="1FF5146C"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b/>
                <w:sz w:val="20"/>
                <w:szCs w:val="20"/>
              </w:rPr>
              <w:t>Partially achieved</w:t>
            </w:r>
            <w:r w:rsidRPr="00C844EE">
              <w:rPr>
                <w:rFonts w:ascii="Times New Roman" w:hAnsi="Times New Roman" w:cs="Times New Roman"/>
                <w:sz w:val="20"/>
                <w:szCs w:val="20"/>
              </w:rPr>
              <w:t xml:space="preserve">. 26 days for export; 24 days for import (June 2011) Malaba border 6 hrs crossing time. Dwell time at the port of Mombasa for import container 6.5-8.5 days. </w:t>
            </w:r>
          </w:p>
          <w:p w14:paraId="181D376C" w14:textId="77777777" w:rsidR="00C844EE" w:rsidRPr="00C844EE" w:rsidRDefault="00C844EE" w:rsidP="00C844EE">
            <w:pPr>
              <w:tabs>
                <w:tab w:val="num" w:pos="252"/>
              </w:tabs>
              <w:ind w:left="180"/>
              <w:rPr>
                <w:rFonts w:ascii="Times New Roman" w:hAnsi="Times New Roman" w:cs="Times New Roman"/>
                <w:i/>
                <w:sz w:val="20"/>
                <w:szCs w:val="20"/>
              </w:rPr>
            </w:pPr>
          </w:p>
          <w:p w14:paraId="33E3E8F3" w14:textId="77777777" w:rsidR="00C844EE" w:rsidRPr="00C844EE" w:rsidRDefault="00C844EE" w:rsidP="00C844EE">
            <w:pPr>
              <w:pStyle w:val="ListParagraph"/>
              <w:ind w:left="450"/>
              <w:rPr>
                <w:rFonts w:ascii="Times New Roman" w:hAnsi="Times New Roman" w:cs="Times New Roman"/>
              </w:rPr>
            </w:pPr>
          </w:p>
          <w:p w14:paraId="496C8D64" w14:textId="77777777" w:rsidR="00C844EE" w:rsidRPr="00C844EE" w:rsidRDefault="00C844EE" w:rsidP="00C844EE">
            <w:pPr>
              <w:pStyle w:val="ListParagraph"/>
              <w:ind w:left="450"/>
              <w:rPr>
                <w:rFonts w:ascii="Times New Roman" w:hAnsi="Times New Roman" w:cs="Times New Roman"/>
              </w:rPr>
            </w:pPr>
          </w:p>
        </w:tc>
        <w:tc>
          <w:tcPr>
            <w:tcW w:w="2835" w:type="dxa"/>
          </w:tcPr>
          <w:p w14:paraId="64790A5F" w14:textId="77777777" w:rsidR="00C844EE" w:rsidRPr="00C844EE" w:rsidRDefault="00C844EE" w:rsidP="007B5E57">
            <w:pPr>
              <w:pStyle w:val="ListParagraph"/>
              <w:numPr>
                <w:ilvl w:val="0"/>
                <w:numId w:val="41"/>
              </w:numPr>
              <w:tabs>
                <w:tab w:val="num" w:pos="252"/>
              </w:tabs>
              <w:rPr>
                <w:rFonts w:ascii="Times New Roman" w:hAnsi="Times New Roman" w:cs="Times New Roman"/>
                <w:b/>
                <w:sz w:val="20"/>
                <w:szCs w:val="20"/>
              </w:rPr>
            </w:pPr>
            <w:r w:rsidRPr="00C844EE">
              <w:rPr>
                <w:rFonts w:ascii="Times New Roman" w:hAnsi="Times New Roman" w:cs="Times New Roman"/>
                <w:b/>
                <w:sz w:val="20"/>
                <w:szCs w:val="20"/>
              </w:rPr>
              <w:lastRenderedPageBreak/>
              <w:t>Ongoing:</w:t>
            </w:r>
          </w:p>
          <w:p w14:paraId="128FBE93" w14:textId="77777777" w:rsidR="00C844EE" w:rsidRPr="00C844EE" w:rsidRDefault="00C844EE" w:rsidP="00C844EE">
            <w:pPr>
              <w:tabs>
                <w:tab w:val="num" w:pos="252"/>
              </w:tabs>
              <w:rPr>
                <w:rFonts w:ascii="Times New Roman" w:hAnsi="Times New Roman" w:cs="Times New Roman"/>
                <w:sz w:val="20"/>
                <w:szCs w:val="20"/>
              </w:rPr>
            </w:pPr>
            <w:r w:rsidRPr="00C844EE">
              <w:rPr>
                <w:rFonts w:ascii="Times New Roman" w:hAnsi="Times New Roman" w:cs="Times New Roman"/>
                <w:sz w:val="20"/>
                <w:szCs w:val="20"/>
              </w:rPr>
              <w:t xml:space="preserve">Transport Sector Support Project (FY11), Northern Corridor Transport Improvement Project (FY04, FY09), East Africa Trade and Transport Facilitation Project (Regional FY06), Kenya Investment Climate Program (Trade Facilitation), Rift Valley Railways (IFC Portfolio), </w:t>
            </w:r>
            <w:r w:rsidRPr="00C844EE">
              <w:rPr>
                <w:rFonts w:ascii="Times New Roman" w:hAnsi="Times New Roman" w:cs="Times New Roman"/>
                <w:sz w:val="20"/>
                <w:szCs w:val="20"/>
              </w:rPr>
              <w:lastRenderedPageBreak/>
              <w:t>National Urban Transport Improvement (FY13)</w:t>
            </w:r>
          </w:p>
          <w:p w14:paraId="2F8EBBA2" w14:textId="77777777" w:rsidR="00C844EE" w:rsidRPr="00C844EE" w:rsidRDefault="00C844EE" w:rsidP="00C844EE">
            <w:pPr>
              <w:rPr>
                <w:rFonts w:ascii="Times New Roman" w:hAnsi="Times New Roman" w:cs="Times New Roman"/>
                <w:b/>
                <w:sz w:val="20"/>
                <w:szCs w:val="20"/>
              </w:rPr>
            </w:pPr>
          </w:p>
          <w:p w14:paraId="11C11277" w14:textId="77777777" w:rsidR="00C844EE" w:rsidRPr="00C844EE" w:rsidRDefault="00C844EE" w:rsidP="00C844EE">
            <w:pPr>
              <w:rPr>
                <w:rFonts w:ascii="Times New Roman" w:hAnsi="Times New Roman" w:cs="Times New Roman"/>
              </w:rPr>
            </w:pPr>
          </w:p>
        </w:tc>
        <w:tc>
          <w:tcPr>
            <w:tcW w:w="5277" w:type="dxa"/>
          </w:tcPr>
          <w:p w14:paraId="36EE2630" w14:textId="77777777" w:rsidR="00C844EE" w:rsidRPr="00C844EE" w:rsidRDefault="00C844EE" w:rsidP="00C844EE">
            <w:pPr>
              <w:spacing w:before="100"/>
              <w:rPr>
                <w:rFonts w:ascii="Times New Roman" w:hAnsi="Times New Roman" w:cs="Times New Roman"/>
                <w:b/>
              </w:rPr>
            </w:pPr>
          </w:p>
        </w:tc>
      </w:tr>
      <w:tr w:rsidR="00C844EE" w:rsidRPr="00C844EE" w14:paraId="4162263F" w14:textId="77777777" w:rsidTr="00F169CF">
        <w:tc>
          <w:tcPr>
            <w:tcW w:w="14174" w:type="dxa"/>
            <w:gridSpan w:val="4"/>
          </w:tcPr>
          <w:p w14:paraId="381F698F" w14:textId="77777777" w:rsidR="00C844EE" w:rsidRPr="00C844EE" w:rsidRDefault="00C844EE" w:rsidP="00C844EE">
            <w:pPr>
              <w:rPr>
                <w:rFonts w:ascii="Times New Roman" w:hAnsi="Times New Roman" w:cs="Times New Roman"/>
                <w:b/>
              </w:rPr>
            </w:pPr>
            <w:r w:rsidRPr="00C844EE">
              <w:rPr>
                <w:rFonts w:ascii="Times New Roman" w:hAnsi="Times New Roman" w:cs="Times New Roman"/>
                <w:b/>
              </w:rPr>
              <w:lastRenderedPageBreak/>
              <w:t>Energy</w:t>
            </w:r>
          </w:p>
          <w:p w14:paraId="282175DB" w14:textId="77777777" w:rsidR="00C844EE" w:rsidRPr="00C844EE" w:rsidRDefault="00C844EE" w:rsidP="007B5E57">
            <w:pPr>
              <w:numPr>
                <w:ilvl w:val="0"/>
                <w:numId w:val="26"/>
              </w:numPr>
              <w:tabs>
                <w:tab w:val="clear" w:pos="450"/>
                <w:tab w:val="num" w:pos="180"/>
                <w:tab w:val="num" w:pos="720"/>
              </w:tabs>
              <w:ind w:left="180" w:right="-101" w:hanging="180"/>
              <w:rPr>
                <w:rFonts w:ascii="Times New Roman" w:hAnsi="Times New Roman" w:cs="Times New Roman"/>
                <w:sz w:val="20"/>
                <w:szCs w:val="20"/>
              </w:rPr>
            </w:pPr>
            <w:r w:rsidRPr="00C844EE">
              <w:rPr>
                <w:rFonts w:ascii="Times New Roman" w:hAnsi="Times New Roman" w:cs="Times New Roman"/>
                <w:sz w:val="20"/>
                <w:szCs w:val="20"/>
              </w:rPr>
              <w:t>Rural electrification</w:t>
            </w:r>
          </w:p>
          <w:p w14:paraId="26B32368" w14:textId="77777777" w:rsidR="00C844EE" w:rsidRPr="00C844EE" w:rsidRDefault="00C844EE" w:rsidP="007B5E57">
            <w:pPr>
              <w:numPr>
                <w:ilvl w:val="0"/>
                <w:numId w:val="26"/>
              </w:numPr>
              <w:tabs>
                <w:tab w:val="clear" w:pos="450"/>
                <w:tab w:val="num" w:pos="180"/>
                <w:tab w:val="num" w:pos="720"/>
              </w:tabs>
              <w:ind w:left="180" w:right="-101" w:hanging="180"/>
              <w:rPr>
                <w:rFonts w:ascii="Times New Roman" w:hAnsi="Times New Roman" w:cs="Times New Roman"/>
                <w:sz w:val="20"/>
                <w:szCs w:val="20"/>
              </w:rPr>
            </w:pPr>
            <w:r w:rsidRPr="00C844EE">
              <w:rPr>
                <w:rFonts w:ascii="Times New Roman" w:hAnsi="Times New Roman" w:cs="Times New Roman"/>
                <w:sz w:val="20"/>
                <w:szCs w:val="20"/>
              </w:rPr>
              <w:t>Energy access scale-up.</w:t>
            </w:r>
          </w:p>
        </w:tc>
      </w:tr>
      <w:tr w:rsidR="00C844EE" w:rsidRPr="00C844EE" w14:paraId="66A93142" w14:textId="77777777" w:rsidTr="00F169CF">
        <w:tc>
          <w:tcPr>
            <w:tcW w:w="14174" w:type="dxa"/>
            <w:gridSpan w:val="4"/>
          </w:tcPr>
          <w:p w14:paraId="6D621414" w14:textId="77777777" w:rsidR="00C844EE" w:rsidRPr="00C844EE" w:rsidRDefault="00C844EE" w:rsidP="00C844EE">
            <w:pPr>
              <w:tabs>
                <w:tab w:val="num" w:pos="720"/>
              </w:tabs>
              <w:ind w:right="-101"/>
              <w:rPr>
                <w:rFonts w:ascii="Times New Roman" w:hAnsi="Times New Roman" w:cs="Times New Roman"/>
                <w:b/>
                <w:sz w:val="20"/>
                <w:szCs w:val="20"/>
              </w:rPr>
            </w:pPr>
            <w:r w:rsidRPr="00C844EE">
              <w:rPr>
                <w:rFonts w:ascii="Times New Roman" w:hAnsi="Times New Roman" w:cs="Times New Roman"/>
                <w:b/>
                <w:sz w:val="20"/>
                <w:szCs w:val="20"/>
              </w:rPr>
              <w:t xml:space="preserve">CPS infrastructure sub-outcome: Improved core infrastructure (energy), with deeper regional integration.                                                          MOSTLY ACHIEVED                                               </w:t>
            </w:r>
          </w:p>
        </w:tc>
      </w:tr>
      <w:tr w:rsidR="00C844EE" w:rsidRPr="00C844EE" w14:paraId="237E41FF" w14:textId="77777777" w:rsidTr="00F169CF">
        <w:tc>
          <w:tcPr>
            <w:tcW w:w="2802" w:type="dxa"/>
          </w:tcPr>
          <w:p w14:paraId="03D3A3B2"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Number of electricity connections rises</w:t>
            </w:r>
            <w:r w:rsidRPr="00C844EE">
              <w:rPr>
                <w:rFonts w:ascii="Times New Roman" w:hAnsi="Times New Roman" w:cs="Times New Roman"/>
                <w:sz w:val="20"/>
                <w:szCs w:val="20"/>
              </w:rPr>
              <w:t xml:space="preserve">.  Baseline (June 2009): 1,267,198 </w:t>
            </w:r>
            <w:r w:rsidRPr="00C844EE">
              <w:rPr>
                <w:rFonts w:ascii="Times New Roman" w:hAnsi="Times New Roman" w:cs="Times New Roman"/>
                <w:sz w:val="20"/>
                <w:szCs w:val="20"/>
              </w:rPr>
              <w:lastRenderedPageBreak/>
              <w:t xml:space="preserve">connections, target (June 2013): additional 30,000 (Electricity Expansion Project) and 250,000 (Energy Sector Recovery Project).  Source: KPLC Reports/Project data. </w:t>
            </w:r>
          </w:p>
          <w:p w14:paraId="693B9AA9" w14:textId="77777777" w:rsidR="00C844EE" w:rsidRPr="00C844EE" w:rsidRDefault="00C844EE" w:rsidP="00C844EE">
            <w:pPr>
              <w:tabs>
                <w:tab w:val="num" w:pos="252"/>
              </w:tabs>
              <w:ind w:left="180"/>
              <w:rPr>
                <w:rFonts w:ascii="Times New Roman" w:hAnsi="Times New Roman" w:cs="Times New Roman"/>
                <w:sz w:val="20"/>
                <w:szCs w:val="20"/>
              </w:rPr>
            </w:pPr>
          </w:p>
          <w:p w14:paraId="2EA92BAC"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sz w:val="20"/>
                <w:szCs w:val="20"/>
              </w:rPr>
            </w:pPr>
            <w:r w:rsidRPr="00C844EE">
              <w:rPr>
                <w:rFonts w:ascii="Times New Roman" w:hAnsi="Times New Roman" w:cs="Times New Roman"/>
                <w:i/>
                <w:sz w:val="20"/>
                <w:szCs w:val="20"/>
              </w:rPr>
              <w:t xml:space="preserve">Transmission and distribution losses decline. </w:t>
            </w:r>
            <w:r w:rsidRPr="00C844EE">
              <w:rPr>
                <w:rFonts w:ascii="Times New Roman" w:hAnsi="Times New Roman" w:cs="Times New Roman"/>
                <w:sz w:val="20"/>
                <w:szCs w:val="20"/>
              </w:rPr>
              <w:t>Baseline (June 2009): 16.3% of energy purchased, target (2013): 15.2%.  Source: KPLC Reports</w:t>
            </w:r>
          </w:p>
          <w:p w14:paraId="2AFD3D01" w14:textId="77777777" w:rsidR="00C844EE" w:rsidRPr="00C844EE" w:rsidRDefault="00C844EE" w:rsidP="00C844EE">
            <w:pPr>
              <w:pStyle w:val="ListParagraph"/>
              <w:rPr>
                <w:rFonts w:ascii="Times New Roman" w:hAnsi="Times New Roman" w:cs="Times New Roman"/>
                <w:sz w:val="20"/>
                <w:szCs w:val="20"/>
              </w:rPr>
            </w:pPr>
          </w:p>
          <w:p w14:paraId="501A08D5" w14:textId="77777777" w:rsidR="00C844EE" w:rsidRPr="00C844EE" w:rsidRDefault="00C844EE" w:rsidP="007B5E57">
            <w:pPr>
              <w:numPr>
                <w:ilvl w:val="0"/>
                <w:numId w:val="26"/>
              </w:numPr>
              <w:tabs>
                <w:tab w:val="num" w:pos="180"/>
                <w:tab w:val="num" w:pos="252"/>
              </w:tabs>
              <w:ind w:left="180" w:hanging="180"/>
              <w:rPr>
                <w:rFonts w:ascii="Times New Roman" w:hAnsi="Times New Roman" w:cs="Times New Roman"/>
              </w:rPr>
            </w:pPr>
            <w:r w:rsidRPr="00C844EE">
              <w:rPr>
                <w:rFonts w:ascii="Times New Roman" w:hAnsi="Times New Roman" w:cs="Times New Roman"/>
                <w:i/>
                <w:sz w:val="20"/>
                <w:szCs w:val="20"/>
              </w:rPr>
              <w:t>Five new Independent Power Projects (IPP)-</w:t>
            </w:r>
            <w:r w:rsidRPr="00C844EE">
              <w:rPr>
                <w:rFonts w:ascii="Times New Roman" w:hAnsi="Times New Roman" w:cs="Times New Roman"/>
                <w:sz w:val="20"/>
                <w:szCs w:val="20"/>
              </w:rPr>
              <w:t>at least two of which are wind/geothermal-reached financial closure.</w:t>
            </w:r>
            <w:r w:rsidRPr="00C844EE">
              <w:rPr>
                <w:rFonts w:ascii="Times New Roman" w:hAnsi="Times New Roman" w:cs="Times New Roman"/>
                <w:i/>
                <w:sz w:val="20"/>
                <w:szCs w:val="20"/>
              </w:rPr>
              <w:t xml:space="preserve">  </w:t>
            </w:r>
          </w:p>
        </w:tc>
        <w:tc>
          <w:tcPr>
            <w:tcW w:w="3260" w:type="dxa"/>
          </w:tcPr>
          <w:p w14:paraId="11D1B96F" w14:textId="77777777" w:rsidR="00C844EE" w:rsidRPr="00C844EE" w:rsidRDefault="00C844EE" w:rsidP="007B5E57">
            <w:pPr>
              <w:pStyle w:val="ListParagraph"/>
              <w:numPr>
                <w:ilvl w:val="0"/>
                <w:numId w:val="26"/>
              </w:numPr>
              <w:tabs>
                <w:tab w:val="num" w:pos="252"/>
              </w:tabs>
              <w:rPr>
                <w:rFonts w:ascii="Times New Roman" w:hAnsi="Times New Roman" w:cs="Times New Roman"/>
                <w:sz w:val="20"/>
                <w:szCs w:val="20"/>
              </w:rPr>
            </w:pPr>
            <w:r w:rsidRPr="00C844EE">
              <w:rPr>
                <w:rFonts w:ascii="Times New Roman" w:hAnsi="Times New Roman" w:cs="Times New Roman"/>
                <w:b/>
                <w:sz w:val="20"/>
                <w:szCs w:val="20"/>
              </w:rPr>
              <w:lastRenderedPageBreak/>
              <w:t xml:space="preserve">Achieved </w:t>
            </w:r>
            <w:r w:rsidRPr="00C844EE">
              <w:rPr>
                <w:rFonts w:ascii="Times New Roman" w:hAnsi="Times New Roman" w:cs="Times New Roman"/>
                <w:sz w:val="20"/>
                <w:szCs w:val="20"/>
              </w:rPr>
              <w:t xml:space="preserve"> 526,000 households under the ESRP March 2013</w:t>
            </w:r>
          </w:p>
          <w:p w14:paraId="35C399F0" w14:textId="77777777" w:rsidR="00C844EE" w:rsidRPr="00C844EE" w:rsidRDefault="00C844EE" w:rsidP="00C844EE">
            <w:pPr>
              <w:tabs>
                <w:tab w:val="num" w:pos="252"/>
              </w:tabs>
              <w:rPr>
                <w:rFonts w:ascii="Times New Roman" w:hAnsi="Times New Roman" w:cs="Times New Roman"/>
                <w:sz w:val="20"/>
                <w:szCs w:val="20"/>
              </w:rPr>
            </w:pPr>
          </w:p>
          <w:p w14:paraId="2BF55206" w14:textId="77777777" w:rsidR="00C844EE" w:rsidRPr="00C844EE" w:rsidRDefault="00C844EE" w:rsidP="00C844EE">
            <w:pPr>
              <w:tabs>
                <w:tab w:val="num" w:pos="252"/>
              </w:tabs>
              <w:rPr>
                <w:rFonts w:ascii="Times New Roman" w:hAnsi="Times New Roman" w:cs="Times New Roman"/>
                <w:sz w:val="20"/>
                <w:szCs w:val="20"/>
              </w:rPr>
            </w:pPr>
          </w:p>
          <w:p w14:paraId="7D586EBE" w14:textId="77777777" w:rsidR="00C844EE" w:rsidRPr="00C844EE" w:rsidRDefault="00C844EE" w:rsidP="00C844EE">
            <w:pPr>
              <w:tabs>
                <w:tab w:val="num" w:pos="252"/>
              </w:tabs>
              <w:rPr>
                <w:rFonts w:ascii="Times New Roman" w:hAnsi="Times New Roman" w:cs="Times New Roman"/>
                <w:sz w:val="20"/>
                <w:szCs w:val="20"/>
              </w:rPr>
            </w:pPr>
          </w:p>
          <w:p w14:paraId="449D6290" w14:textId="77777777" w:rsidR="00C844EE" w:rsidRPr="00C844EE" w:rsidRDefault="00C844EE" w:rsidP="00C844EE">
            <w:pPr>
              <w:tabs>
                <w:tab w:val="num" w:pos="252"/>
              </w:tabs>
              <w:rPr>
                <w:rFonts w:ascii="Times New Roman" w:hAnsi="Times New Roman" w:cs="Times New Roman"/>
                <w:sz w:val="20"/>
                <w:szCs w:val="20"/>
              </w:rPr>
            </w:pPr>
          </w:p>
          <w:p w14:paraId="64DB0BBF" w14:textId="77777777" w:rsidR="00C844EE" w:rsidRPr="00C844EE" w:rsidRDefault="00C844EE" w:rsidP="00C844EE">
            <w:pPr>
              <w:tabs>
                <w:tab w:val="num" w:pos="252"/>
              </w:tabs>
              <w:rPr>
                <w:rFonts w:ascii="Times New Roman" w:hAnsi="Times New Roman" w:cs="Times New Roman"/>
                <w:sz w:val="20"/>
                <w:szCs w:val="20"/>
              </w:rPr>
            </w:pPr>
          </w:p>
          <w:p w14:paraId="425E8BA2" w14:textId="77777777" w:rsidR="00C844EE" w:rsidRPr="00C844EE" w:rsidRDefault="00C844EE" w:rsidP="00C844EE">
            <w:pPr>
              <w:tabs>
                <w:tab w:val="num" w:pos="252"/>
              </w:tabs>
              <w:rPr>
                <w:rFonts w:ascii="Times New Roman" w:hAnsi="Times New Roman" w:cs="Times New Roman"/>
                <w:sz w:val="20"/>
                <w:szCs w:val="20"/>
              </w:rPr>
            </w:pPr>
          </w:p>
          <w:p w14:paraId="401F993F" w14:textId="77777777" w:rsidR="00C844EE" w:rsidRPr="00C844EE" w:rsidRDefault="00C844EE" w:rsidP="00C844EE">
            <w:pPr>
              <w:tabs>
                <w:tab w:val="num" w:pos="252"/>
              </w:tabs>
              <w:rPr>
                <w:rFonts w:ascii="Times New Roman" w:hAnsi="Times New Roman" w:cs="Times New Roman"/>
                <w:sz w:val="20"/>
                <w:szCs w:val="20"/>
              </w:rPr>
            </w:pPr>
          </w:p>
          <w:p w14:paraId="1746E619" w14:textId="77777777" w:rsidR="00C844EE" w:rsidRPr="00C844EE" w:rsidRDefault="00C844EE" w:rsidP="00C844EE">
            <w:pPr>
              <w:tabs>
                <w:tab w:val="num" w:pos="252"/>
              </w:tabs>
              <w:rPr>
                <w:rFonts w:ascii="Times New Roman" w:hAnsi="Times New Roman" w:cs="Times New Roman"/>
                <w:sz w:val="20"/>
                <w:szCs w:val="20"/>
              </w:rPr>
            </w:pPr>
          </w:p>
          <w:p w14:paraId="15F60941" w14:textId="77777777" w:rsidR="00C844EE" w:rsidRPr="00C844EE" w:rsidRDefault="00C844EE" w:rsidP="00C844EE">
            <w:pPr>
              <w:tabs>
                <w:tab w:val="num" w:pos="252"/>
              </w:tabs>
              <w:rPr>
                <w:rFonts w:ascii="Times New Roman" w:hAnsi="Times New Roman" w:cs="Times New Roman"/>
                <w:sz w:val="20"/>
                <w:szCs w:val="20"/>
              </w:rPr>
            </w:pPr>
          </w:p>
          <w:p w14:paraId="1ACDB09F" w14:textId="77777777" w:rsidR="00C844EE" w:rsidRPr="00C844EE" w:rsidRDefault="00C844EE" w:rsidP="007B5E57">
            <w:pPr>
              <w:pStyle w:val="ListParagraph"/>
              <w:numPr>
                <w:ilvl w:val="0"/>
                <w:numId w:val="26"/>
              </w:numPr>
              <w:tabs>
                <w:tab w:val="num" w:pos="252"/>
              </w:tabs>
              <w:rPr>
                <w:rFonts w:ascii="Times New Roman" w:hAnsi="Times New Roman" w:cs="Times New Roman"/>
                <w:sz w:val="20"/>
                <w:szCs w:val="20"/>
              </w:rPr>
            </w:pPr>
            <w:r w:rsidRPr="00C844EE">
              <w:rPr>
                <w:rFonts w:ascii="Times New Roman" w:hAnsi="Times New Roman" w:cs="Times New Roman"/>
                <w:b/>
                <w:sz w:val="20"/>
                <w:szCs w:val="20"/>
              </w:rPr>
              <w:t>Not achieved</w:t>
            </w:r>
            <w:r w:rsidRPr="00C844EE">
              <w:rPr>
                <w:rFonts w:ascii="Times New Roman" w:hAnsi="Times New Roman" w:cs="Times New Roman"/>
                <w:sz w:val="20"/>
                <w:szCs w:val="20"/>
              </w:rPr>
              <w:t xml:space="preserve"> 18.6% in June 2013 </w:t>
            </w:r>
          </w:p>
          <w:p w14:paraId="5FFD8B77" w14:textId="77777777" w:rsidR="00C844EE" w:rsidRPr="00C844EE" w:rsidRDefault="00C844EE" w:rsidP="00C844EE">
            <w:pPr>
              <w:tabs>
                <w:tab w:val="num" w:pos="252"/>
              </w:tabs>
              <w:rPr>
                <w:rFonts w:ascii="Times New Roman" w:hAnsi="Times New Roman" w:cs="Times New Roman"/>
                <w:sz w:val="20"/>
                <w:szCs w:val="20"/>
              </w:rPr>
            </w:pPr>
          </w:p>
          <w:p w14:paraId="1CDC4DEB" w14:textId="77777777" w:rsidR="00C844EE" w:rsidRPr="00C844EE" w:rsidRDefault="00C844EE" w:rsidP="00C844EE">
            <w:pPr>
              <w:tabs>
                <w:tab w:val="num" w:pos="252"/>
              </w:tabs>
              <w:rPr>
                <w:rFonts w:ascii="Times New Roman" w:hAnsi="Times New Roman" w:cs="Times New Roman"/>
                <w:sz w:val="20"/>
                <w:szCs w:val="20"/>
              </w:rPr>
            </w:pPr>
          </w:p>
          <w:p w14:paraId="4AA5E33F" w14:textId="77777777" w:rsidR="00C844EE" w:rsidRPr="00C844EE" w:rsidRDefault="00C844EE" w:rsidP="00C844EE">
            <w:pPr>
              <w:tabs>
                <w:tab w:val="num" w:pos="252"/>
              </w:tabs>
              <w:rPr>
                <w:rFonts w:ascii="Times New Roman" w:hAnsi="Times New Roman" w:cs="Times New Roman"/>
                <w:sz w:val="20"/>
                <w:szCs w:val="20"/>
              </w:rPr>
            </w:pPr>
          </w:p>
          <w:p w14:paraId="590BCE8A" w14:textId="77777777" w:rsidR="00C844EE" w:rsidRPr="00C844EE" w:rsidRDefault="00C844EE" w:rsidP="00C844EE">
            <w:pPr>
              <w:tabs>
                <w:tab w:val="num" w:pos="252"/>
              </w:tabs>
              <w:rPr>
                <w:rFonts w:ascii="Times New Roman" w:hAnsi="Times New Roman" w:cs="Times New Roman"/>
                <w:sz w:val="20"/>
                <w:szCs w:val="20"/>
              </w:rPr>
            </w:pPr>
          </w:p>
          <w:p w14:paraId="34FF5821" w14:textId="77777777" w:rsidR="00C844EE" w:rsidRPr="00C844EE" w:rsidRDefault="00C844EE" w:rsidP="00C844EE">
            <w:pPr>
              <w:tabs>
                <w:tab w:val="num" w:pos="252"/>
              </w:tabs>
              <w:rPr>
                <w:rFonts w:ascii="Times New Roman" w:hAnsi="Times New Roman" w:cs="Times New Roman"/>
                <w:sz w:val="20"/>
                <w:szCs w:val="20"/>
              </w:rPr>
            </w:pPr>
          </w:p>
          <w:p w14:paraId="42E4B537" w14:textId="77777777" w:rsidR="00C844EE" w:rsidRPr="00C844EE" w:rsidRDefault="00C844EE" w:rsidP="00C844EE">
            <w:pPr>
              <w:tabs>
                <w:tab w:val="num" w:pos="252"/>
              </w:tabs>
              <w:rPr>
                <w:rFonts w:ascii="Times New Roman" w:hAnsi="Times New Roman" w:cs="Times New Roman"/>
                <w:sz w:val="20"/>
                <w:szCs w:val="20"/>
              </w:rPr>
            </w:pPr>
          </w:p>
          <w:p w14:paraId="5B08E6E8" w14:textId="77777777" w:rsidR="00C844EE" w:rsidRPr="00C844EE" w:rsidRDefault="00C844EE" w:rsidP="007B5E57">
            <w:pPr>
              <w:pStyle w:val="ListParagraph"/>
              <w:numPr>
                <w:ilvl w:val="0"/>
                <w:numId w:val="26"/>
              </w:numPr>
              <w:tabs>
                <w:tab w:val="num" w:pos="252"/>
              </w:tabs>
              <w:rPr>
                <w:rFonts w:ascii="Times New Roman" w:hAnsi="Times New Roman" w:cs="Times New Roman"/>
                <w:i/>
                <w:sz w:val="20"/>
                <w:szCs w:val="20"/>
              </w:rPr>
            </w:pPr>
            <w:r w:rsidRPr="00C844EE">
              <w:rPr>
                <w:rFonts w:ascii="Times New Roman" w:hAnsi="Times New Roman" w:cs="Times New Roman"/>
                <w:b/>
                <w:sz w:val="20"/>
                <w:szCs w:val="20"/>
              </w:rPr>
              <w:t>Mostly achieved</w:t>
            </w:r>
            <w:r w:rsidRPr="00C844EE">
              <w:rPr>
                <w:rFonts w:ascii="Times New Roman" w:hAnsi="Times New Roman" w:cs="Times New Roman"/>
                <w:sz w:val="20"/>
                <w:szCs w:val="20"/>
              </w:rPr>
              <w:t xml:space="preserve"> Six IPPs operating (one of them geothermal) and three IPPs reached financial closures as of March 2013</w:t>
            </w:r>
            <w:r w:rsidRPr="00C844EE">
              <w:rPr>
                <w:rFonts w:ascii="Times New Roman" w:hAnsi="Times New Roman" w:cs="Times New Roman"/>
                <w:i/>
                <w:sz w:val="20"/>
                <w:szCs w:val="20"/>
              </w:rPr>
              <w:t xml:space="preserve">  </w:t>
            </w:r>
          </w:p>
        </w:tc>
        <w:tc>
          <w:tcPr>
            <w:tcW w:w="2835" w:type="dxa"/>
          </w:tcPr>
          <w:p w14:paraId="7F8F29A5"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 xml:space="preserve">Ongoing: </w:t>
            </w:r>
            <w:r w:rsidRPr="00C844EE">
              <w:rPr>
                <w:rFonts w:ascii="Times New Roman" w:hAnsi="Times New Roman" w:cs="Times New Roman"/>
                <w:sz w:val="20"/>
                <w:szCs w:val="20"/>
              </w:rPr>
              <w:t xml:space="preserve">Electricity Expansion Project (FY10), Energy Sector Recovery Project </w:t>
            </w:r>
            <w:r w:rsidRPr="00C844EE">
              <w:rPr>
                <w:rFonts w:ascii="Times New Roman" w:hAnsi="Times New Roman" w:cs="Times New Roman"/>
                <w:sz w:val="20"/>
                <w:szCs w:val="20"/>
              </w:rPr>
              <w:lastRenderedPageBreak/>
              <w:t>(FY05, FY09), Lighting Africa (TA) (FY09), IFC Tsavo Power Portfolio Project, Private Sector Power Generation Support Project (PRG) (FY12), Eastern Electricity Highway Project (APL 1) (FY12), IFC Investment in KPLC (FY12)</w:t>
            </w:r>
          </w:p>
          <w:p w14:paraId="323D9734" w14:textId="77777777" w:rsidR="00C844EE" w:rsidRPr="00C844EE" w:rsidRDefault="00C844EE" w:rsidP="00C844EE">
            <w:pPr>
              <w:rPr>
                <w:rFonts w:ascii="Times New Roman" w:hAnsi="Times New Roman" w:cs="Times New Roman"/>
              </w:rPr>
            </w:pPr>
          </w:p>
          <w:p w14:paraId="7FDE6DE5" w14:textId="77777777" w:rsidR="00C844EE" w:rsidRPr="00C844EE" w:rsidRDefault="00C844EE" w:rsidP="00C844EE">
            <w:pPr>
              <w:rPr>
                <w:rFonts w:ascii="Times New Roman" w:hAnsi="Times New Roman" w:cs="Times New Roman"/>
              </w:rPr>
            </w:pPr>
            <w:r w:rsidRPr="00C844EE">
              <w:rPr>
                <w:rFonts w:ascii="Times New Roman" w:hAnsi="Times New Roman" w:cs="Times New Roman"/>
                <w:b/>
                <w:sz w:val="20"/>
                <w:szCs w:val="20"/>
              </w:rPr>
              <w:t>Ongoing AAA:</w:t>
            </w:r>
            <w:r w:rsidRPr="00C844EE">
              <w:rPr>
                <w:rFonts w:ascii="Times New Roman" w:hAnsi="Times New Roman" w:cs="Times New Roman"/>
                <w:sz w:val="20"/>
                <w:szCs w:val="20"/>
              </w:rPr>
              <w:t>TA portfolio to strengthen the capacity of sector entities for improved sector regulation, planning, and operation</w:t>
            </w:r>
          </w:p>
        </w:tc>
        <w:tc>
          <w:tcPr>
            <w:tcW w:w="5277" w:type="dxa"/>
          </w:tcPr>
          <w:p w14:paraId="132AD963"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i/>
                <w:sz w:val="20"/>
                <w:szCs w:val="20"/>
              </w:rPr>
              <w:lastRenderedPageBreak/>
              <w:t xml:space="preserve">To be updated: </w:t>
            </w:r>
            <w:r w:rsidRPr="00C844EE">
              <w:rPr>
                <w:rFonts w:ascii="Times New Roman" w:hAnsi="Times New Roman" w:cs="Times New Roman"/>
                <w:sz w:val="20"/>
                <w:szCs w:val="20"/>
              </w:rPr>
              <w:t xml:space="preserve">Rapidly expanding Kenyan households’ access to electricity service and ensuring adequate and reliable supply of power remain key challenges in the </w:t>
            </w:r>
            <w:r w:rsidRPr="00C844EE">
              <w:rPr>
                <w:rFonts w:ascii="Times New Roman" w:hAnsi="Times New Roman" w:cs="Times New Roman"/>
                <w:sz w:val="20"/>
                <w:szCs w:val="20"/>
              </w:rPr>
              <w:lastRenderedPageBreak/>
              <w:t xml:space="preserve">sector. As KPLC moves to connect households farther away from the national grid, it has increasingly become difficult for the company to maintain financial sustainability while accelerating the connection to over 200,000-300,000 households per year. With the increased connection of new customers and delays in reinforcement of transmission and distribution network, system losses have increased and the network continues to be unreliable. </w:t>
            </w:r>
          </w:p>
          <w:p w14:paraId="6DE273B8" w14:textId="77777777" w:rsidR="00C844EE" w:rsidRPr="00C844EE" w:rsidRDefault="00C844EE" w:rsidP="00C844EE">
            <w:pPr>
              <w:rPr>
                <w:rFonts w:ascii="Times New Roman" w:hAnsi="Times New Roman" w:cs="Times New Roman"/>
              </w:rPr>
            </w:pPr>
          </w:p>
        </w:tc>
      </w:tr>
      <w:tr w:rsidR="00C844EE" w:rsidRPr="00C844EE" w14:paraId="21331523" w14:textId="77777777" w:rsidTr="00F169CF">
        <w:tc>
          <w:tcPr>
            <w:tcW w:w="14174" w:type="dxa"/>
            <w:gridSpan w:val="4"/>
          </w:tcPr>
          <w:p w14:paraId="3DB699B2"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Water and sanitation</w:t>
            </w:r>
          </w:p>
        </w:tc>
      </w:tr>
      <w:tr w:rsidR="00C844EE" w:rsidRPr="00C844EE" w14:paraId="605727A6" w14:textId="77777777" w:rsidTr="00F169CF">
        <w:tc>
          <w:tcPr>
            <w:tcW w:w="14174" w:type="dxa"/>
            <w:gridSpan w:val="4"/>
          </w:tcPr>
          <w:p w14:paraId="3FBEA087"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MTP objectives: Enhancing access to clean, secure, and sustainable environment, water and sanitation</w:t>
            </w:r>
          </w:p>
          <w:p w14:paraId="0F213975" w14:textId="77777777" w:rsidR="00C844EE" w:rsidRPr="00C844EE" w:rsidRDefault="00C844EE" w:rsidP="007B5E57">
            <w:pPr>
              <w:numPr>
                <w:ilvl w:val="0"/>
                <w:numId w:val="35"/>
              </w:numPr>
              <w:rPr>
                <w:rFonts w:ascii="Times New Roman" w:hAnsi="Times New Roman" w:cs="Times New Roman"/>
                <w:sz w:val="20"/>
                <w:szCs w:val="20"/>
              </w:rPr>
            </w:pPr>
            <w:r w:rsidRPr="00C844EE">
              <w:rPr>
                <w:rFonts w:ascii="Times New Roman" w:hAnsi="Times New Roman" w:cs="Times New Roman"/>
                <w:sz w:val="20"/>
                <w:szCs w:val="20"/>
              </w:rPr>
              <w:t>Upgrade water supply systems in all urban areas and augment/expand rural water supplies</w:t>
            </w:r>
          </w:p>
          <w:p w14:paraId="08A5EBE3" w14:textId="77777777" w:rsidR="00C844EE" w:rsidRPr="00C844EE" w:rsidRDefault="00C844EE" w:rsidP="007B5E57">
            <w:pPr>
              <w:numPr>
                <w:ilvl w:val="0"/>
                <w:numId w:val="35"/>
              </w:numPr>
              <w:rPr>
                <w:rFonts w:ascii="Times New Roman" w:hAnsi="Times New Roman" w:cs="Times New Roman"/>
                <w:sz w:val="20"/>
                <w:szCs w:val="20"/>
              </w:rPr>
            </w:pPr>
            <w:r w:rsidRPr="00C844EE">
              <w:rPr>
                <w:rFonts w:ascii="Times New Roman" w:hAnsi="Times New Roman" w:cs="Times New Roman"/>
                <w:sz w:val="20"/>
                <w:szCs w:val="20"/>
              </w:rPr>
              <w:t>Expand sewage coverage.</w:t>
            </w:r>
          </w:p>
        </w:tc>
      </w:tr>
      <w:tr w:rsidR="00C844EE" w:rsidRPr="00C844EE" w14:paraId="284ABAB7" w14:textId="77777777" w:rsidTr="00F169CF">
        <w:tc>
          <w:tcPr>
            <w:tcW w:w="14174" w:type="dxa"/>
            <w:gridSpan w:val="4"/>
          </w:tcPr>
          <w:p w14:paraId="0A98F063"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CPS infrastructure sub-outcome: Improved core infrastructure (water), with deeper regional integration.                                                           MOSTLY ACHIEVED                                                              </w:t>
            </w:r>
          </w:p>
        </w:tc>
      </w:tr>
      <w:tr w:rsidR="00C844EE" w:rsidRPr="00C844EE" w14:paraId="51DA29DB" w14:textId="77777777" w:rsidTr="00F169CF">
        <w:tc>
          <w:tcPr>
            <w:tcW w:w="2802" w:type="dxa"/>
          </w:tcPr>
          <w:p w14:paraId="55E9D386" w14:textId="77777777" w:rsidR="00C844EE" w:rsidRPr="00C844EE" w:rsidRDefault="00C844EE" w:rsidP="007B5E57">
            <w:pPr>
              <w:numPr>
                <w:ilvl w:val="0"/>
                <w:numId w:val="32"/>
              </w:numPr>
              <w:tabs>
                <w:tab w:val="clear" w:pos="360"/>
                <w:tab w:val="num" w:pos="426"/>
              </w:tabs>
              <w:ind w:left="142" w:right="34" w:hanging="142"/>
              <w:rPr>
                <w:rFonts w:ascii="Times New Roman" w:hAnsi="Times New Roman" w:cs="Times New Roman"/>
                <w:sz w:val="20"/>
                <w:szCs w:val="20"/>
              </w:rPr>
            </w:pPr>
            <w:r w:rsidRPr="00C844EE">
              <w:rPr>
                <w:rFonts w:ascii="Times New Roman" w:hAnsi="Times New Roman" w:cs="Times New Roman"/>
                <w:i/>
                <w:sz w:val="20"/>
                <w:szCs w:val="20"/>
              </w:rPr>
              <w:t xml:space="preserve">Number of people in project area with access to improved water sources </w:t>
            </w:r>
            <w:r w:rsidRPr="00C844EE">
              <w:rPr>
                <w:rFonts w:ascii="Times New Roman" w:hAnsi="Times New Roman" w:cs="Times New Roman"/>
                <w:sz w:val="20"/>
                <w:szCs w:val="20"/>
              </w:rPr>
              <w:t xml:space="preserve">(baseline (June 2007): 5.4 million (REVISED), target (2012) 9.5 million.  Source: Water Regulation Information System, with data reported in the WaSSIP reports). </w:t>
            </w:r>
          </w:p>
          <w:p w14:paraId="06649BBE" w14:textId="77777777" w:rsidR="00C844EE" w:rsidRPr="00C844EE" w:rsidRDefault="00C844EE" w:rsidP="00C844EE">
            <w:pPr>
              <w:ind w:left="142" w:right="34"/>
              <w:rPr>
                <w:rFonts w:ascii="Times New Roman" w:hAnsi="Times New Roman" w:cs="Times New Roman"/>
                <w:sz w:val="20"/>
                <w:szCs w:val="20"/>
              </w:rPr>
            </w:pPr>
          </w:p>
          <w:p w14:paraId="5CB77641" w14:textId="77777777" w:rsidR="00C844EE" w:rsidRPr="00C844EE" w:rsidRDefault="00C844EE" w:rsidP="007B5E57">
            <w:pPr>
              <w:pStyle w:val="ListParagraph"/>
              <w:numPr>
                <w:ilvl w:val="0"/>
                <w:numId w:val="32"/>
              </w:numPr>
              <w:tabs>
                <w:tab w:val="clear" w:pos="360"/>
                <w:tab w:val="num" w:pos="142"/>
                <w:tab w:val="num" w:pos="720"/>
              </w:tabs>
              <w:ind w:left="142" w:hanging="142"/>
              <w:rPr>
                <w:rFonts w:ascii="Times New Roman" w:hAnsi="Times New Roman" w:cs="Times New Roman"/>
                <w:i/>
                <w:sz w:val="20"/>
                <w:szCs w:val="20"/>
              </w:rPr>
            </w:pPr>
            <w:r w:rsidRPr="00C844EE">
              <w:rPr>
                <w:rFonts w:ascii="Times New Roman" w:hAnsi="Times New Roman" w:cs="Times New Roman"/>
                <w:i/>
                <w:sz w:val="20"/>
                <w:szCs w:val="20"/>
              </w:rPr>
              <w:t xml:space="preserve">Percentage of people in project area with access to adequate sewerage services or safe sanitation rises </w:t>
            </w:r>
            <w:r w:rsidRPr="00C844EE">
              <w:rPr>
                <w:rFonts w:ascii="Times New Roman" w:hAnsi="Times New Roman" w:cs="Times New Roman"/>
                <w:sz w:val="20"/>
                <w:szCs w:val="20"/>
              </w:rPr>
              <w:t>(baseline (2007): 17%, target (2012): 30%.  Source: with data reported in the WaSSIP reports).</w:t>
            </w:r>
            <w:r w:rsidRPr="00C844EE">
              <w:rPr>
                <w:rFonts w:ascii="Times New Roman" w:hAnsi="Times New Roman" w:cs="Times New Roman"/>
                <w:i/>
                <w:sz w:val="20"/>
                <w:szCs w:val="20"/>
              </w:rPr>
              <w:t xml:space="preserve"> </w:t>
            </w:r>
          </w:p>
        </w:tc>
        <w:tc>
          <w:tcPr>
            <w:tcW w:w="3260" w:type="dxa"/>
          </w:tcPr>
          <w:p w14:paraId="0540783B" w14:textId="77777777" w:rsidR="00C844EE" w:rsidRPr="00C844EE" w:rsidRDefault="00C844EE" w:rsidP="007B5E57">
            <w:pPr>
              <w:pStyle w:val="ListParagraph"/>
              <w:numPr>
                <w:ilvl w:val="0"/>
                <w:numId w:val="32"/>
              </w:numPr>
              <w:tabs>
                <w:tab w:val="clear" w:pos="360"/>
                <w:tab w:val="num" w:pos="175"/>
              </w:tabs>
              <w:spacing w:before="100"/>
              <w:ind w:left="175" w:hanging="175"/>
              <w:rPr>
                <w:rFonts w:ascii="Times New Roman" w:hAnsi="Times New Roman" w:cs="Times New Roman"/>
                <w:sz w:val="20"/>
                <w:szCs w:val="20"/>
              </w:rPr>
            </w:pPr>
            <w:r w:rsidRPr="00C844EE">
              <w:rPr>
                <w:rFonts w:ascii="Times New Roman" w:hAnsi="Times New Roman" w:cs="Times New Roman"/>
                <w:b/>
                <w:sz w:val="20"/>
                <w:szCs w:val="20"/>
              </w:rPr>
              <w:lastRenderedPageBreak/>
              <w:t>Mostly achieved:</w:t>
            </w:r>
            <w:r w:rsidRPr="00C844EE">
              <w:rPr>
                <w:rFonts w:ascii="Times New Roman" w:hAnsi="Times New Roman" w:cs="Times New Roman"/>
                <w:sz w:val="20"/>
                <w:szCs w:val="20"/>
              </w:rPr>
              <w:t xml:space="preserve"> Total number of people in the project area with improved water sources in 2011 was 8.3 million (56% coverage) (Source: Water Regulation Information System).  That is an increase of 2.9 million until 2011.  The report for 2012 should become available late September 2013.  </w:t>
            </w:r>
          </w:p>
          <w:p w14:paraId="15511008" w14:textId="77777777" w:rsidR="00C844EE" w:rsidRPr="00C844EE" w:rsidRDefault="00C844EE" w:rsidP="00C844EE">
            <w:pPr>
              <w:pStyle w:val="ListParagraph"/>
              <w:ind w:left="360"/>
              <w:rPr>
                <w:rFonts w:ascii="Times New Roman" w:hAnsi="Times New Roman" w:cs="Times New Roman"/>
                <w:sz w:val="20"/>
                <w:szCs w:val="20"/>
              </w:rPr>
            </w:pPr>
          </w:p>
          <w:p w14:paraId="61E0B6E8" w14:textId="77777777" w:rsidR="00C844EE" w:rsidRPr="00C844EE" w:rsidRDefault="00C844EE" w:rsidP="007B5E57">
            <w:pPr>
              <w:pStyle w:val="ListParagraph"/>
              <w:numPr>
                <w:ilvl w:val="0"/>
                <w:numId w:val="32"/>
              </w:numPr>
              <w:tabs>
                <w:tab w:val="clear" w:pos="360"/>
                <w:tab w:val="num" w:pos="175"/>
              </w:tabs>
              <w:ind w:left="175" w:hanging="175"/>
              <w:rPr>
                <w:rFonts w:ascii="Times New Roman" w:hAnsi="Times New Roman" w:cs="Times New Roman"/>
                <w:b/>
                <w:i/>
                <w:sz w:val="20"/>
                <w:szCs w:val="20"/>
              </w:rPr>
            </w:pPr>
            <w:r w:rsidRPr="00C844EE">
              <w:rPr>
                <w:rFonts w:ascii="Times New Roman" w:hAnsi="Times New Roman" w:cs="Times New Roman"/>
                <w:b/>
                <w:sz w:val="20"/>
                <w:szCs w:val="20"/>
              </w:rPr>
              <w:t>Achieved:</w:t>
            </w:r>
            <w:r w:rsidRPr="00C844EE">
              <w:rPr>
                <w:rFonts w:ascii="Times New Roman" w:hAnsi="Times New Roman" w:cs="Times New Roman"/>
                <w:sz w:val="20"/>
                <w:szCs w:val="20"/>
              </w:rPr>
              <w:t xml:space="preserve">  Percentage of people in project area with access to adequate sewerage or safe sanitation services or safe sanitation in 2011 was 64% (Source: Water Regulation Information System)</w:t>
            </w:r>
            <w:r w:rsidRPr="00C844EE">
              <w:rPr>
                <w:rFonts w:ascii="Times New Roman" w:hAnsi="Times New Roman" w:cs="Times New Roman"/>
                <w:b/>
                <w:i/>
                <w:color w:val="FF0000"/>
                <w:sz w:val="20"/>
                <w:szCs w:val="20"/>
              </w:rPr>
              <w:t xml:space="preserve"> </w:t>
            </w:r>
          </w:p>
        </w:tc>
        <w:tc>
          <w:tcPr>
            <w:tcW w:w="2835" w:type="dxa"/>
          </w:tcPr>
          <w:p w14:paraId="04D5BE5F"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 xml:space="preserve">Ongoing: </w:t>
            </w:r>
            <w:r w:rsidRPr="00C844EE">
              <w:rPr>
                <w:rFonts w:ascii="Times New Roman" w:hAnsi="Times New Roman" w:cs="Times New Roman"/>
                <w:sz w:val="20"/>
                <w:szCs w:val="20"/>
              </w:rPr>
              <w:t xml:space="preserve">IDA: Water and Sanitation Services Improvement Project (WaSSIP; FY08), WSP Global Partnership on Output-Based Aid (GPOBA): Kenya Microfinance for Water Project </w:t>
            </w:r>
          </w:p>
          <w:p w14:paraId="16F4FF0E"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Pipeline: </w:t>
            </w:r>
            <w:r w:rsidRPr="00C844EE">
              <w:rPr>
                <w:rFonts w:ascii="Times New Roman" w:hAnsi="Times New Roman" w:cs="Times New Roman"/>
                <w:sz w:val="20"/>
                <w:szCs w:val="20"/>
              </w:rPr>
              <w:t xml:space="preserve">IDA: WaSSIP AF </w:t>
            </w:r>
            <w:r w:rsidRPr="00C844EE">
              <w:rPr>
                <w:rFonts w:ascii="Times New Roman" w:hAnsi="Times New Roman" w:cs="Times New Roman"/>
                <w:b/>
                <w:sz w:val="20"/>
                <w:szCs w:val="20"/>
              </w:rPr>
              <w:t xml:space="preserve">(FY12), </w:t>
            </w:r>
            <w:r w:rsidRPr="00C844EE">
              <w:rPr>
                <w:rFonts w:ascii="Times New Roman" w:hAnsi="Times New Roman" w:cs="Times New Roman"/>
                <w:sz w:val="20"/>
                <w:szCs w:val="20"/>
              </w:rPr>
              <w:lastRenderedPageBreak/>
              <w:t>WSP/GPOBA: Nairobi Sanitation (FY13), Water Development and Climate Resilience Project (FY13);  WSP, IFC, IDA: Embu and Malindi water services providers gain access to commercial finance for expanded supply (</w:t>
            </w:r>
            <w:r w:rsidRPr="00C844EE">
              <w:rPr>
                <w:rFonts w:ascii="Times New Roman" w:hAnsi="Times New Roman" w:cs="Times New Roman"/>
                <w:b/>
                <w:sz w:val="20"/>
                <w:szCs w:val="20"/>
              </w:rPr>
              <w:t>FY12),</w:t>
            </w:r>
            <w:r w:rsidRPr="00C844EE">
              <w:rPr>
                <w:rFonts w:ascii="Times New Roman" w:hAnsi="Times New Roman" w:cs="Times New Roman"/>
                <w:sz w:val="20"/>
                <w:szCs w:val="20"/>
              </w:rPr>
              <w:t xml:space="preserve"> WSP finance facility for urban water service providers (FY13); </w:t>
            </w:r>
          </w:p>
          <w:p w14:paraId="4FE98CEF"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AAA: </w:t>
            </w:r>
            <w:r w:rsidRPr="00C844EE">
              <w:rPr>
                <w:rFonts w:ascii="Times New Roman" w:hAnsi="Times New Roman" w:cs="Times New Roman"/>
                <w:sz w:val="20"/>
                <w:szCs w:val="20"/>
              </w:rPr>
              <w:t>Enhancing Women’s Participation in Water Governance structures; TA for Commercial Finance Facility for Urban Water Supply (WSP, FY12)</w:t>
            </w:r>
          </w:p>
          <w:p w14:paraId="4DD0864A" w14:textId="77777777" w:rsidR="00C844EE" w:rsidRPr="00C844EE" w:rsidRDefault="00C844EE" w:rsidP="00C844EE">
            <w:pPr>
              <w:rPr>
                <w:rFonts w:ascii="Times New Roman" w:hAnsi="Times New Roman" w:cs="Times New Roman"/>
                <w:color w:val="000000" w:themeColor="text1"/>
                <w:sz w:val="20"/>
                <w:szCs w:val="20"/>
              </w:rPr>
            </w:pPr>
            <w:r w:rsidRPr="00C844EE">
              <w:rPr>
                <w:rFonts w:ascii="Times New Roman" w:hAnsi="Times New Roman" w:cs="Times New Roman"/>
                <w:color w:val="000000" w:themeColor="text1"/>
                <w:sz w:val="20"/>
                <w:szCs w:val="20"/>
              </w:rPr>
              <w:t>Supporting the new Water Policy and Act in alignment to the new Constitution of Kenya- P132025 (FY13)</w:t>
            </w:r>
          </w:p>
          <w:p w14:paraId="53BC9A13"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sz w:val="20"/>
                <w:szCs w:val="20"/>
              </w:rPr>
              <w:t>Innovation in scaling up Access to WSS for Urban Poor -P132015 (FY13)</w:t>
            </w:r>
          </w:p>
        </w:tc>
        <w:tc>
          <w:tcPr>
            <w:tcW w:w="5277" w:type="dxa"/>
          </w:tcPr>
          <w:p w14:paraId="056FB8E7" w14:textId="77777777" w:rsidR="00C844EE" w:rsidRPr="00C844EE" w:rsidRDefault="00C844EE" w:rsidP="007B5E57">
            <w:pPr>
              <w:pStyle w:val="ListParagraph"/>
              <w:numPr>
                <w:ilvl w:val="0"/>
                <w:numId w:val="29"/>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Integrated planning:</w:t>
            </w:r>
            <w:r w:rsidRPr="00C844EE">
              <w:rPr>
                <w:rFonts w:ascii="Times New Roman" w:eastAsia="Times New Roman" w:hAnsi="Times New Roman" w:cs="Times New Roman"/>
                <w:sz w:val="20"/>
                <w:szCs w:val="20"/>
              </w:rPr>
              <w:t xml:space="preserve"> Integrated urban infrastructure planning is key to successful delivery of WSP but can also take significant time.</w:t>
            </w:r>
          </w:p>
          <w:p w14:paraId="2A151BE9" w14:textId="77777777" w:rsidR="00C844EE" w:rsidRPr="00C844EE" w:rsidRDefault="00C844EE" w:rsidP="007B5E57">
            <w:pPr>
              <w:pStyle w:val="ListParagraph"/>
              <w:numPr>
                <w:ilvl w:val="0"/>
                <w:numId w:val="29"/>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Local benefits:</w:t>
            </w:r>
            <w:r w:rsidRPr="00C844EE">
              <w:rPr>
                <w:rFonts w:ascii="Times New Roman" w:eastAsia="Times New Roman" w:hAnsi="Times New Roman" w:cs="Times New Roman"/>
                <w:sz w:val="20"/>
                <w:szCs w:val="20"/>
              </w:rPr>
              <w:t xml:space="preserve"> There are ways of structuring contracts such that they are both efficiently implemented and also benefit the local economies in which they are being implemented. E.g. WaSSIP financed a works contract in Kayole Soweto where the utility and contractor worked with labor-intensive technologies and employed local </w:t>
            </w:r>
            <w:r w:rsidRPr="00C844EE">
              <w:rPr>
                <w:rFonts w:ascii="Times New Roman" w:eastAsia="Times New Roman" w:hAnsi="Times New Roman" w:cs="Times New Roman"/>
                <w:sz w:val="20"/>
                <w:szCs w:val="20"/>
              </w:rPr>
              <w:lastRenderedPageBreak/>
              <w:t>people including women and young people delivering local employment and increased local buy-in and ownership.</w:t>
            </w:r>
          </w:p>
          <w:p w14:paraId="06DC70A5" w14:textId="77777777" w:rsidR="00C844EE" w:rsidRPr="00C844EE" w:rsidRDefault="00C844EE" w:rsidP="007B5E57">
            <w:pPr>
              <w:pStyle w:val="ListParagraph"/>
              <w:numPr>
                <w:ilvl w:val="0"/>
                <w:numId w:val="29"/>
              </w:numPr>
              <w:rPr>
                <w:rFonts w:ascii="Times New Roman" w:hAnsi="Times New Roman" w:cs="Times New Roman"/>
              </w:rPr>
            </w:pPr>
            <w:r w:rsidRPr="00C844EE">
              <w:rPr>
                <w:rFonts w:ascii="Times New Roman" w:eastAsia="Times New Roman" w:hAnsi="Times New Roman" w:cs="Times New Roman"/>
                <w:b/>
                <w:i/>
                <w:sz w:val="20"/>
                <w:szCs w:val="20"/>
              </w:rPr>
              <w:t>Leveraging private finance into hard to reach areas:</w:t>
            </w:r>
            <w:r w:rsidRPr="00C844EE">
              <w:rPr>
                <w:rFonts w:ascii="Times New Roman" w:eastAsia="Times New Roman" w:hAnsi="Times New Roman" w:cs="Times New Roman"/>
                <w:sz w:val="20"/>
                <w:szCs w:val="20"/>
              </w:rPr>
              <w:t xml:space="preserve"> It is possible to leverage commercial finance into hard-to-reach, peri-urban areas with IDA money by a) subsidizing the cost of finance (provided by local finance institutions) available to utilities (to pay contractors) and b) financing the upfront construction of household distribution networks so that households are immediately in a position to start consuming and paying for water and hence enabling the utility to repay the debt incurred in the initial investment.</w:t>
            </w:r>
          </w:p>
        </w:tc>
      </w:tr>
      <w:tr w:rsidR="00C844EE" w:rsidRPr="00C844EE" w14:paraId="2D4B4EBD" w14:textId="77777777" w:rsidTr="00F169CF">
        <w:tc>
          <w:tcPr>
            <w:tcW w:w="14174" w:type="dxa"/>
            <w:gridSpan w:val="4"/>
          </w:tcPr>
          <w:p w14:paraId="39848E13"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Information and communication technology</w:t>
            </w:r>
          </w:p>
        </w:tc>
      </w:tr>
      <w:tr w:rsidR="00C844EE" w:rsidRPr="00C844EE" w14:paraId="3E127156" w14:textId="77777777" w:rsidTr="00F169CF">
        <w:tc>
          <w:tcPr>
            <w:tcW w:w="14174" w:type="dxa"/>
            <w:gridSpan w:val="4"/>
          </w:tcPr>
          <w:p w14:paraId="3D18685A"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MTP objectives:</w:t>
            </w:r>
          </w:p>
          <w:p w14:paraId="6C68074E" w14:textId="77777777" w:rsidR="00C844EE" w:rsidRPr="00C844EE" w:rsidRDefault="00C844EE" w:rsidP="007B5E57">
            <w:pPr>
              <w:numPr>
                <w:ilvl w:val="0"/>
                <w:numId w:val="26"/>
              </w:numPr>
              <w:tabs>
                <w:tab w:val="clear" w:pos="450"/>
                <w:tab w:val="num" w:pos="360"/>
                <w:tab w:val="num" w:pos="720"/>
              </w:tabs>
              <w:ind w:left="270" w:hanging="270"/>
              <w:rPr>
                <w:rFonts w:ascii="Times New Roman" w:hAnsi="Times New Roman" w:cs="Times New Roman"/>
                <w:sz w:val="20"/>
                <w:szCs w:val="20"/>
              </w:rPr>
            </w:pPr>
            <w:r w:rsidRPr="00C844EE">
              <w:rPr>
                <w:rFonts w:ascii="Times New Roman" w:hAnsi="Times New Roman" w:cs="Times New Roman"/>
                <w:sz w:val="20"/>
                <w:szCs w:val="20"/>
              </w:rPr>
              <w:t>Lay under-sea fiber optic cable</w:t>
            </w:r>
          </w:p>
          <w:p w14:paraId="6DED2788" w14:textId="77777777" w:rsidR="00C844EE" w:rsidRPr="00C844EE" w:rsidRDefault="00C844EE" w:rsidP="007B5E57">
            <w:pPr>
              <w:numPr>
                <w:ilvl w:val="0"/>
                <w:numId w:val="26"/>
              </w:numPr>
              <w:tabs>
                <w:tab w:val="clear" w:pos="450"/>
                <w:tab w:val="num" w:pos="360"/>
                <w:tab w:val="num" w:pos="720"/>
              </w:tabs>
              <w:ind w:left="270" w:hanging="270"/>
              <w:rPr>
                <w:rFonts w:ascii="Times New Roman" w:hAnsi="Times New Roman" w:cs="Times New Roman"/>
                <w:sz w:val="20"/>
                <w:szCs w:val="20"/>
              </w:rPr>
            </w:pPr>
            <w:r w:rsidRPr="00C844EE">
              <w:rPr>
                <w:rFonts w:ascii="Times New Roman" w:hAnsi="Times New Roman" w:cs="Times New Roman"/>
                <w:sz w:val="20"/>
                <w:szCs w:val="20"/>
              </w:rPr>
              <w:t>Offer government services online.</w:t>
            </w:r>
          </w:p>
        </w:tc>
      </w:tr>
      <w:tr w:rsidR="00C844EE" w:rsidRPr="00C844EE" w14:paraId="6C7C6F06" w14:textId="77777777" w:rsidTr="00F169CF">
        <w:tc>
          <w:tcPr>
            <w:tcW w:w="14174" w:type="dxa"/>
            <w:gridSpan w:val="4"/>
          </w:tcPr>
          <w:p w14:paraId="6492BD7E"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CPS infrastructure sub-outcome: improved core infrastructure (ICT), with deeper regional integration.                                                                               ACHIEVED</w:t>
            </w:r>
          </w:p>
        </w:tc>
      </w:tr>
      <w:tr w:rsidR="00C844EE" w:rsidRPr="00C844EE" w14:paraId="7E94207E" w14:textId="77777777" w:rsidTr="00F169CF">
        <w:tc>
          <w:tcPr>
            <w:tcW w:w="2802" w:type="dxa"/>
          </w:tcPr>
          <w:p w14:paraId="7CBC3ABA" w14:textId="77777777" w:rsidR="00C844EE" w:rsidRPr="00C844EE" w:rsidRDefault="00C844EE" w:rsidP="007B5E57">
            <w:pPr>
              <w:pStyle w:val="ListParagraph"/>
              <w:numPr>
                <w:ilvl w:val="0"/>
                <w:numId w:val="26"/>
              </w:numPr>
              <w:tabs>
                <w:tab w:val="clear" w:pos="450"/>
                <w:tab w:val="num" w:pos="142"/>
              </w:tabs>
              <w:ind w:left="52" w:hanging="52"/>
              <w:rPr>
                <w:rFonts w:ascii="Times New Roman" w:hAnsi="Times New Roman" w:cs="Times New Roman"/>
                <w:sz w:val="20"/>
                <w:szCs w:val="20"/>
              </w:rPr>
            </w:pPr>
            <w:r w:rsidRPr="00C844EE">
              <w:rPr>
                <w:rFonts w:ascii="Times New Roman" w:hAnsi="Times New Roman" w:cs="Times New Roman"/>
                <w:bCs/>
                <w:i/>
                <w:sz w:val="20"/>
                <w:szCs w:val="20"/>
              </w:rPr>
              <w:t>Access to Internet services rises (</w:t>
            </w:r>
            <w:r w:rsidRPr="00C844EE">
              <w:rPr>
                <w:rFonts w:ascii="Times New Roman" w:hAnsi="Times New Roman" w:cs="Times New Roman"/>
                <w:bCs/>
                <w:sz w:val="20"/>
                <w:szCs w:val="20"/>
              </w:rPr>
              <w:t>number of users</w:t>
            </w:r>
            <w:r w:rsidRPr="00C844EE">
              <w:rPr>
                <w:rFonts w:ascii="Times New Roman" w:hAnsi="Times New Roman" w:cs="Times New Roman"/>
                <w:bCs/>
                <w:i/>
                <w:sz w:val="20"/>
                <w:szCs w:val="20"/>
              </w:rPr>
              <w:t>)</w:t>
            </w:r>
            <w:r w:rsidRPr="00C844EE">
              <w:rPr>
                <w:rFonts w:ascii="Times New Roman" w:hAnsi="Times New Roman" w:cs="Times New Roman"/>
                <w:bCs/>
                <w:sz w:val="20"/>
                <w:szCs w:val="20"/>
              </w:rPr>
              <w:t xml:space="preserve">.  Baseline (2007): 1.25 million, target: 3 million.  Source: </w:t>
            </w:r>
            <w:r w:rsidRPr="00C844EE">
              <w:rPr>
                <w:rFonts w:ascii="Times New Roman" w:hAnsi="Times New Roman" w:cs="Times New Roman"/>
                <w:bCs/>
                <w:sz w:val="20"/>
                <w:szCs w:val="20"/>
              </w:rPr>
              <w:lastRenderedPageBreak/>
              <w:t xml:space="preserve">Communications Commission of Kenya data.  </w:t>
            </w:r>
          </w:p>
        </w:tc>
        <w:tc>
          <w:tcPr>
            <w:tcW w:w="3260" w:type="dxa"/>
          </w:tcPr>
          <w:p w14:paraId="5C25F405" w14:textId="77777777" w:rsidR="00C844EE" w:rsidRPr="00C844EE" w:rsidRDefault="00C844EE" w:rsidP="007B5E57">
            <w:pPr>
              <w:pStyle w:val="ListParagraph"/>
              <w:numPr>
                <w:ilvl w:val="0"/>
                <w:numId w:val="26"/>
              </w:numPr>
              <w:tabs>
                <w:tab w:val="clear" w:pos="450"/>
                <w:tab w:val="num" w:pos="175"/>
              </w:tabs>
              <w:ind w:left="175" w:hanging="175"/>
              <w:rPr>
                <w:rFonts w:ascii="Times New Roman" w:hAnsi="Times New Roman" w:cs="Times New Roman"/>
                <w:b/>
                <w:sz w:val="20"/>
                <w:szCs w:val="20"/>
              </w:rPr>
            </w:pPr>
            <w:r w:rsidRPr="00C844EE">
              <w:rPr>
                <w:rFonts w:ascii="Times New Roman" w:hAnsi="Times New Roman" w:cs="Times New Roman"/>
                <w:b/>
                <w:bCs/>
                <w:sz w:val="20"/>
                <w:szCs w:val="20"/>
              </w:rPr>
              <w:lastRenderedPageBreak/>
              <w:t xml:space="preserve">Achieved. </w:t>
            </w:r>
            <w:r w:rsidRPr="00C844EE">
              <w:rPr>
                <w:rFonts w:ascii="Times New Roman" w:hAnsi="Times New Roman" w:cs="Times New Roman"/>
                <w:bCs/>
                <w:sz w:val="20"/>
                <w:szCs w:val="20"/>
              </w:rPr>
              <w:t>16.2 million subscribers; 41.1% of the population with Internet access (May 2013)</w:t>
            </w:r>
          </w:p>
        </w:tc>
        <w:tc>
          <w:tcPr>
            <w:tcW w:w="2835" w:type="dxa"/>
          </w:tcPr>
          <w:p w14:paraId="370F46CC"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Ongoing: </w:t>
            </w:r>
            <w:r w:rsidRPr="00C844EE">
              <w:rPr>
                <w:rFonts w:ascii="Times New Roman" w:hAnsi="Times New Roman" w:cs="Times New Roman"/>
                <w:sz w:val="20"/>
                <w:szCs w:val="20"/>
              </w:rPr>
              <w:t xml:space="preserve">Regional Communications Infrastructure Project/KTCIP; IFC KMIP (IFC Special Economic Zone </w:t>
            </w:r>
            <w:r w:rsidRPr="00C844EE">
              <w:rPr>
                <w:rFonts w:ascii="Times New Roman" w:hAnsi="Times New Roman" w:cs="Times New Roman"/>
                <w:sz w:val="20"/>
                <w:szCs w:val="20"/>
              </w:rPr>
              <w:lastRenderedPageBreak/>
              <w:t>Project); EASSy Cable (IFC Portfolio project) KTCIP AF.</w:t>
            </w:r>
          </w:p>
          <w:p w14:paraId="601BD7EC" w14:textId="77777777" w:rsidR="00C844EE" w:rsidRPr="00C844EE" w:rsidRDefault="00C844EE" w:rsidP="00C844EE">
            <w:pPr>
              <w:rPr>
                <w:rFonts w:ascii="Times New Roman" w:hAnsi="Times New Roman" w:cs="Times New Roman"/>
                <w:sz w:val="20"/>
                <w:szCs w:val="20"/>
              </w:rPr>
            </w:pPr>
          </w:p>
          <w:p w14:paraId="27377471" w14:textId="77777777" w:rsidR="00C844EE" w:rsidRPr="00C844EE" w:rsidRDefault="00C844EE" w:rsidP="00C844EE">
            <w:pPr>
              <w:rPr>
                <w:rFonts w:ascii="Times New Roman" w:hAnsi="Times New Roman" w:cs="Times New Roman"/>
                <w:b/>
                <w:sz w:val="20"/>
                <w:szCs w:val="20"/>
              </w:rPr>
            </w:pPr>
          </w:p>
        </w:tc>
        <w:tc>
          <w:tcPr>
            <w:tcW w:w="5277" w:type="dxa"/>
          </w:tcPr>
          <w:p w14:paraId="157AE89F" w14:textId="77777777" w:rsidR="00C844EE" w:rsidRPr="00C844EE" w:rsidRDefault="00C844EE" w:rsidP="007B5E57">
            <w:pPr>
              <w:pStyle w:val="ListParagraph"/>
              <w:numPr>
                <w:ilvl w:val="0"/>
                <w:numId w:val="38"/>
              </w:numPr>
              <w:rPr>
                <w:rFonts w:ascii="Times New Roman" w:hAnsi="Times New Roman" w:cs="Times New Roman"/>
                <w:sz w:val="20"/>
                <w:szCs w:val="20"/>
              </w:rPr>
            </w:pPr>
            <w:r w:rsidRPr="00C844EE">
              <w:rPr>
                <w:rFonts w:ascii="Times New Roman" w:hAnsi="Times New Roman" w:cs="Times New Roman"/>
                <w:b/>
                <w:i/>
                <w:sz w:val="20"/>
                <w:szCs w:val="20"/>
              </w:rPr>
              <w:lastRenderedPageBreak/>
              <w:t>Government leadership:</w:t>
            </w:r>
            <w:r w:rsidRPr="00C844EE">
              <w:rPr>
                <w:rFonts w:ascii="Times New Roman" w:hAnsi="Times New Roman" w:cs="Times New Roman"/>
                <w:sz w:val="20"/>
                <w:szCs w:val="20"/>
              </w:rPr>
              <w:t xml:space="preserve"> The Bank’s involvement in ICT was successful because of a strong partnership with government which was able to push the reforms through. The question now is how to leverage this to make ICT </w:t>
            </w:r>
            <w:r w:rsidRPr="00C844EE">
              <w:rPr>
                <w:rFonts w:ascii="Times New Roman" w:hAnsi="Times New Roman" w:cs="Times New Roman"/>
                <w:sz w:val="20"/>
                <w:szCs w:val="20"/>
              </w:rPr>
              <w:lastRenderedPageBreak/>
              <w:t xml:space="preserve">more relevant and support issues like youth unemployment, transparency, open platform, better delivery of health and education, a one stop shop for business, even immigration. </w:t>
            </w:r>
          </w:p>
          <w:p w14:paraId="273ADFE0" w14:textId="77777777" w:rsidR="00C844EE" w:rsidRPr="00C844EE" w:rsidRDefault="00C844EE" w:rsidP="007B5E57">
            <w:pPr>
              <w:pStyle w:val="ListParagraph"/>
              <w:numPr>
                <w:ilvl w:val="0"/>
                <w:numId w:val="38"/>
              </w:numPr>
              <w:rPr>
                <w:rFonts w:ascii="Times New Roman" w:hAnsi="Times New Roman" w:cs="Times New Roman"/>
                <w:sz w:val="20"/>
                <w:szCs w:val="20"/>
              </w:rPr>
            </w:pPr>
            <w:r w:rsidRPr="00C844EE">
              <w:rPr>
                <w:rFonts w:ascii="Times New Roman" w:hAnsi="Times New Roman" w:cs="Times New Roman"/>
                <w:b/>
                <w:i/>
                <w:sz w:val="20"/>
                <w:szCs w:val="20"/>
              </w:rPr>
              <w:t>Complexity:</w:t>
            </w:r>
            <w:r w:rsidRPr="00C844EE">
              <w:rPr>
                <w:rFonts w:ascii="Times New Roman" w:hAnsi="Times New Roman" w:cs="Times New Roman"/>
                <w:sz w:val="20"/>
                <w:szCs w:val="20"/>
              </w:rPr>
              <w:t xml:space="preserve"> </w:t>
            </w:r>
            <w:r w:rsidRPr="00C844EE">
              <w:rPr>
                <w:rFonts w:ascii="Times New Roman" w:eastAsia="Times New Roman" w:hAnsi="Times New Roman" w:cs="Times New Roman"/>
                <w:sz w:val="20"/>
                <w:szCs w:val="20"/>
              </w:rPr>
              <w:t>The design of the Regional Communications project was overly complex initially and under-staffed. This was fixed by increasing the management resources available. Future project design should aim to do fewer things but do them well.</w:t>
            </w:r>
          </w:p>
          <w:p w14:paraId="18AB4C20" w14:textId="77777777" w:rsidR="00C844EE" w:rsidRPr="00C844EE" w:rsidRDefault="00C844EE" w:rsidP="00C844EE">
            <w:pPr>
              <w:rPr>
                <w:rFonts w:ascii="Times New Roman" w:hAnsi="Times New Roman" w:cs="Times New Roman"/>
                <w:sz w:val="20"/>
                <w:szCs w:val="20"/>
              </w:rPr>
            </w:pPr>
          </w:p>
        </w:tc>
      </w:tr>
      <w:tr w:rsidR="00C844EE" w:rsidRPr="00C844EE" w14:paraId="4E53CE91" w14:textId="77777777" w:rsidTr="00F169CF">
        <w:tc>
          <w:tcPr>
            <w:tcW w:w="14174" w:type="dxa"/>
            <w:gridSpan w:val="4"/>
          </w:tcPr>
          <w:p w14:paraId="13AF7CCF"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Agriculture</w:t>
            </w:r>
          </w:p>
        </w:tc>
      </w:tr>
      <w:tr w:rsidR="00C844EE" w:rsidRPr="00C844EE" w14:paraId="55E89607" w14:textId="77777777" w:rsidTr="00F169CF">
        <w:tc>
          <w:tcPr>
            <w:tcW w:w="14174" w:type="dxa"/>
            <w:gridSpan w:val="4"/>
          </w:tcPr>
          <w:p w14:paraId="00286174"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MTP Objective: Innovative, commercially-oriented, competitive, and modern agricultural sector </w:t>
            </w:r>
          </w:p>
          <w:p w14:paraId="282F4B46" w14:textId="77777777" w:rsidR="00C844EE" w:rsidRPr="00C844EE" w:rsidRDefault="00C844EE" w:rsidP="007B5E57">
            <w:pPr>
              <w:numPr>
                <w:ilvl w:val="0"/>
                <w:numId w:val="26"/>
              </w:numPr>
              <w:tabs>
                <w:tab w:val="clear" w:pos="450"/>
                <w:tab w:val="num" w:pos="180"/>
                <w:tab w:val="num" w:pos="720"/>
              </w:tabs>
              <w:ind w:left="180" w:right="-101" w:hanging="180"/>
              <w:rPr>
                <w:rFonts w:ascii="Times New Roman" w:hAnsi="Times New Roman" w:cs="Times New Roman"/>
                <w:sz w:val="20"/>
                <w:szCs w:val="20"/>
              </w:rPr>
            </w:pPr>
            <w:r w:rsidRPr="00C844EE">
              <w:rPr>
                <w:rFonts w:ascii="Times New Roman" w:hAnsi="Times New Roman" w:cs="Times New Roman"/>
                <w:sz w:val="20"/>
                <w:szCs w:val="20"/>
              </w:rPr>
              <w:t>Increase productivity</w:t>
            </w:r>
          </w:p>
          <w:p w14:paraId="396795BF" w14:textId="77777777" w:rsidR="00C844EE" w:rsidRPr="00C844EE" w:rsidRDefault="00C844EE" w:rsidP="007B5E57">
            <w:pPr>
              <w:numPr>
                <w:ilvl w:val="0"/>
                <w:numId w:val="30"/>
              </w:numPr>
              <w:tabs>
                <w:tab w:val="left" w:pos="180"/>
              </w:tabs>
              <w:ind w:left="360"/>
              <w:rPr>
                <w:rFonts w:ascii="Times New Roman" w:hAnsi="Times New Roman" w:cs="Times New Roman"/>
                <w:sz w:val="20"/>
                <w:szCs w:val="20"/>
              </w:rPr>
            </w:pPr>
            <w:r w:rsidRPr="00C844EE">
              <w:rPr>
                <w:rFonts w:ascii="Times New Roman" w:hAnsi="Times New Roman" w:cs="Times New Roman"/>
                <w:sz w:val="20"/>
                <w:szCs w:val="20"/>
              </w:rPr>
              <w:t>ASAL development.</w:t>
            </w:r>
          </w:p>
        </w:tc>
      </w:tr>
      <w:tr w:rsidR="00C844EE" w:rsidRPr="00C844EE" w14:paraId="17314C8A" w14:textId="77777777" w:rsidTr="00F169CF">
        <w:tc>
          <w:tcPr>
            <w:tcW w:w="14174" w:type="dxa"/>
            <w:gridSpan w:val="4"/>
          </w:tcPr>
          <w:p w14:paraId="56D07BFC"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CPS outcome: Enhanced agricultural productivity, with a focus on food security.                                                                                                    MOSTLY ACHIEVED                                                                                                                      </w:t>
            </w:r>
          </w:p>
        </w:tc>
      </w:tr>
      <w:tr w:rsidR="00C844EE" w:rsidRPr="00C844EE" w14:paraId="6E75946D" w14:textId="77777777" w:rsidTr="00F169CF">
        <w:tc>
          <w:tcPr>
            <w:tcW w:w="2802" w:type="dxa"/>
          </w:tcPr>
          <w:p w14:paraId="59520360" w14:textId="77777777" w:rsidR="00C844EE" w:rsidRPr="00C844EE" w:rsidRDefault="00C844EE" w:rsidP="007B5E57">
            <w:pPr>
              <w:pStyle w:val="ListParagraph"/>
              <w:numPr>
                <w:ilvl w:val="0"/>
                <w:numId w:val="26"/>
              </w:numPr>
              <w:tabs>
                <w:tab w:val="clear" w:pos="450"/>
                <w:tab w:val="num" w:pos="142"/>
              </w:tabs>
              <w:ind w:left="52" w:hanging="52"/>
              <w:rPr>
                <w:rFonts w:ascii="Times New Roman" w:hAnsi="Times New Roman" w:cs="Times New Roman"/>
                <w:bCs/>
                <w:sz w:val="20"/>
                <w:szCs w:val="20"/>
              </w:rPr>
            </w:pPr>
            <w:r w:rsidRPr="00C844EE">
              <w:rPr>
                <w:rFonts w:ascii="Times New Roman" w:hAnsi="Times New Roman" w:cs="Times New Roman"/>
                <w:bCs/>
                <w:i/>
                <w:sz w:val="20"/>
                <w:szCs w:val="20"/>
              </w:rPr>
              <w:t xml:space="preserve">Average yields of selected agricultural products in smallholder farming systems in project area rise.  </w:t>
            </w:r>
            <w:r w:rsidRPr="00C844EE">
              <w:rPr>
                <w:rFonts w:ascii="Times New Roman" w:hAnsi="Times New Roman" w:cs="Times New Roman"/>
                <w:bCs/>
                <w:sz w:val="20"/>
                <w:szCs w:val="20"/>
              </w:rPr>
              <w:t>Baseline (2009): maize yields increase by annual average of 3%; target (2013): 5%.  Source: KAPAP-specific surveys carried out at mid-term and end of project). KAPAP gender disaggregated baseline survey finalized in November 2011.</w:t>
            </w:r>
          </w:p>
          <w:p w14:paraId="3A587163" w14:textId="77777777" w:rsidR="00C844EE" w:rsidRPr="00C844EE" w:rsidRDefault="00C844EE" w:rsidP="00C844EE">
            <w:pPr>
              <w:pStyle w:val="ListParagraph"/>
              <w:ind w:left="52"/>
              <w:rPr>
                <w:rFonts w:ascii="Times New Roman" w:hAnsi="Times New Roman" w:cs="Times New Roman"/>
                <w:bCs/>
                <w:sz w:val="20"/>
                <w:szCs w:val="20"/>
              </w:rPr>
            </w:pPr>
          </w:p>
          <w:p w14:paraId="6E02B1F0" w14:textId="77777777" w:rsidR="00C844EE" w:rsidRPr="00C844EE" w:rsidRDefault="00C844EE" w:rsidP="00C844EE">
            <w:pPr>
              <w:pStyle w:val="ListParagraph"/>
              <w:autoSpaceDE w:val="0"/>
              <w:autoSpaceDN w:val="0"/>
              <w:adjustRightInd w:val="0"/>
              <w:spacing w:before="100"/>
              <w:ind w:left="360"/>
              <w:rPr>
                <w:rFonts w:ascii="Times New Roman" w:hAnsi="Times New Roman" w:cs="Times New Roman"/>
                <w:b/>
                <w:sz w:val="20"/>
                <w:szCs w:val="20"/>
              </w:rPr>
            </w:pPr>
          </w:p>
          <w:p w14:paraId="78712F42" w14:textId="77777777" w:rsidR="00C844EE" w:rsidRPr="00C844EE" w:rsidRDefault="00C844EE" w:rsidP="007B5E57">
            <w:pPr>
              <w:pStyle w:val="ListParagraph"/>
              <w:numPr>
                <w:ilvl w:val="0"/>
                <w:numId w:val="31"/>
              </w:numPr>
              <w:autoSpaceDE w:val="0"/>
              <w:autoSpaceDN w:val="0"/>
              <w:adjustRightInd w:val="0"/>
              <w:spacing w:before="100"/>
              <w:ind w:left="142" w:hanging="142"/>
              <w:rPr>
                <w:rFonts w:ascii="Times New Roman" w:hAnsi="Times New Roman" w:cs="Times New Roman"/>
                <w:sz w:val="20"/>
                <w:szCs w:val="20"/>
              </w:rPr>
            </w:pPr>
            <w:r w:rsidRPr="00C844EE">
              <w:rPr>
                <w:rFonts w:ascii="Times New Roman" w:hAnsi="Times New Roman" w:cs="Times New Roman"/>
                <w:i/>
                <w:sz w:val="20"/>
                <w:szCs w:val="20"/>
              </w:rPr>
              <w:t>Earnings from small holder agricultural activities in project area rise.</w:t>
            </w:r>
            <w:r w:rsidRPr="00C844EE">
              <w:rPr>
                <w:rFonts w:ascii="Times New Roman" w:hAnsi="Times New Roman" w:cs="Times New Roman"/>
                <w:sz w:val="20"/>
                <w:szCs w:val="20"/>
              </w:rPr>
              <w:t xml:space="preserve">  Baseline (2009): net annual income: male Ksh 128,270, female </w:t>
            </w:r>
            <w:r w:rsidRPr="00C844EE">
              <w:rPr>
                <w:rFonts w:ascii="Times New Roman" w:hAnsi="Times New Roman" w:cs="Times New Roman"/>
                <w:sz w:val="20"/>
                <w:szCs w:val="20"/>
              </w:rPr>
              <w:lastRenderedPageBreak/>
              <w:t>Ksh 98,748, target (2013): male 20% increase, female: 25% increase.  Source: KAPAP-specific surveys.  KAPAP baseline survey estimate annual household income at Ksh 130, 207 (55% from farming and 45% from off-farm income).</w:t>
            </w:r>
          </w:p>
          <w:p w14:paraId="5E039D95" w14:textId="77777777" w:rsidR="00C844EE" w:rsidRPr="00C844EE" w:rsidRDefault="00C844EE" w:rsidP="00C844EE">
            <w:pPr>
              <w:autoSpaceDE w:val="0"/>
              <w:autoSpaceDN w:val="0"/>
              <w:adjustRightInd w:val="0"/>
              <w:spacing w:before="100"/>
              <w:rPr>
                <w:rFonts w:ascii="Times New Roman" w:hAnsi="Times New Roman" w:cs="Times New Roman"/>
                <w:sz w:val="20"/>
                <w:szCs w:val="20"/>
              </w:rPr>
            </w:pPr>
          </w:p>
        </w:tc>
        <w:tc>
          <w:tcPr>
            <w:tcW w:w="3260" w:type="dxa"/>
          </w:tcPr>
          <w:p w14:paraId="4BC13625" w14:textId="77777777" w:rsidR="00C844EE" w:rsidRPr="00C844EE" w:rsidRDefault="00C844EE" w:rsidP="007B5E57">
            <w:pPr>
              <w:pStyle w:val="ListParagraph"/>
              <w:numPr>
                <w:ilvl w:val="0"/>
                <w:numId w:val="31"/>
              </w:numPr>
              <w:spacing w:before="100"/>
              <w:ind w:left="175" w:hanging="175"/>
              <w:rPr>
                <w:rFonts w:ascii="Times New Roman" w:hAnsi="Times New Roman" w:cs="Times New Roman"/>
                <w:sz w:val="20"/>
                <w:szCs w:val="20"/>
              </w:rPr>
            </w:pPr>
            <w:r w:rsidRPr="00C844EE">
              <w:rPr>
                <w:rFonts w:ascii="Times New Roman" w:hAnsi="Times New Roman" w:cs="Times New Roman"/>
                <w:b/>
                <w:sz w:val="20"/>
                <w:szCs w:val="20"/>
              </w:rPr>
              <w:lastRenderedPageBreak/>
              <w:t>Achieved.</w:t>
            </w:r>
            <w:r w:rsidRPr="00C844EE">
              <w:rPr>
                <w:rFonts w:ascii="Times New Roman" w:hAnsi="Times New Roman" w:cs="Times New Roman"/>
                <w:sz w:val="20"/>
                <w:szCs w:val="20"/>
              </w:rPr>
              <w:t xml:space="preserve"> Baseline figures indicate maize yield of 7.6bags per acre and by December 2012 the yield was estimated at 10 bags per acre</w:t>
            </w:r>
            <w:r w:rsidRPr="00C844EE">
              <w:rPr>
                <w:rFonts w:ascii="Times New Roman" w:hAnsi="Times New Roman" w:cs="Times New Roman"/>
                <w:b/>
                <w:sz w:val="20"/>
                <w:szCs w:val="20"/>
              </w:rPr>
              <w:t xml:space="preserve"> </w:t>
            </w:r>
            <w:r w:rsidRPr="00C844EE">
              <w:rPr>
                <w:rFonts w:ascii="Times New Roman" w:hAnsi="Times New Roman" w:cs="Times New Roman"/>
                <w:sz w:val="20"/>
                <w:szCs w:val="20"/>
              </w:rPr>
              <w:t>(7.1%).The national maize yields have stagnated at around 1.7 tons per hectare during the CPS period (see chart below). Yields of other crops</w:t>
            </w:r>
            <w:r w:rsidRPr="00C844EE">
              <w:rPr>
                <w:rStyle w:val="EndnoteReference"/>
                <w:rFonts w:ascii="Times New Roman" w:hAnsi="Times New Roman" w:cs="Times New Roman"/>
                <w:sz w:val="20"/>
                <w:szCs w:val="20"/>
              </w:rPr>
              <w:endnoteReference w:id="14"/>
            </w:r>
            <w:r w:rsidRPr="00C844EE">
              <w:rPr>
                <w:rFonts w:ascii="Times New Roman" w:hAnsi="Times New Roman" w:cs="Times New Roman"/>
                <w:sz w:val="20"/>
                <w:szCs w:val="20"/>
              </w:rPr>
              <w:t xml:space="preserve"> have increased by 22.5% while local poultry and fish farming yields have increased by 93% and 162%, respectively in the project areas.</w:t>
            </w:r>
          </w:p>
          <w:p w14:paraId="4E46FB30" w14:textId="77777777" w:rsidR="00C844EE" w:rsidRPr="00C844EE" w:rsidRDefault="00C844EE" w:rsidP="00C844EE">
            <w:pPr>
              <w:pStyle w:val="ListParagraph"/>
              <w:spacing w:before="100"/>
              <w:ind w:left="360"/>
              <w:rPr>
                <w:rFonts w:ascii="Times New Roman" w:hAnsi="Times New Roman" w:cs="Times New Roman"/>
                <w:sz w:val="20"/>
                <w:szCs w:val="20"/>
              </w:rPr>
            </w:pPr>
          </w:p>
          <w:p w14:paraId="141F40CC" w14:textId="77777777" w:rsidR="00C844EE" w:rsidRPr="00C844EE" w:rsidRDefault="00C844EE" w:rsidP="007B5E57">
            <w:pPr>
              <w:pStyle w:val="ListParagraph"/>
              <w:numPr>
                <w:ilvl w:val="0"/>
                <w:numId w:val="31"/>
              </w:numPr>
              <w:autoSpaceDE w:val="0"/>
              <w:autoSpaceDN w:val="0"/>
              <w:adjustRightInd w:val="0"/>
              <w:spacing w:before="100"/>
              <w:ind w:left="175" w:hanging="175"/>
              <w:rPr>
                <w:rFonts w:ascii="Times New Roman" w:hAnsi="Times New Roman" w:cs="Times New Roman"/>
                <w:sz w:val="20"/>
                <w:szCs w:val="20"/>
              </w:rPr>
            </w:pPr>
            <w:r w:rsidRPr="00C844EE">
              <w:rPr>
                <w:rFonts w:ascii="Times New Roman" w:hAnsi="Times New Roman" w:cs="Times New Roman"/>
                <w:b/>
                <w:sz w:val="20"/>
                <w:szCs w:val="20"/>
              </w:rPr>
              <w:t>Partially achieved.</w:t>
            </w:r>
            <w:r w:rsidRPr="00C844EE">
              <w:rPr>
                <w:rFonts w:ascii="Times New Roman" w:hAnsi="Times New Roman" w:cs="Times New Roman"/>
                <w:sz w:val="20"/>
                <w:szCs w:val="20"/>
              </w:rPr>
              <w:t xml:space="preserve"> As of December 2012, the mean income of male and female farmers had increased by 10% while for those participating in particular </w:t>
            </w:r>
            <w:r w:rsidRPr="00C844EE">
              <w:rPr>
                <w:rFonts w:ascii="Times New Roman" w:hAnsi="Times New Roman" w:cs="Times New Roman"/>
                <w:sz w:val="20"/>
                <w:szCs w:val="20"/>
              </w:rPr>
              <w:lastRenderedPageBreak/>
              <w:t>enterprises such as mangos and banana production had increased by 38%. Final figures will be available after the final evaluation in 2014.</w:t>
            </w:r>
            <w:r w:rsidRPr="00C844EE">
              <w:rPr>
                <w:rFonts w:ascii="Times New Roman" w:hAnsi="Times New Roman" w:cs="Times New Roman"/>
                <w:b/>
                <w:bCs/>
                <w:color w:val="FF0000"/>
                <w:sz w:val="20"/>
                <w:szCs w:val="20"/>
              </w:rPr>
              <w:t xml:space="preserve"> </w:t>
            </w:r>
          </w:p>
          <w:p w14:paraId="0E059C38" w14:textId="77777777" w:rsidR="00C844EE" w:rsidRPr="00C844EE" w:rsidRDefault="00C844EE" w:rsidP="00C844EE">
            <w:pPr>
              <w:spacing w:before="100"/>
              <w:rPr>
                <w:rFonts w:ascii="Times New Roman" w:hAnsi="Times New Roman" w:cs="Times New Roman"/>
                <w:b/>
                <w:bCs/>
                <w:sz w:val="20"/>
                <w:szCs w:val="20"/>
              </w:rPr>
            </w:pPr>
          </w:p>
        </w:tc>
        <w:tc>
          <w:tcPr>
            <w:tcW w:w="2835" w:type="dxa"/>
          </w:tcPr>
          <w:p w14:paraId="0846B61D" w14:textId="77777777" w:rsidR="00C844EE" w:rsidRPr="00C844EE" w:rsidRDefault="00C844EE" w:rsidP="00C844EE">
            <w:pPr>
              <w:rPr>
                <w:rFonts w:ascii="Times New Roman" w:hAnsi="Times New Roman" w:cs="Times New Roman"/>
                <w:b/>
                <w:color w:val="000000"/>
                <w:sz w:val="20"/>
                <w:szCs w:val="20"/>
              </w:rPr>
            </w:pPr>
            <w:r w:rsidRPr="00C844EE">
              <w:rPr>
                <w:rFonts w:ascii="Times New Roman" w:hAnsi="Times New Roman" w:cs="Times New Roman"/>
                <w:b/>
                <w:color w:val="000000"/>
                <w:sz w:val="20"/>
                <w:szCs w:val="20"/>
              </w:rPr>
              <w:lastRenderedPageBreak/>
              <w:t>Ongoing:</w:t>
            </w:r>
          </w:p>
          <w:p w14:paraId="1BC518A1" w14:textId="77777777" w:rsidR="00C844EE" w:rsidRPr="00C844EE" w:rsidRDefault="00C844EE" w:rsidP="00C844EE">
            <w:pPr>
              <w:rPr>
                <w:rFonts w:ascii="Times New Roman" w:hAnsi="Times New Roman" w:cs="Times New Roman"/>
                <w:color w:val="000000"/>
                <w:sz w:val="20"/>
                <w:szCs w:val="20"/>
              </w:rPr>
            </w:pPr>
            <w:r w:rsidRPr="00C844EE">
              <w:rPr>
                <w:rFonts w:ascii="Times New Roman" w:hAnsi="Times New Roman" w:cs="Times New Roman"/>
                <w:color w:val="000000"/>
                <w:sz w:val="20"/>
                <w:szCs w:val="20"/>
              </w:rPr>
              <w:t>KAPAP (FY09); WKCDD; GEF Kenya adaptation to climate change in the Arid Lands NRMP (FY07), East Africa Agricultural Productivity (Regional FY09); IFC Project, GEF-Western Indian Ocean Marine Highway Dev and Coastal and Marine Contamination Prevention.</w:t>
            </w:r>
          </w:p>
          <w:p w14:paraId="734EA4C3" w14:textId="77777777" w:rsidR="00C844EE" w:rsidRPr="00C844EE" w:rsidRDefault="00C844EE" w:rsidP="00C844EE">
            <w:pPr>
              <w:rPr>
                <w:rFonts w:ascii="Times New Roman" w:hAnsi="Times New Roman" w:cs="Times New Roman"/>
              </w:rPr>
            </w:pPr>
          </w:p>
          <w:p w14:paraId="2B13C999" w14:textId="77777777" w:rsidR="00C844EE" w:rsidRPr="00C844EE" w:rsidRDefault="00C844EE" w:rsidP="00C844EE">
            <w:pPr>
              <w:rPr>
                <w:rFonts w:ascii="Times New Roman" w:hAnsi="Times New Roman" w:cs="Times New Roman"/>
              </w:rPr>
            </w:pPr>
          </w:p>
          <w:p w14:paraId="3129B6B1" w14:textId="77777777" w:rsidR="00C844EE" w:rsidRPr="00C844EE" w:rsidRDefault="00C844EE" w:rsidP="00C844EE">
            <w:pPr>
              <w:rPr>
                <w:rFonts w:ascii="Times New Roman" w:hAnsi="Times New Roman" w:cs="Times New Roman"/>
              </w:rPr>
            </w:pPr>
          </w:p>
          <w:p w14:paraId="2852826A" w14:textId="77777777" w:rsidR="00C844EE" w:rsidRPr="00C844EE" w:rsidRDefault="00C844EE" w:rsidP="00C844EE">
            <w:pPr>
              <w:rPr>
                <w:rFonts w:ascii="Times New Roman" w:hAnsi="Times New Roman" w:cs="Times New Roman"/>
                <w:b/>
                <w:color w:val="000000"/>
                <w:sz w:val="20"/>
                <w:szCs w:val="20"/>
              </w:rPr>
            </w:pPr>
            <w:r w:rsidRPr="00C844EE">
              <w:rPr>
                <w:rFonts w:ascii="Times New Roman" w:hAnsi="Times New Roman" w:cs="Times New Roman"/>
                <w:b/>
                <w:color w:val="000000"/>
                <w:sz w:val="20"/>
                <w:szCs w:val="20"/>
              </w:rPr>
              <w:t>AAA:</w:t>
            </w:r>
          </w:p>
          <w:p w14:paraId="0061D562" w14:textId="77777777" w:rsidR="00C844EE" w:rsidRPr="00C844EE" w:rsidRDefault="00C844EE" w:rsidP="00C844EE">
            <w:pPr>
              <w:rPr>
                <w:rFonts w:ascii="Times New Roman" w:hAnsi="Times New Roman" w:cs="Times New Roman"/>
                <w:color w:val="000000"/>
                <w:sz w:val="20"/>
                <w:szCs w:val="20"/>
              </w:rPr>
            </w:pPr>
            <w:r w:rsidRPr="00C844EE">
              <w:rPr>
                <w:rFonts w:ascii="Times New Roman" w:hAnsi="Times New Roman" w:cs="Times New Roman"/>
                <w:color w:val="000000"/>
                <w:sz w:val="20"/>
                <w:szCs w:val="20"/>
              </w:rPr>
              <w:t xml:space="preserve">Land TA (FY08–10), Agriculture Policy Review (finalized and shared with the client), ESW-Rural gender </w:t>
            </w:r>
            <w:r w:rsidRPr="00C844EE">
              <w:rPr>
                <w:rFonts w:ascii="Times New Roman" w:hAnsi="Times New Roman" w:cs="Times New Roman"/>
                <w:color w:val="000000"/>
                <w:sz w:val="20"/>
                <w:szCs w:val="20"/>
              </w:rPr>
              <w:lastRenderedPageBreak/>
              <w:t>methodology and baseline data (co-financed by the Gender Action Plan) (The gender ESW was finalized and shared with the client by June 30, 2013). Western Indian Ocean Fisheries TA.</w:t>
            </w:r>
          </w:p>
          <w:p w14:paraId="4443BEE8" w14:textId="77777777" w:rsidR="00C844EE" w:rsidRPr="00C844EE" w:rsidRDefault="00C844EE" w:rsidP="00C844EE">
            <w:pPr>
              <w:rPr>
                <w:rFonts w:ascii="Times New Roman" w:hAnsi="Times New Roman" w:cs="Times New Roman"/>
                <w:b/>
                <w:sz w:val="20"/>
                <w:szCs w:val="20"/>
              </w:rPr>
            </w:pPr>
          </w:p>
        </w:tc>
        <w:tc>
          <w:tcPr>
            <w:tcW w:w="5277" w:type="dxa"/>
          </w:tcPr>
          <w:p w14:paraId="75FFADDC" w14:textId="77777777" w:rsidR="00C844EE" w:rsidRPr="00C844EE" w:rsidRDefault="00C844EE" w:rsidP="007B5E57">
            <w:pPr>
              <w:pStyle w:val="ListParagraph"/>
              <w:numPr>
                <w:ilvl w:val="0"/>
                <w:numId w:val="39"/>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Enabling environment</w:t>
            </w:r>
            <w:r w:rsidRPr="00C844EE">
              <w:rPr>
                <w:rFonts w:ascii="Times New Roman" w:eastAsia="Times New Roman" w:hAnsi="Times New Roman" w:cs="Times New Roman"/>
                <w:sz w:val="20"/>
                <w:szCs w:val="20"/>
              </w:rPr>
              <w:t>: The CPS was right to focus on productivity, but it should have given greater attention to the enabling environment i.e. policy reform, especially in food. For example in the food sector most farmers are a) net buyers of maize and b) tend to sell in bulk at harvest time when prices are low and buy throughout the year when prices are higher. In addition prices have been above world prices because of lack of access to world markets.</w:t>
            </w:r>
          </w:p>
          <w:p w14:paraId="6CBDC881" w14:textId="77777777" w:rsidR="00C844EE" w:rsidRPr="00C844EE" w:rsidRDefault="00C844EE" w:rsidP="007B5E57">
            <w:pPr>
              <w:pStyle w:val="ListParagraph"/>
              <w:numPr>
                <w:ilvl w:val="0"/>
                <w:numId w:val="39"/>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Value added and income security:</w:t>
            </w:r>
            <w:r w:rsidRPr="00C844EE">
              <w:rPr>
                <w:rFonts w:ascii="Times New Roman" w:eastAsia="Times New Roman" w:hAnsi="Times New Roman" w:cs="Times New Roman"/>
                <w:sz w:val="20"/>
                <w:szCs w:val="20"/>
              </w:rPr>
              <w:t xml:space="preserve"> Key areas that need more focus are: extension and helping farmers to go up the value chain. Also there is too much vulnerability to rain fed agriculture and hence climatic swings.</w:t>
            </w:r>
          </w:p>
          <w:p w14:paraId="47C1F92B" w14:textId="77777777" w:rsidR="00C844EE" w:rsidRPr="00C844EE" w:rsidRDefault="00C844EE" w:rsidP="00C844EE">
            <w:pPr>
              <w:pStyle w:val="ListParagraph"/>
              <w:ind w:left="360"/>
              <w:rPr>
                <w:rFonts w:ascii="Times New Roman" w:eastAsia="Times New Roman" w:hAnsi="Times New Roman" w:cs="Times New Roman"/>
                <w:sz w:val="20"/>
                <w:szCs w:val="20"/>
              </w:rPr>
            </w:pPr>
          </w:p>
          <w:p w14:paraId="7780CDA5" w14:textId="77777777" w:rsidR="00C844EE" w:rsidRPr="00C844EE" w:rsidRDefault="00C844EE" w:rsidP="007B5E57">
            <w:pPr>
              <w:pStyle w:val="ListParagraph"/>
              <w:numPr>
                <w:ilvl w:val="0"/>
                <w:numId w:val="39"/>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Bank team:</w:t>
            </w:r>
            <w:r w:rsidRPr="00C844EE">
              <w:rPr>
                <w:rFonts w:ascii="Times New Roman" w:eastAsia="Times New Roman" w:hAnsi="Times New Roman" w:cs="Times New Roman"/>
                <w:sz w:val="20"/>
                <w:szCs w:val="20"/>
              </w:rPr>
              <w:t xml:space="preserve"> the Bank could have done more to support the client on FM issues as well as technical aspects egg in the area of agribusiness. There was a limited budget for supervision and a limited pool of skills to draw on within the Bank. The team was basically too small</w:t>
            </w:r>
          </w:p>
          <w:p w14:paraId="235E29C8" w14:textId="77777777" w:rsidR="00C844EE" w:rsidRPr="00C844EE" w:rsidRDefault="00C844EE" w:rsidP="00C844EE">
            <w:pPr>
              <w:rPr>
                <w:rFonts w:ascii="Times New Roman" w:hAnsi="Times New Roman" w:cs="Times New Roman"/>
                <w:sz w:val="20"/>
                <w:szCs w:val="20"/>
              </w:rPr>
            </w:pPr>
          </w:p>
        </w:tc>
      </w:tr>
      <w:tr w:rsidR="00C844EE" w:rsidRPr="00C844EE" w14:paraId="42C1CDE9" w14:textId="77777777" w:rsidTr="00F169CF">
        <w:tc>
          <w:tcPr>
            <w:tcW w:w="14174" w:type="dxa"/>
            <w:gridSpan w:val="4"/>
          </w:tcPr>
          <w:p w14:paraId="2FCC1156"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 xml:space="preserve">PILLAR 2: REDUCING INEQUALITY AND STRENGTHENING RESILIENCE                                                                                                  MOSTLY ACHIEVED                                                                                             </w:t>
            </w:r>
          </w:p>
        </w:tc>
      </w:tr>
      <w:tr w:rsidR="00C844EE" w:rsidRPr="00C844EE" w14:paraId="0126517A" w14:textId="77777777" w:rsidTr="00F169CF">
        <w:tc>
          <w:tcPr>
            <w:tcW w:w="14174" w:type="dxa"/>
            <w:gridSpan w:val="4"/>
          </w:tcPr>
          <w:p w14:paraId="200529EE"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Social and Infrastructure Services                                                                                                                                                                                     </w:t>
            </w:r>
            <w:r w:rsidRPr="00C844EE">
              <w:rPr>
                <w:rFonts w:ascii="Times New Roman" w:hAnsi="Times New Roman" w:cs="Times New Roman"/>
                <w:b/>
                <w:i/>
                <w:iCs/>
                <w:sz w:val="20"/>
                <w:szCs w:val="20"/>
              </w:rPr>
              <w:t>Partially achieved</w:t>
            </w:r>
            <w:r w:rsidRPr="00C844EE">
              <w:rPr>
                <w:rFonts w:ascii="Times New Roman" w:hAnsi="Times New Roman" w:cs="Times New Roman"/>
                <w:b/>
                <w:sz w:val="20"/>
                <w:szCs w:val="20"/>
              </w:rPr>
              <w:t xml:space="preserve"> </w:t>
            </w:r>
          </w:p>
        </w:tc>
      </w:tr>
      <w:tr w:rsidR="00C844EE" w:rsidRPr="00C844EE" w14:paraId="23F81EAC" w14:textId="77777777" w:rsidTr="00F169CF">
        <w:tc>
          <w:tcPr>
            <w:tcW w:w="14174" w:type="dxa"/>
            <w:gridSpan w:val="4"/>
          </w:tcPr>
          <w:p w14:paraId="361069C5"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Health</w:t>
            </w:r>
          </w:p>
          <w:p w14:paraId="2EB68A1A"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Vision 2030: Equitable and affordable healthcare system of the highest possible quality</w:t>
            </w:r>
          </w:p>
          <w:p w14:paraId="2BDCDD17" w14:textId="77777777" w:rsidR="00C844EE" w:rsidRPr="00C844EE" w:rsidRDefault="00C844EE" w:rsidP="007B5E57">
            <w:pPr>
              <w:numPr>
                <w:ilvl w:val="0"/>
                <w:numId w:val="30"/>
              </w:numPr>
              <w:tabs>
                <w:tab w:val="left" w:pos="180"/>
              </w:tabs>
              <w:ind w:left="180" w:hanging="180"/>
              <w:rPr>
                <w:rFonts w:ascii="Times New Roman" w:hAnsi="Times New Roman" w:cs="Times New Roman"/>
                <w:sz w:val="20"/>
                <w:szCs w:val="20"/>
              </w:rPr>
            </w:pPr>
            <w:r w:rsidRPr="00C844EE">
              <w:rPr>
                <w:rFonts w:ascii="Times New Roman" w:hAnsi="Times New Roman" w:cs="Times New Roman"/>
                <w:sz w:val="20"/>
                <w:szCs w:val="20"/>
              </w:rPr>
              <w:t>Provide a functional, efficient and sustainable health infrastructure network</w:t>
            </w:r>
          </w:p>
          <w:p w14:paraId="531A866F" w14:textId="77777777" w:rsidR="00C844EE" w:rsidRPr="00C844EE" w:rsidRDefault="00C844EE" w:rsidP="007B5E57">
            <w:pPr>
              <w:numPr>
                <w:ilvl w:val="0"/>
                <w:numId w:val="30"/>
              </w:numPr>
              <w:tabs>
                <w:tab w:val="left" w:pos="180"/>
              </w:tabs>
              <w:ind w:left="180" w:hanging="180"/>
              <w:rPr>
                <w:rFonts w:ascii="Times New Roman" w:hAnsi="Times New Roman" w:cs="Times New Roman"/>
                <w:sz w:val="20"/>
                <w:szCs w:val="20"/>
              </w:rPr>
            </w:pPr>
            <w:r w:rsidRPr="00C844EE">
              <w:rPr>
                <w:rFonts w:ascii="Times New Roman" w:hAnsi="Times New Roman" w:cs="Times New Roman"/>
                <w:sz w:val="20"/>
                <w:szCs w:val="20"/>
              </w:rPr>
              <w:t>Reduce health inequalities and reverse downward trends.</w:t>
            </w:r>
          </w:p>
          <w:p w14:paraId="3BA42A50" w14:textId="77777777" w:rsidR="00C844EE" w:rsidRPr="00C844EE" w:rsidRDefault="00C844EE" w:rsidP="00C844EE">
            <w:pPr>
              <w:spacing w:before="100"/>
              <w:ind w:left="180"/>
              <w:contextualSpacing/>
              <w:rPr>
                <w:rFonts w:ascii="Times New Roman" w:hAnsi="Times New Roman" w:cs="Times New Roman"/>
                <w:bCs/>
                <w:sz w:val="20"/>
                <w:szCs w:val="20"/>
              </w:rPr>
            </w:pPr>
          </w:p>
        </w:tc>
      </w:tr>
      <w:tr w:rsidR="00C844EE" w:rsidRPr="00C844EE" w14:paraId="00897ED5" w14:textId="77777777" w:rsidTr="00F169CF">
        <w:tc>
          <w:tcPr>
            <w:tcW w:w="14174" w:type="dxa"/>
            <w:gridSpan w:val="4"/>
          </w:tcPr>
          <w:p w14:paraId="00BD7DA3"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CPS outcome:</w:t>
            </w:r>
            <w:r w:rsidRPr="00C844EE">
              <w:rPr>
                <w:rFonts w:ascii="Times New Roman" w:hAnsi="Times New Roman" w:cs="Times New Roman"/>
                <w:sz w:val="20"/>
                <w:szCs w:val="20"/>
              </w:rPr>
              <w:t xml:space="preserve"> </w:t>
            </w:r>
            <w:r w:rsidRPr="00C844EE">
              <w:rPr>
                <w:rFonts w:ascii="Times New Roman" w:hAnsi="Times New Roman" w:cs="Times New Roman"/>
                <w:b/>
                <w:sz w:val="20"/>
                <w:szCs w:val="20"/>
              </w:rPr>
              <w:t xml:space="preserve">better access to health care, education, and basic infrastructure services (1 of 3 : Health )                                                             MOSTLY  ACHIEVED                                                                                         </w:t>
            </w:r>
          </w:p>
        </w:tc>
      </w:tr>
      <w:tr w:rsidR="00C844EE" w:rsidRPr="00C844EE" w14:paraId="5E5712F1" w14:textId="77777777" w:rsidTr="00F169CF">
        <w:tc>
          <w:tcPr>
            <w:tcW w:w="2802" w:type="dxa"/>
          </w:tcPr>
          <w:p w14:paraId="35D34FBA"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i/>
                <w:sz w:val="20"/>
                <w:szCs w:val="20"/>
              </w:rPr>
              <w:t>People with access to a basic package of health, nutrition, or population services rises</w:t>
            </w:r>
            <w:r w:rsidRPr="00C844EE">
              <w:rPr>
                <w:rFonts w:ascii="Times New Roman" w:hAnsi="Times New Roman" w:cs="Times New Roman"/>
                <w:sz w:val="20"/>
                <w:szCs w:val="20"/>
              </w:rPr>
              <w:t xml:space="preserve">.  Baseline (2009): 0, target (2013): (18,300,000).  Source: Health SWAp reports. </w:t>
            </w:r>
          </w:p>
          <w:p w14:paraId="06A66734" w14:textId="77777777" w:rsidR="00C844EE" w:rsidRPr="00C844EE" w:rsidRDefault="00C844EE" w:rsidP="007B5E57">
            <w:pPr>
              <w:numPr>
                <w:ilvl w:val="0"/>
                <w:numId w:val="32"/>
              </w:numPr>
              <w:tabs>
                <w:tab w:val="num" w:pos="192"/>
              </w:tabs>
              <w:spacing w:before="100"/>
              <w:ind w:left="228" w:hanging="228"/>
              <w:rPr>
                <w:rFonts w:ascii="Times New Roman" w:hAnsi="Times New Roman" w:cs="Times New Roman"/>
                <w:sz w:val="20"/>
                <w:szCs w:val="20"/>
              </w:rPr>
            </w:pPr>
            <w:r w:rsidRPr="00C844EE">
              <w:rPr>
                <w:rFonts w:ascii="Times New Roman" w:hAnsi="Times New Roman" w:cs="Times New Roman"/>
                <w:i/>
                <w:sz w:val="20"/>
                <w:szCs w:val="20"/>
              </w:rPr>
              <w:t>Eligible children under-one year fully immunized nationwide</w:t>
            </w:r>
            <w:r w:rsidRPr="00C844EE">
              <w:rPr>
                <w:rFonts w:ascii="Times New Roman" w:hAnsi="Times New Roman" w:cs="Times New Roman"/>
                <w:sz w:val="20"/>
                <w:szCs w:val="20"/>
              </w:rPr>
              <w:t xml:space="preserve"> (totals). Baseline (2010): 1.2 million, Target (2013): 1.23 million (revised target).   Source: Health </w:t>
            </w:r>
            <w:r w:rsidRPr="00C844EE">
              <w:rPr>
                <w:rFonts w:ascii="Times New Roman" w:hAnsi="Times New Roman" w:cs="Times New Roman"/>
                <w:sz w:val="20"/>
                <w:szCs w:val="20"/>
              </w:rPr>
              <w:lastRenderedPageBreak/>
              <w:t xml:space="preserve">SWAp data.  </w:t>
            </w:r>
          </w:p>
          <w:p w14:paraId="38D1EBD7" w14:textId="77777777" w:rsidR="00C844EE" w:rsidRPr="00C844EE" w:rsidRDefault="00C844EE" w:rsidP="00C844EE">
            <w:pPr>
              <w:ind w:left="228"/>
              <w:rPr>
                <w:rFonts w:ascii="Times New Roman" w:hAnsi="Times New Roman" w:cs="Times New Roman"/>
                <w:bCs/>
                <w:i/>
                <w:sz w:val="20"/>
                <w:szCs w:val="20"/>
              </w:rPr>
            </w:pPr>
          </w:p>
          <w:p w14:paraId="6851688D" w14:textId="77777777" w:rsidR="00C844EE" w:rsidRPr="00C844EE" w:rsidRDefault="00C844EE" w:rsidP="007B5E57">
            <w:pPr>
              <w:numPr>
                <w:ilvl w:val="0"/>
                <w:numId w:val="32"/>
              </w:numPr>
              <w:tabs>
                <w:tab w:val="num" w:pos="192"/>
              </w:tabs>
              <w:ind w:left="228" w:hanging="228"/>
              <w:rPr>
                <w:rFonts w:ascii="Times New Roman" w:hAnsi="Times New Roman" w:cs="Times New Roman"/>
                <w:bCs/>
                <w:i/>
                <w:sz w:val="20"/>
                <w:szCs w:val="20"/>
              </w:rPr>
            </w:pPr>
            <w:r w:rsidRPr="00C844EE">
              <w:rPr>
                <w:rFonts w:ascii="Times New Roman" w:hAnsi="Times New Roman" w:cs="Times New Roman"/>
                <w:i/>
                <w:sz w:val="20"/>
                <w:szCs w:val="20"/>
              </w:rPr>
              <w:t xml:space="preserve">HSSF facilities meeting core financial management requirements rise. (per cent) </w:t>
            </w:r>
            <w:r w:rsidRPr="00C844EE">
              <w:rPr>
                <w:rFonts w:ascii="Times New Roman" w:hAnsi="Times New Roman" w:cs="Times New Roman"/>
                <w:sz w:val="20"/>
                <w:szCs w:val="20"/>
              </w:rPr>
              <w:t xml:space="preserve">Baseline (2010): 0%, Target (2013): 50%.  Source: Health Sector Services Fund.  </w:t>
            </w:r>
          </w:p>
          <w:p w14:paraId="1624D413" w14:textId="77777777" w:rsidR="00C844EE" w:rsidRPr="00C844EE" w:rsidRDefault="00C844EE" w:rsidP="007B5E57">
            <w:pPr>
              <w:numPr>
                <w:ilvl w:val="0"/>
                <w:numId w:val="32"/>
              </w:numPr>
              <w:tabs>
                <w:tab w:val="num" w:pos="192"/>
              </w:tabs>
              <w:spacing w:before="100"/>
              <w:ind w:left="228" w:hanging="228"/>
              <w:rPr>
                <w:rFonts w:ascii="Times New Roman" w:hAnsi="Times New Roman" w:cs="Times New Roman"/>
                <w:bCs/>
                <w:i/>
                <w:sz w:val="20"/>
                <w:szCs w:val="20"/>
              </w:rPr>
            </w:pPr>
            <w:r w:rsidRPr="00C844EE">
              <w:rPr>
                <w:rFonts w:ascii="Times New Roman" w:hAnsi="Times New Roman" w:cs="Times New Roman"/>
                <w:i/>
                <w:sz w:val="20"/>
                <w:szCs w:val="20"/>
              </w:rPr>
              <w:t>Proportion of youth aged 15-24 reporting condom use in the last sexual encounter with a non-regular partner (of those reporting sexual intercourse with a non- regular partner in the last 12 months).</w:t>
            </w:r>
            <w:r w:rsidRPr="00C844EE">
              <w:rPr>
                <w:rFonts w:ascii="Times New Roman" w:hAnsi="Times New Roman" w:cs="Times New Roman"/>
                <w:sz w:val="20"/>
                <w:szCs w:val="20"/>
              </w:rPr>
              <w:t xml:space="preserve"> Baseline (2003): F=24%, M=47%, Target (2013) F=55%, M=75%. Sources: TOWA project data. </w:t>
            </w:r>
          </w:p>
          <w:p w14:paraId="1DE89121" w14:textId="77777777" w:rsidR="00C844EE" w:rsidRPr="00C844EE" w:rsidRDefault="00C844EE" w:rsidP="00C844EE">
            <w:pPr>
              <w:spacing w:before="100"/>
              <w:ind w:left="228"/>
              <w:rPr>
                <w:rFonts w:ascii="Times New Roman" w:hAnsi="Times New Roman" w:cs="Times New Roman"/>
                <w:bCs/>
                <w:i/>
                <w:sz w:val="20"/>
                <w:szCs w:val="20"/>
              </w:rPr>
            </w:pPr>
          </w:p>
        </w:tc>
        <w:tc>
          <w:tcPr>
            <w:tcW w:w="3260" w:type="dxa"/>
          </w:tcPr>
          <w:p w14:paraId="7E14699D" w14:textId="77777777" w:rsidR="00C844EE" w:rsidRPr="00C844EE" w:rsidRDefault="00C844EE" w:rsidP="007B5E57">
            <w:pPr>
              <w:numPr>
                <w:ilvl w:val="0"/>
                <w:numId w:val="32"/>
              </w:numPr>
              <w:tabs>
                <w:tab w:val="num" w:pos="192"/>
              </w:tabs>
              <w:spacing w:after="100"/>
              <w:ind w:left="228" w:hanging="228"/>
              <w:rPr>
                <w:rFonts w:ascii="Times New Roman" w:hAnsi="Times New Roman" w:cs="Times New Roman"/>
                <w:sz w:val="20"/>
                <w:szCs w:val="20"/>
              </w:rPr>
            </w:pPr>
            <w:r w:rsidRPr="00C844EE">
              <w:rPr>
                <w:rFonts w:ascii="Times New Roman" w:hAnsi="Times New Roman" w:cs="Times New Roman"/>
                <w:b/>
                <w:color w:val="000000" w:themeColor="text1"/>
                <w:sz w:val="20"/>
                <w:szCs w:val="20"/>
              </w:rPr>
              <w:lastRenderedPageBreak/>
              <w:t>Achieved</w:t>
            </w:r>
            <w:r w:rsidRPr="00C844EE">
              <w:rPr>
                <w:rFonts w:ascii="Times New Roman" w:hAnsi="Times New Roman" w:cs="Times New Roman"/>
                <w:b/>
                <w:color w:val="FF0000"/>
                <w:sz w:val="20"/>
                <w:szCs w:val="20"/>
              </w:rPr>
              <w:t xml:space="preserve"> </w:t>
            </w:r>
            <w:r w:rsidRPr="00C844EE">
              <w:rPr>
                <w:rFonts w:ascii="Times New Roman" w:hAnsi="Times New Roman" w:cs="Times New Roman"/>
                <w:sz w:val="20"/>
                <w:szCs w:val="20"/>
              </w:rPr>
              <w:t>During FY11-12, over 38.9 million individuals directly benefited from the project and over half of them (21.26 million) were females.</w:t>
            </w:r>
          </w:p>
          <w:p w14:paraId="7024A8F0" w14:textId="77777777" w:rsidR="00C844EE" w:rsidRPr="00C844EE" w:rsidRDefault="00C844EE" w:rsidP="00C844EE">
            <w:pPr>
              <w:spacing w:before="100" w:after="100"/>
              <w:rPr>
                <w:rFonts w:ascii="Times New Roman" w:hAnsi="Times New Roman" w:cs="Times New Roman"/>
                <w:sz w:val="20"/>
                <w:szCs w:val="20"/>
              </w:rPr>
            </w:pPr>
          </w:p>
          <w:p w14:paraId="4971F799" w14:textId="77777777" w:rsidR="00C844EE" w:rsidRPr="00C844EE" w:rsidRDefault="00C844EE" w:rsidP="007B5E57">
            <w:pPr>
              <w:numPr>
                <w:ilvl w:val="0"/>
                <w:numId w:val="32"/>
              </w:numPr>
              <w:tabs>
                <w:tab w:val="num" w:pos="192"/>
              </w:tabs>
              <w:spacing w:before="100" w:after="100"/>
              <w:ind w:left="228" w:hanging="228"/>
              <w:rPr>
                <w:rFonts w:ascii="Times New Roman" w:hAnsi="Times New Roman" w:cs="Times New Roman"/>
                <w:sz w:val="20"/>
                <w:szCs w:val="20"/>
              </w:rPr>
            </w:pPr>
            <w:r w:rsidRPr="00C844EE">
              <w:rPr>
                <w:rFonts w:ascii="Times New Roman" w:hAnsi="Times New Roman" w:cs="Times New Roman"/>
                <w:b/>
                <w:sz w:val="20"/>
                <w:szCs w:val="20"/>
              </w:rPr>
              <w:t>Mostly achieved</w:t>
            </w:r>
            <w:r w:rsidRPr="00C844EE">
              <w:rPr>
                <w:rFonts w:ascii="Times New Roman" w:hAnsi="Times New Roman" w:cs="Times New Roman"/>
                <w:sz w:val="20"/>
                <w:szCs w:val="20"/>
              </w:rPr>
              <w:t xml:space="preserve"> During FY 11-12, 1.1 million children immunized. Only marginal improvements in NE region due to instability during the CPS.</w:t>
            </w:r>
          </w:p>
          <w:p w14:paraId="34347E87" w14:textId="77777777" w:rsidR="00C844EE" w:rsidRPr="00C844EE" w:rsidRDefault="00C844EE" w:rsidP="00C844EE">
            <w:pPr>
              <w:spacing w:before="100"/>
              <w:rPr>
                <w:rFonts w:ascii="Times New Roman" w:hAnsi="Times New Roman" w:cs="Times New Roman"/>
                <w:sz w:val="20"/>
                <w:szCs w:val="20"/>
              </w:rPr>
            </w:pPr>
          </w:p>
          <w:p w14:paraId="5CE6C1A1" w14:textId="77777777" w:rsidR="00C844EE" w:rsidRPr="00C844EE" w:rsidRDefault="00C844EE" w:rsidP="00C844EE">
            <w:pPr>
              <w:spacing w:before="100"/>
              <w:rPr>
                <w:rFonts w:ascii="Times New Roman" w:hAnsi="Times New Roman" w:cs="Times New Roman"/>
                <w:sz w:val="20"/>
                <w:szCs w:val="20"/>
              </w:rPr>
            </w:pPr>
          </w:p>
          <w:p w14:paraId="1B9F2D5C"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b/>
                <w:sz w:val="20"/>
                <w:szCs w:val="20"/>
              </w:rPr>
              <w:t>Achieved</w:t>
            </w:r>
            <w:r w:rsidRPr="00C844EE">
              <w:rPr>
                <w:rFonts w:ascii="Times New Roman" w:hAnsi="Times New Roman" w:cs="Times New Roman"/>
                <w:sz w:val="20"/>
                <w:szCs w:val="20"/>
              </w:rPr>
              <w:t>. 97.</w:t>
            </w:r>
            <w:r w:rsidRPr="00C844EE">
              <w:rPr>
                <w:rFonts w:ascii="Times New Roman" w:hAnsi="Times New Roman" w:cs="Times New Roman"/>
                <w:bCs/>
                <w:sz w:val="20"/>
                <w:szCs w:val="20"/>
              </w:rPr>
              <w:t xml:space="preserve">3% in 2011.  </w:t>
            </w:r>
          </w:p>
          <w:p w14:paraId="449BDD2A" w14:textId="77777777" w:rsidR="00C844EE" w:rsidRPr="00C844EE" w:rsidRDefault="00C844EE" w:rsidP="00C844EE">
            <w:pPr>
              <w:spacing w:before="100"/>
              <w:rPr>
                <w:rFonts w:ascii="Times New Roman" w:hAnsi="Times New Roman" w:cs="Times New Roman"/>
                <w:b/>
                <w:bCs/>
                <w:sz w:val="20"/>
                <w:szCs w:val="20"/>
              </w:rPr>
            </w:pPr>
          </w:p>
          <w:p w14:paraId="2A807DAF" w14:textId="77777777" w:rsidR="00C844EE" w:rsidRPr="00C844EE" w:rsidRDefault="00C844EE" w:rsidP="00C844EE">
            <w:pPr>
              <w:spacing w:before="100"/>
              <w:rPr>
                <w:rFonts w:ascii="Times New Roman" w:hAnsi="Times New Roman" w:cs="Times New Roman"/>
                <w:b/>
                <w:bCs/>
                <w:sz w:val="20"/>
                <w:szCs w:val="20"/>
              </w:rPr>
            </w:pPr>
          </w:p>
          <w:p w14:paraId="1E626BDB" w14:textId="77777777" w:rsidR="00C844EE" w:rsidRPr="00C844EE" w:rsidRDefault="00C844EE" w:rsidP="00C844EE">
            <w:pPr>
              <w:spacing w:before="100"/>
              <w:rPr>
                <w:rFonts w:ascii="Times New Roman" w:hAnsi="Times New Roman" w:cs="Times New Roman"/>
                <w:b/>
                <w:bCs/>
                <w:sz w:val="20"/>
                <w:szCs w:val="20"/>
              </w:rPr>
            </w:pPr>
          </w:p>
          <w:p w14:paraId="40D07CC3" w14:textId="77777777" w:rsidR="00C844EE" w:rsidRPr="00C844EE" w:rsidRDefault="00C844EE" w:rsidP="00C844EE">
            <w:pPr>
              <w:spacing w:before="100"/>
              <w:rPr>
                <w:rFonts w:ascii="Times New Roman" w:hAnsi="Times New Roman" w:cs="Times New Roman"/>
                <w:b/>
                <w:bCs/>
                <w:sz w:val="20"/>
                <w:szCs w:val="20"/>
              </w:rPr>
            </w:pPr>
          </w:p>
          <w:p w14:paraId="194F1444" w14:textId="77777777" w:rsidR="00C844EE" w:rsidRPr="00C844EE" w:rsidRDefault="00C844EE" w:rsidP="007B5E57">
            <w:pPr>
              <w:pStyle w:val="ListParagraph"/>
              <w:numPr>
                <w:ilvl w:val="0"/>
                <w:numId w:val="25"/>
              </w:numPr>
              <w:ind w:left="317" w:hanging="317"/>
              <w:rPr>
                <w:rFonts w:ascii="Times New Roman" w:hAnsi="Times New Roman" w:cs="Times New Roman"/>
                <w:b/>
                <w:bCs/>
                <w:sz w:val="20"/>
                <w:szCs w:val="20"/>
              </w:rPr>
            </w:pPr>
            <w:r w:rsidRPr="00C844EE">
              <w:rPr>
                <w:rFonts w:ascii="Times New Roman" w:hAnsi="Times New Roman" w:cs="Times New Roman"/>
                <w:b/>
                <w:sz w:val="20"/>
                <w:szCs w:val="20"/>
              </w:rPr>
              <w:t>Partially achieved</w:t>
            </w:r>
            <w:r w:rsidRPr="00C844EE">
              <w:rPr>
                <w:rFonts w:ascii="Times New Roman" w:hAnsi="Times New Roman" w:cs="Times New Roman"/>
                <w:sz w:val="20"/>
                <w:szCs w:val="20"/>
              </w:rPr>
              <w:t xml:space="preserve"> New Indicator; F=48.7%, M=58.7% in 2009.</w:t>
            </w:r>
          </w:p>
        </w:tc>
        <w:tc>
          <w:tcPr>
            <w:tcW w:w="2835" w:type="dxa"/>
          </w:tcPr>
          <w:p w14:paraId="09C93CDD"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lastRenderedPageBreak/>
              <w:t>Ongoing:</w:t>
            </w:r>
          </w:p>
          <w:p w14:paraId="08309AB1"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sz w:val="20"/>
                <w:szCs w:val="20"/>
              </w:rPr>
              <w:t>Health SWAp (FY10) and Additional Financing (FY12);</w:t>
            </w:r>
            <w:r w:rsidRPr="00C844EE">
              <w:rPr>
                <w:rFonts w:ascii="Times New Roman" w:hAnsi="Times New Roman" w:cs="Times New Roman"/>
                <w:bCs/>
                <w:sz w:val="20"/>
                <w:szCs w:val="20"/>
              </w:rPr>
              <w:t xml:space="preserve"> East Africa Public Health Laboratory Networking Project (FY10); </w:t>
            </w:r>
            <w:r w:rsidRPr="00C844EE">
              <w:rPr>
                <w:rFonts w:ascii="Times New Roman" w:hAnsi="Times New Roman" w:cs="Times New Roman"/>
                <w:sz w:val="20"/>
                <w:szCs w:val="20"/>
              </w:rPr>
              <w:t>Total War Against HIV/AIDS (FY07); JSDF grant for traditional medicine, IFC Health in Africa Initiative and Medicine Regulatory Harmonization (FY12).</w:t>
            </w:r>
          </w:p>
          <w:p w14:paraId="4BAB38D0"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AAA:</w:t>
            </w:r>
          </w:p>
          <w:p w14:paraId="02AF6C77"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sz w:val="20"/>
                <w:szCs w:val="20"/>
              </w:rPr>
              <w:t xml:space="preserve">Health PETS and </w:t>
            </w:r>
            <w:r w:rsidRPr="00C844EE">
              <w:rPr>
                <w:rFonts w:ascii="Times New Roman" w:hAnsi="Times New Roman" w:cs="Times New Roman"/>
                <w:sz w:val="20"/>
                <w:szCs w:val="20"/>
              </w:rPr>
              <w:lastRenderedPageBreak/>
              <w:t>Service Delivery Indicators Study (FY13), Health Financing (Strategic review of NHIF and Market Study of</w:t>
            </w:r>
            <w:r w:rsidRPr="00C844EE">
              <w:rPr>
                <w:rFonts w:ascii="Times New Roman" w:hAnsi="Times New Roman" w:cs="Times New Roman"/>
                <w:sz w:val="20"/>
                <w:szCs w:val="20"/>
              </w:rPr>
              <w:br/>
              <w:t>Prepaid health schemes concluded, technical assistance for inspection</w:t>
            </w:r>
            <w:r w:rsidRPr="00C844EE">
              <w:rPr>
                <w:rFonts w:ascii="Times New Roman" w:hAnsi="Times New Roman" w:cs="Times New Roman"/>
                <w:sz w:val="20"/>
                <w:szCs w:val="20"/>
              </w:rPr>
              <w:br/>
              <w:t>reform and improvement of patient safety ongoing, technical assistance for simplification of health licensing and registration processes ongoing, NHIF – Quality assurance accreditation work(FY12) (IFC), Multi-sector Nutrition Assessment (FY12)’ Human Resources in Health Study (FY13)</w:t>
            </w:r>
          </w:p>
          <w:p w14:paraId="1EE0D019" w14:textId="77777777" w:rsidR="00C844EE" w:rsidRPr="00C844EE" w:rsidRDefault="00C844EE" w:rsidP="00C844EE">
            <w:pPr>
              <w:rPr>
                <w:rFonts w:ascii="Times New Roman" w:hAnsi="Times New Roman" w:cs="Times New Roman"/>
              </w:rPr>
            </w:pPr>
          </w:p>
          <w:p w14:paraId="319C11C6" w14:textId="77777777" w:rsidR="00C844EE" w:rsidRPr="00C844EE" w:rsidRDefault="00C844EE" w:rsidP="00C844EE">
            <w:pPr>
              <w:rPr>
                <w:rFonts w:ascii="Times New Roman" w:hAnsi="Times New Roman" w:cs="Times New Roman"/>
              </w:rPr>
            </w:pPr>
          </w:p>
          <w:p w14:paraId="4B62965F" w14:textId="77777777" w:rsidR="00C844EE" w:rsidRPr="00C844EE" w:rsidRDefault="00C844EE" w:rsidP="00C844EE">
            <w:pPr>
              <w:rPr>
                <w:rFonts w:ascii="Times New Roman" w:hAnsi="Times New Roman" w:cs="Times New Roman"/>
              </w:rPr>
            </w:pPr>
          </w:p>
        </w:tc>
        <w:tc>
          <w:tcPr>
            <w:tcW w:w="5277" w:type="dxa"/>
          </w:tcPr>
          <w:p w14:paraId="202F9241" w14:textId="77777777" w:rsidR="00C844EE" w:rsidRPr="00C844EE" w:rsidRDefault="00C844EE" w:rsidP="007B5E57">
            <w:pPr>
              <w:pStyle w:val="ListParagraph"/>
              <w:numPr>
                <w:ilvl w:val="0"/>
                <w:numId w:val="25"/>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Over-ambition:</w:t>
            </w:r>
            <w:r w:rsidRPr="00C844EE">
              <w:rPr>
                <w:rFonts w:ascii="Times New Roman" w:eastAsia="Times New Roman" w:hAnsi="Times New Roman" w:cs="Times New Roman"/>
                <w:sz w:val="20"/>
                <w:szCs w:val="20"/>
              </w:rPr>
              <w:t xml:space="preserve">  In hindsight the SWAp was overly ambitious and probably should have focused only on the two core reforms and left out the 5 pilots. Pilots need a lot of groundwork and the Government doesn’t always have the time. </w:t>
            </w:r>
          </w:p>
          <w:p w14:paraId="5C0A95FD" w14:textId="77777777" w:rsidR="00C844EE" w:rsidRPr="00C844EE" w:rsidRDefault="00C844EE" w:rsidP="007B5E57">
            <w:pPr>
              <w:pStyle w:val="ListParagraph"/>
              <w:numPr>
                <w:ilvl w:val="0"/>
                <w:numId w:val="25"/>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Transaction costs:</w:t>
            </w:r>
            <w:r w:rsidRPr="00C844EE">
              <w:rPr>
                <w:rFonts w:ascii="Times New Roman" w:eastAsia="Times New Roman" w:hAnsi="Times New Roman" w:cs="Times New Roman"/>
                <w:sz w:val="20"/>
                <w:szCs w:val="20"/>
              </w:rPr>
              <w:t xml:space="preserve"> Transaction costs were high: too much time was taken up reviewing and approving international competitive bids (although one upside was that procurement capacity in the Kenya Medical Supply Agency improved and is now used by other donors like USAID and Global Fund). This will improve with a move to P4R which will allow the Bank team to focus on results and systems strengthening. </w:t>
            </w:r>
          </w:p>
          <w:p w14:paraId="1D28E49A" w14:textId="77777777" w:rsidR="00C844EE" w:rsidRPr="00C844EE" w:rsidRDefault="00C844EE" w:rsidP="007B5E57">
            <w:pPr>
              <w:pStyle w:val="ListParagraph"/>
              <w:numPr>
                <w:ilvl w:val="0"/>
                <w:numId w:val="25"/>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WBG collaboration:</w:t>
            </w:r>
            <w:r w:rsidRPr="00C844EE">
              <w:rPr>
                <w:rFonts w:ascii="Times New Roman" w:eastAsia="Times New Roman" w:hAnsi="Times New Roman" w:cs="Times New Roman"/>
                <w:sz w:val="20"/>
                <w:szCs w:val="20"/>
              </w:rPr>
              <w:t xml:space="preserve"> Collaboration within the Bank is most effective where each member of the team is bringing something new. E.g. the devolution agenda is encouraging a more effective working partnership between PREM and the health sector around issues of local management of services. Similarly drawing on WBI and IFC expertise for capacity building and PPPs respectively is also very useful. </w:t>
            </w:r>
          </w:p>
          <w:p w14:paraId="44D6ABAE" w14:textId="77777777" w:rsidR="00C844EE" w:rsidRPr="00C844EE" w:rsidRDefault="00C844EE" w:rsidP="007B5E57">
            <w:pPr>
              <w:pStyle w:val="ListParagraph"/>
              <w:numPr>
                <w:ilvl w:val="0"/>
                <w:numId w:val="25"/>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Donor collaboration:</w:t>
            </w:r>
            <w:r w:rsidRPr="00C844EE">
              <w:rPr>
                <w:rFonts w:ascii="Times New Roman" w:eastAsia="Times New Roman" w:hAnsi="Times New Roman" w:cs="Times New Roman"/>
                <w:sz w:val="20"/>
                <w:szCs w:val="20"/>
              </w:rPr>
              <w:t xml:space="preserve"> Collaboration with other donors can be challenging when only a limited # of partners are pooling in the SWAp and organizational approaches of partners vary.</w:t>
            </w:r>
          </w:p>
          <w:p w14:paraId="7A8513D7" w14:textId="77777777" w:rsidR="00C844EE" w:rsidRPr="00C844EE" w:rsidRDefault="00C844EE" w:rsidP="00C844EE">
            <w:pPr>
              <w:rPr>
                <w:rFonts w:ascii="Times New Roman" w:hAnsi="Times New Roman" w:cs="Times New Roman"/>
              </w:rPr>
            </w:pPr>
          </w:p>
        </w:tc>
      </w:tr>
      <w:tr w:rsidR="00C844EE" w:rsidRPr="00C844EE" w14:paraId="0DEDF4B0" w14:textId="77777777" w:rsidTr="00F169CF">
        <w:tc>
          <w:tcPr>
            <w:tcW w:w="14174" w:type="dxa"/>
            <w:gridSpan w:val="4"/>
          </w:tcPr>
          <w:p w14:paraId="4D7EA0DC"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lastRenderedPageBreak/>
              <w:t>Education</w:t>
            </w:r>
          </w:p>
        </w:tc>
      </w:tr>
      <w:tr w:rsidR="00C844EE" w:rsidRPr="00C844EE" w14:paraId="203CF35D" w14:textId="77777777" w:rsidTr="00F169CF">
        <w:tc>
          <w:tcPr>
            <w:tcW w:w="14174" w:type="dxa"/>
            <w:gridSpan w:val="4"/>
          </w:tcPr>
          <w:p w14:paraId="7CD0B277" w14:textId="77777777" w:rsidR="00C844EE" w:rsidRPr="00C844EE" w:rsidRDefault="00C844EE" w:rsidP="00C844EE">
            <w:pPr>
              <w:ind w:right="-101"/>
              <w:rPr>
                <w:rFonts w:ascii="Times New Roman" w:hAnsi="Times New Roman" w:cs="Times New Roman"/>
                <w:sz w:val="20"/>
                <w:szCs w:val="20"/>
              </w:rPr>
            </w:pPr>
            <w:r w:rsidRPr="00C844EE">
              <w:rPr>
                <w:rFonts w:ascii="Times New Roman" w:hAnsi="Times New Roman" w:cs="Times New Roman"/>
                <w:b/>
                <w:sz w:val="20"/>
                <w:szCs w:val="20"/>
              </w:rPr>
              <w:t>MTP objectives: Improve access and equity to education at all levels</w:t>
            </w:r>
          </w:p>
          <w:p w14:paraId="6D5B77B6" w14:textId="77777777" w:rsidR="00C844EE" w:rsidRPr="00C844EE" w:rsidRDefault="00C844EE" w:rsidP="007B5E57">
            <w:pPr>
              <w:pStyle w:val="ListParagraph"/>
              <w:numPr>
                <w:ilvl w:val="0"/>
                <w:numId w:val="26"/>
              </w:numPr>
              <w:ind w:right="-101"/>
              <w:rPr>
                <w:rFonts w:ascii="Times New Roman" w:hAnsi="Times New Roman" w:cs="Times New Roman"/>
                <w:sz w:val="20"/>
                <w:szCs w:val="20"/>
              </w:rPr>
            </w:pPr>
            <w:r w:rsidRPr="00C844EE">
              <w:rPr>
                <w:rFonts w:ascii="Times New Roman" w:hAnsi="Times New Roman" w:cs="Times New Roman"/>
                <w:sz w:val="20"/>
                <w:szCs w:val="20"/>
              </w:rPr>
              <w:t>Raise enrolment and transition rates</w:t>
            </w:r>
          </w:p>
          <w:p w14:paraId="690C8450" w14:textId="77777777" w:rsidR="00C844EE" w:rsidRPr="00C844EE" w:rsidRDefault="00C844EE" w:rsidP="007B5E57">
            <w:pPr>
              <w:pStyle w:val="ListParagraph"/>
              <w:numPr>
                <w:ilvl w:val="0"/>
                <w:numId w:val="26"/>
              </w:numPr>
              <w:ind w:right="-101"/>
              <w:rPr>
                <w:rFonts w:ascii="Times New Roman" w:hAnsi="Times New Roman" w:cs="Times New Roman"/>
                <w:sz w:val="20"/>
                <w:szCs w:val="20"/>
              </w:rPr>
            </w:pPr>
            <w:r w:rsidRPr="00C844EE">
              <w:rPr>
                <w:rFonts w:ascii="Times New Roman" w:hAnsi="Times New Roman" w:cs="Times New Roman"/>
                <w:sz w:val="20"/>
                <w:szCs w:val="20"/>
              </w:rPr>
              <w:t>Improve quality of education at all levels</w:t>
            </w:r>
          </w:p>
        </w:tc>
      </w:tr>
      <w:tr w:rsidR="00C844EE" w:rsidRPr="00C844EE" w14:paraId="093CC435" w14:textId="77777777" w:rsidTr="00F169CF">
        <w:tc>
          <w:tcPr>
            <w:tcW w:w="14174" w:type="dxa"/>
            <w:gridSpan w:val="4"/>
          </w:tcPr>
          <w:p w14:paraId="5D510BC1"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CPS outcome:  CPS outcome:</w:t>
            </w:r>
            <w:r w:rsidRPr="00C844EE">
              <w:rPr>
                <w:rFonts w:ascii="Times New Roman" w:hAnsi="Times New Roman" w:cs="Times New Roman"/>
                <w:sz w:val="20"/>
                <w:szCs w:val="20"/>
              </w:rPr>
              <w:t xml:space="preserve"> </w:t>
            </w:r>
            <w:r w:rsidRPr="00C844EE">
              <w:rPr>
                <w:rFonts w:ascii="Times New Roman" w:hAnsi="Times New Roman" w:cs="Times New Roman"/>
                <w:b/>
                <w:sz w:val="20"/>
                <w:szCs w:val="20"/>
              </w:rPr>
              <w:t xml:space="preserve">better access to health care, education, and basic infrastructure services (2 of 3 : Education )                          PARTIALLY ACHIEVED                                                                                                                                                                                                                                                                                                                        </w:t>
            </w:r>
          </w:p>
        </w:tc>
      </w:tr>
      <w:tr w:rsidR="00C844EE" w:rsidRPr="00C844EE" w14:paraId="73D5C472" w14:textId="77777777" w:rsidTr="00F169CF">
        <w:tc>
          <w:tcPr>
            <w:tcW w:w="2802" w:type="dxa"/>
          </w:tcPr>
          <w:p w14:paraId="7B3FD79A"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i/>
                <w:sz w:val="20"/>
                <w:szCs w:val="20"/>
              </w:rPr>
              <w:t>Primary completion rates rises (per cent).</w:t>
            </w:r>
            <w:r w:rsidRPr="00C844EE">
              <w:rPr>
                <w:rFonts w:ascii="Times New Roman" w:hAnsi="Times New Roman" w:cs="Times New Roman"/>
                <w:sz w:val="20"/>
                <w:szCs w:val="20"/>
              </w:rPr>
              <w:t xml:space="preserve"> Baseline (2008): 79.5%, target (2012): 85%; and in North-eastern, baseline 36.5%, target, 45%. Source: Ministry of Education. </w:t>
            </w:r>
          </w:p>
          <w:p w14:paraId="5B3F318B" w14:textId="77777777" w:rsidR="00C844EE" w:rsidRPr="00C844EE" w:rsidRDefault="00C844EE" w:rsidP="00C844EE">
            <w:pPr>
              <w:ind w:left="228"/>
              <w:rPr>
                <w:rFonts w:ascii="Times New Roman" w:hAnsi="Times New Roman" w:cs="Times New Roman"/>
                <w:sz w:val="20"/>
                <w:szCs w:val="20"/>
              </w:rPr>
            </w:pPr>
          </w:p>
          <w:p w14:paraId="225C926A"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i/>
                <w:sz w:val="20"/>
                <w:szCs w:val="20"/>
              </w:rPr>
              <w:t>Primary to secondary education transition rate rises (per cent).</w:t>
            </w:r>
            <w:r w:rsidRPr="00C844EE">
              <w:rPr>
                <w:rFonts w:ascii="Times New Roman" w:hAnsi="Times New Roman" w:cs="Times New Roman"/>
                <w:sz w:val="20"/>
                <w:szCs w:val="20"/>
              </w:rPr>
              <w:t xml:space="preserve"> Baseline (2008) 60%, target (2012), 75%. Source: Ministry of Education. </w:t>
            </w:r>
          </w:p>
          <w:p w14:paraId="5469BC15" w14:textId="77777777" w:rsidR="00C844EE" w:rsidRPr="00C844EE" w:rsidRDefault="00C844EE" w:rsidP="00C844EE">
            <w:pPr>
              <w:ind w:left="228"/>
              <w:rPr>
                <w:rFonts w:ascii="Times New Roman" w:hAnsi="Times New Roman" w:cs="Times New Roman"/>
                <w:sz w:val="20"/>
                <w:szCs w:val="20"/>
              </w:rPr>
            </w:pPr>
          </w:p>
          <w:p w14:paraId="776147B8"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i/>
                <w:sz w:val="20"/>
                <w:szCs w:val="20"/>
              </w:rPr>
              <w:t>University education gross enrolment rate rises (per cent).</w:t>
            </w:r>
            <w:r w:rsidRPr="00C844EE">
              <w:rPr>
                <w:rFonts w:ascii="Times New Roman" w:hAnsi="Times New Roman" w:cs="Times New Roman"/>
                <w:sz w:val="20"/>
                <w:szCs w:val="20"/>
              </w:rPr>
              <w:t xml:space="preserve"> Baseline (2008): 3%, target (2012): 5% (reaching Sub-Saharan Africa average). Source: Ministry of Education. </w:t>
            </w:r>
          </w:p>
        </w:tc>
        <w:tc>
          <w:tcPr>
            <w:tcW w:w="3260" w:type="dxa"/>
          </w:tcPr>
          <w:p w14:paraId="6A0952BB" w14:textId="77777777" w:rsidR="00C844EE" w:rsidRPr="00C844EE" w:rsidRDefault="00C844EE" w:rsidP="007B5E57">
            <w:pPr>
              <w:pStyle w:val="ListParagraph"/>
              <w:numPr>
                <w:ilvl w:val="0"/>
                <w:numId w:val="32"/>
              </w:numPr>
              <w:spacing w:after="100"/>
              <w:rPr>
                <w:rFonts w:ascii="Times New Roman" w:hAnsi="Times New Roman" w:cs="Times New Roman"/>
                <w:b/>
                <w:color w:val="000000" w:themeColor="text1"/>
                <w:sz w:val="20"/>
                <w:szCs w:val="20"/>
              </w:rPr>
            </w:pPr>
            <w:r w:rsidRPr="00C844EE">
              <w:rPr>
                <w:rFonts w:ascii="Times New Roman" w:hAnsi="Times New Roman" w:cs="Times New Roman"/>
                <w:b/>
                <w:color w:val="000000" w:themeColor="text1"/>
                <w:sz w:val="20"/>
                <w:szCs w:val="20"/>
              </w:rPr>
              <w:lastRenderedPageBreak/>
              <w:t xml:space="preserve">Not achieved. </w:t>
            </w:r>
            <w:r w:rsidRPr="00C844EE">
              <w:rPr>
                <w:rFonts w:ascii="Times New Roman" w:hAnsi="Times New Roman" w:cs="Times New Roman"/>
                <w:color w:val="000000" w:themeColor="text1"/>
                <w:sz w:val="20"/>
                <w:szCs w:val="20"/>
              </w:rPr>
              <w:t>74.6% in 2011; Northeast n/a</w:t>
            </w:r>
          </w:p>
          <w:p w14:paraId="02B7B790" w14:textId="77777777" w:rsidR="00C844EE" w:rsidRPr="00C844EE" w:rsidRDefault="00C844EE" w:rsidP="00C844EE">
            <w:pPr>
              <w:spacing w:after="100"/>
              <w:rPr>
                <w:rFonts w:ascii="Times New Roman" w:hAnsi="Times New Roman" w:cs="Times New Roman"/>
                <w:b/>
                <w:color w:val="000000" w:themeColor="text1"/>
                <w:sz w:val="20"/>
                <w:szCs w:val="20"/>
              </w:rPr>
            </w:pPr>
          </w:p>
          <w:p w14:paraId="5D09CACE" w14:textId="77777777" w:rsidR="00C844EE" w:rsidRPr="00C844EE" w:rsidRDefault="00C844EE" w:rsidP="00C844EE">
            <w:pPr>
              <w:spacing w:after="100"/>
              <w:rPr>
                <w:rFonts w:ascii="Times New Roman" w:hAnsi="Times New Roman" w:cs="Times New Roman"/>
                <w:b/>
                <w:color w:val="000000" w:themeColor="text1"/>
                <w:sz w:val="20"/>
                <w:szCs w:val="20"/>
              </w:rPr>
            </w:pPr>
          </w:p>
          <w:p w14:paraId="5BB62338" w14:textId="77777777" w:rsidR="00C844EE" w:rsidRPr="00C844EE" w:rsidRDefault="00C844EE" w:rsidP="00C844EE">
            <w:pPr>
              <w:spacing w:after="100"/>
              <w:rPr>
                <w:rFonts w:ascii="Times New Roman" w:hAnsi="Times New Roman" w:cs="Times New Roman"/>
                <w:b/>
                <w:color w:val="000000" w:themeColor="text1"/>
                <w:sz w:val="20"/>
                <w:szCs w:val="20"/>
              </w:rPr>
            </w:pPr>
          </w:p>
          <w:p w14:paraId="7571F8C7" w14:textId="77777777" w:rsidR="00C844EE" w:rsidRPr="00C844EE" w:rsidRDefault="00C844EE" w:rsidP="00C844EE">
            <w:pPr>
              <w:rPr>
                <w:rFonts w:ascii="Times New Roman" w:hAnsi="Times New Roman" w:cs="Times New Roman"/>
                <w:b/>
                <w:color w:val="000000" w:themeColor="text1"/>
                <w:sz w:val="20"/>
                <w:szCs w:val="20"/>
              </w:rPr>
            </w:pPr>
          </w:p>
          <w:p w14:paraId="3061D78A" w14:textId="77777777" w:rsidR="00C844EE" w:rsidRPr="00C844EE" w:rsidRDefault="00C844EE" w:rsidP="00C844EE">
            <w:pPr>
              <w:rPr>
                <w:rFonts w:ascii="Times New Roman" w:hAnsi="Times New Roman" w:cs="Times New Roman"/>
                <w:b/>
                <w:color w:val="000000" w:themeColor="text1"/>
                <w:sz w:val="20"/>
                <w:szCs w:val="20"/>
              </w:rPr>
            </w:pPr>
          </w:p>
          <w:p w14:paraId="34969CAE" w14:textId="77777777" w:rsidR="00C844EE" w:rsidRPr="00C844EE" w:rsidRDefault="00C844EE" w:rsidP="007B5E57">
            <w:pPr>
              <w:pStyle w:val="ListParagraph"/>
              <w:numPr>
                <w:ilvl w:val="0"/>
                <w:numId w:val="32"/>
              </w:numPr>
              <w:rPr>
                <w:rFonts w:ascii="Times New Roman" w:hAnsi="Times New Roman" w:cs="Times New Roman"/>
                <w:b/>
                <w:color w:val="000000" w:themeColor="text1"/>
                <w:sz w:val="20"/>
                <w:szCs w:val="20"/>
              </w:rPr>
            </w:pPr>
            <w:r w:rsidRPr="00C844EE">
              <w:rPr>
                <w:rFonts w:ascii="Times New Roman" w:hAnsi="Times New Roman" w:cs="Times New Roman"/>
                <w:b/>
                <w:color w:val="000000" w:themeColor="text1"/>
                <w:sz w:val="20"/>
                <w:szCs w:val="20"/>
              </w:rPr>
              <w:t>Mostly achieved.</w:t>
            </w:r>
            <w:r w:rsidRPr="00C844EE">
              <w:rPr>
                <w:rFonts w:ascii="Times New Roman" w:hAnsi="Times New Roman" w:cs="Times New Roman"/>
                <w:color w:val="000000" w:themeColor="text1"/>
                <w:sz w:val="20"/>
                <w:szCs w:val="20"/>
              </w:rPr>
              <w:t xml:space="preserve"> 73.3% in 2011</w:t>
            </w:r>
          </w:p>
          <w:p w14:paraId="110586FF" w14:textId="77777777" w:rsidR="00C844EE" w:rsidRPr="00C844EE" w:rsidRDefault="00C844EE" w:rsidP="00C844EE">
            <w:pPr>
              <w:spacing w:after="100"/>
              <w:rPr>
                <w:rFonts w:ascii="Times New Roman" w:hAnsi="Times New Roman" w:cs="Times New Roman"/>
                <w:b/>
                <w:color w:val="000000" w:themeColor="text1"/>
                <w:sz w:val="20"/>
                <w:szCs w:val="20"/>
              </w:rPr>
            </w:pPr>
          </w:p>
          <w:p w14:paraId="1C189891" w14:textId="77777777" w:rsidR="00C844EE" w:rsidRPr="00C844EE" w:rsidRDefault="00C844EE" w:rsidP="00C844EE">
            <w:pPr>
              <w:spacing w:after="100"/>
              <w:rPr>
                <w:rFonts w:ascii="Times New Roman" w:hAnsi="Times New Roman" w:cs="Times New Roman"/>
                <w:b/>
                <w:color w:val="000000" w:themeColor="text1"/>
                <w:sz w:val="20"/>
                <w:szCs w:val="20"/>
              </w:rPr>
            </w:pPr>
          </w:p>
          <w:p w14:paraId="76A1A16E" w14:textId="77777777" w:rsidR="00C844EE" w:rsidRPr="00C844EE" w:rsidRDefault="00C844EE" w:rsidP="00C844EE">
            <w:pPr>
              <w:spacing w:after="100"/>
              <w:rPr>
                <w:rFonts w:ascii="Times New Roman" w:hAnsi="Times New Roman" w:cs="Times New Roman"/>
                <w:b/>
                <w:color w:val="000000" w:themeColor="text1"/>
                <w:sz w:val="20"/>
                <w:szCs w:val="20"/>
              </w:rPr>
            </w:pPr>
          </w:p>
          <w:p w14:paraId="31BADFFD" w14:textId="77777777" w:rsidR="00C844EE" w:rsidRPr="00C844EE" w:rsidRDefault="00C844EE" w:rsidP="00C844EE">
            <w:pPr>
              <w:spacing w:after="100"/>
              <w:rPr>
                <w:rFonts w:ascii="Times New Roman" w:hAnsi="Times New Roman" w:cs="Times New Roman"/>
                <w:b/>
                <w:color w:val="000000" w:themeColor="text1"/>
                <w:sz w:val="20"/>
                <w:szCs w:val="20"/>
              </w:rPr>
            </w:pPr>
          </w:p>
          <w:p w14:paraId="692FBD75" w14:textId="77777777" w:rsidR="00C844EE" w:rsidRPr="00C844EE" w:rsidRDefault="00C844EE" w:rsidP="007B5E57">
            <w:pPr>
              <w:pStyle w:val="ListParagraph"/>
              <w:numPr>
                <w:ilvl w:val="0"/>
                <w:numId w:val="32"/>
              </w:numPr>
              <w:spacing w:after="100"/>
              <w:rPr>
                <w:rFonts w:ascii="Times New Roman" w:hAnsi="Times New Roman" w:cs="Times New Roman"/>
                <w:b/>
                <w:sz w:val="20"/>
                <w:szCs w:val="20"/>
              </w:rPr>
            </w:pPr>
            <w:r w:rsidRPr="00C844EE">
              <w:rPr>
                <w:rFonts w:ascii="Times New Roman" w:hAnsi="Times New Roman" w:cs="Times New Roman"/>
                <w:b/>
                <w:color w:val="000000" w:themeColor="text1"/>
                <w:sz w:val="20"/>
                <w:szCs w:val="20"/>
              </w:rPr>
              <w:t xml:space="preserve">Mostly achieved </w:t>
            </w:r>
            <w:r w:rsidRPr="00C844EE">
              <w:rPr>
                <w:rFonts w:ascii="Times New Roman" w:hAnsi="Times New Roman" w:cs="Times New Roman"/>
                <w:color w:val="000000" w:themeColor="text1"/>
                <w:sz w:val="20"/>
                <w:szCs w:val="20"/>
              </w:rPr>
              <w:t>4% in 2009.</w:t>
            </w:r>
            <w:r w:rsidRPr="00C844EE">
              <w:rPr>
                <w:rFonts w:ascii="Times New Roman" w:hAnsi="Times New Roman" w:cs="Times New Roman"/>
                <w:sz w:val="20"/>
                <w:szCs w:val="20"/>
              </w:rPr>
              <w:t xml:space="preserve"> </w:t>
            </w:r>
          </w:p>
        </w:tc>
        <w:tc>
          <w:tcPr>
            <w:tcW w:w="2835" w:type="dxa"/>
          </w:tcPr>
          <w:p w14:paraId="67841575"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lastRenderedPageBreak/>
              <w:t xml:space="preserve">Completed or ongoing: </w:t>
            </w:r>
            <w:r w:rsidRPr="00C844EE">
              <w:rPr>
                <w:rFonts w:ascii="Times New Roman" w:hAnsi="Times New Roman" w:cs="Times New Roman"/>
                <w:sz w:val="20"/>
                <w:szCs w:val="20"/>
              </w:rPr>
              <w:t>Kenya Education Sector Support Project (closed FY11)</w:t>
            </w:r>
          </w:p>
          <w:p w14:paraId="51380F2E"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AAA:</w:t>
            </w:r>
            <w:r w:rsidRPr="00C844EE">
              <w:rPr>
                <w:rFonts w:ascii="Times New Roman" w:hAnsi="Times New Roman" w:cs="Times New Roman"/>
                <w:sz w:val="20"/>
                <w:szCs w:val="20"/>
              </w:rPr>
              <w:t xml:space="preserve"> Education PER (FY10), Education PETS and Service Delivery Indicators </w:t>
            </w:r>
            <w:r w:rsidRPr="00C844EE">
              <w:rPr>
                <w:rFonts w:ascii="Times New Roman" w:hAnsi="Times New Roman" w:cs="Times New Roman"/>
                <w:sz w:val="20"/>
                <w:szCs w:val="20"/>
              </w:rPr>
              <w:lastRenderedPageBreak/>
              <w:t>(FY12), System Assessment Benchmarking for Results (SABER); Early Childhood (FY12), School Health and Nutrition (FY12); Teacher Performance and Student Learning (FY12); Realizing the Youth Dividend (FY12); Innovative Financing for Higher Education (FY12)</w:t>
            </w:r>
          </w:p>
        </w:tc>
        <w:tc>
          <w:tcPr>
            <w:tcW w:w="5277" w:type="dxa"/>
          </w:tcPr>
          <w:p w14:paraId="6EAB4434"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b/>
                <w:i/>
                <w:sz w:val="20"/>
                <w:szCs w:val="20"/>
              </w:rPr>
              <w:lastRenderedPageBreak/>
              <w:t>Government anti-corruption mechanisms.</w:t>
            </w:r>
            <w:r w:rsidRPr="00C844EE">
              <w:rPr>
                <w:rFonts w:ascii="Times New Roman" w:hAnsi="Times New Roman" w:cs="Times New Roman"/>
                <w:sz w:val="20"/>
                <w:szCs w:val="20"/>
              </w:rPr>
              <w:t xml:space="preserve"> In KESSP, the strengthening of KENAO and IAD were key ingredients to uncovering the fraud and corruption that occurred. Without these, it is unlikely that the fraud and corruption would have been discovered at that time. To ensure VfM and control corruption risks the focus needs to be on strengthening Government systems, especially risk based </w:t>
            </w:r>
            <w:r w:rsidRPr="00C844EE">
              <w:rPr>
                <w:rFonts w:ascii="Times New Roman" w:hAnsi="Times New Roman" w:cs="Times New Roman"/>
                <w:sz w:val="20"/>
                <w:szCs w:val="20"/>
              </w:rPr>
              <w:lastRenderedPageBreak/>
              <w:t xml:space="preserve">approaches in FM, procurement and auditing systems. </w:t>
            </w:r>
          </w:p>
          <w:p w14:paraId="3B647FB1"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b/>
                <w:i/>
                <w:sz w:val="20"/>
                <w:szCs w:val="20"/>
              </w:rPr>
              <w:t>NGOs as monitors:</w:t>
            </w:r>
            <w:r w:rsidRPr="00C844EE">
              <w:rPr>
                <w:rFonts w:ascii="Times New Roman" w:hAnsi="Times New Roman" w:cs="Times New Roman"/>
                <w:sz w:val="20"/>
                <w:szCs w:val="20"/>
              </w:rPr>
              <w:t xml:space="preserve"> There are many NGOs, CBOs and research institutions in Kenya with good technical expertise, as demonstrated during the earlier years of KESSP that could have participated more in monitoring program achievements.</w:t>
            </w:r>
          </w:p>
          <w:p w14:paraId="19838C6F"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b/>
                <w:i/>
                <w:sz w:val="20"/>
                <w:szCs w:val="20"/>
              </w:rPr>
              <w:t>Over-reliance on administrative data:</w:t>
            </w:r>
            <w:r w:rsidRPr="00C844EE">
              <w:rPr>
                <w:rFonts w:ascii="Times New Roman" w:hAnsi="Times New Roman" w:cs="Times New Roman"/>
                <w:sz w:val="20"/>
                <w:szCs w:val="20"/>
              </w:rPr>
              <w:t xml:space="preserve"> A near exclusive reliance on MoE information systems which were weak and uncoordinated made it difficult to generate robust indicators necessary for planning and supporting effectiveness and efficiency in resource targeting and utilization. This can be mitigated by: (i) ensuring that there is an effectively functioning EMIS; (ii) using periodic independent school sample surveys for school-level indicators and household surveys to supplement EMIS; (iii)  developing incentives (and sanctions) for schools and the MoE to report accurately; and (v) undertaking more independent analytical work</w:t>
            </w:r>
          </w:p>
          <w:p w14:paraId="66AF3DB6" w14:textId="77777777" w:rsidR="00C844EE" w:rsidRPr="00C844EE" w:rsidRDefault="00C844EE" w:rsidP="00C844EE">
            <w:pPr>
              <w:ind w:right="-101"/>
              <w:rPr>
                <w:rFonts w:ascii="Times New Roman" w:hAnsi="Times New Roman" w:cs="Times New Roman"/>
                <w:b/>
                <w:sz w:val="20"/>
                <w:szCs w:val="20"/>
              </w:rPr>
            </w:pPr>
          </w:p>
          <w:p w14:paraId="6BDF6294" w14:textId="77777777" w:rsidR="00C844EE" w:rsidRPr="00C844EE" w:rsidRDefault="00C844EE" w:rsidP="00C844EE">
            <w:pPr>
              <w:ind w:right="-101"/>
              <w:rPr>
                <w:rFonts w:ascii="Times New Roman" w:hAnsi="Times New Roman" w:cs="Times New Roman"/>
                <w:b/>
                <w:sz w:val="20"/>
                <w:szCs w:val="20"/>
              </w:rPr>
            </w:pPr>
          </w:p>
        </w:tc>
      </w:tr>
      <w:tr w:rsidR="00C844EE" w:rsidRPr="00C844EE" w14:paraId="686B35CE" w14:textId="77777777" w:rsidTr="00F169CF">
        <w:tc>
          <w:tcPr>
            <w:tcW w:w="14174" w:type="dxa"/>
            <w:gridSpan w:val="4"/>
          </w:tcPr>
          <w:p w14:paraId="6ADE2CD7"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Urban upgrading</w:t>
            </w:r>
          </w:p>
        </w:tc>
      </w:tr>
      <w:tr w:rsidR="00C844EE" w:rsidRPr="00C844EE" w14:paraId="227CA73E" w14:textId="77777777" w:rsidTr="00F169CF">
        <w:tc>
          <w:tcPr>
            <w:tcW w:w="14174" w:type="dxa"/>
            <w:gridSpan w:val="4"/>
          </w:tcPr>
          <w:p w14:paraId="73FC09DB"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MTP Objective: Adequate and decent housing in a sustainable environment</w:t>
            </w:r>
          </w:p>
          <w:p w14:paraId="27131796"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sz w:val="20"/>
                <w:szCs w:val="20"/>
              </w:rPr>
              <w:t>Facilitate the development and access to affordable and adequate housing</w:t>
            </w:r>
          </w:p>
        </w:tc>
      </w:tr>
      <w:tr w:rsidR="00C844EE" w:rsidRPr="00C844EE" w14:paraId="6AE24B6B" w14:textId="77777777" w:rsidTr="00F169CF">
        <w:tc>
          <w:tcPr>
            <w:tcW w:w="14174" w:type="dxa"/>
            <w:gridSpan w:val="4"/>
          </w:tcPr>
          <w:p w14:paraId="2328AF85"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18"/>
                <w:szCs w:val="18"/>
              </w:rPr>
              <w:t>CPS objectives:  CPS outcome:</w:t>
            </w:r>
            <w:r w:rsidRPr="00C844EE">
              <w:rPr>
                <w:rFonts w:ascii="Times New Roman" w:hAnsi="Times New Roman" w:cs="Times New Roman"/>
                <w:sz w:val="18"/>
                <w:szCs w:val="18"/>
              </w:rPr>
              <w:t xml:space="preserve"> </w:t>
            </w:r>
            <w:r w:rsidRPr="00C844EE">
              <w:rPr>
                <w:rFonts w:ascii="Times New Roman" w:hAnsi="Times New Roman" w:cs="Times New Roman"/>
                <w:b/>
                <w:sz w:val="18"/>
                <w:szCs w:val="18"/>
              </w:rPr>
              <w:t>better access to health care, education, and basic infrastructure services (3 of 3 : Basic Infrastructure Services</w:t>
            </w:r>
            <w:r w:rsidRPr="00C844EE">
              <w:rPr>
                <w:rFonts w:ascii="Times New Roman" w:hAnsi="Times New Roman" w:cs="Times New Roman"/>
                <w:b/>
                <w:sz w:val="20"/>
                <w:szCs w:val="20"/>
              </w:rPr>
              <w:t xml:space="preserve">)                             NOT ACHIEVED                                                                                                                                                                                                                                 </w:t>
            </w:r>
          </w:p>
        </w:tc>
      </w:tr>
      <w:tr w:rsidR="00C844EE" w:rsidRPr="00C844EE" w14:paraId="3D524382" w14:textId="77777777" w:rsidTr="00F169CF">
        <w:tc>
          <w:tcPr>
            <w:tcW w:w="2802" w:type="dxa"/>
          </w:tcPr>
          <w:p w14:paraId="06743A5E" w14:textId="77777777" w:rsidR="00C844EE" w:rsidRPr="00C844EE" w:rsidRDefault="00C844EE" w:rsidP="007B5E57">
            <w:pPr>
              <w:numPr>
                <w:ilvl w:val="0"/>
                <w:numId w:val="32"/>
              </w:numPr>
              <w:tabs>
                <w:tab w:val="num" w:pos="192"/>
              </w:tabs>
              <w:ind w:left="228" w:hanging="228"/>
              <w:rPr>
                <w:rFonts w:ascii="Times New Roman" w:hAnsi="Times New Roman" w:cs="Times New Roman"/>
                <w:sz w:val="20"/>
                <w:szCs w:val="20"/>
              </w:rPr>
            </w:pPr>
            <w:r w:rsidRPr="00C844EE">
              <w:rPr>
                <w:rFonts w:ascii="Times New Roman" w:hAnsi="Times New Roman" w:cs="Times New Roman"/>
                <w:i/>
                <w:sz w:val="20"/>
                <w:szCs w:val="20"/>
              </w:rPr>
              <w:t xml:space="preserve">Urban slum residents who gain access to improved infrastructure services under the Informal Settlements Improvement Project (number beneficiaries, disaggregated by gender).    </w:t>
            </w:r>
            <w:r w:rsidRPr="00C844EE">
              <w:rPr>
                <w:rFonts w:ascii="Times New Roman" w:hAnsi="Times New Roman" w:cs="Times New Roman"/>
                <w:sz w:val="20"/>
                <w:szCs w:val="20"/>
              </w:rPr>
              <w:t xml:space="preserve">Baseline: 0, Target: 50,000 (revised target).  Source: project surveys. [Project </w:t>
            </w:r>
            <w:r w:rsidRPr="00C844EE">
              <w:rPr>
                <w:rFonts w:ascii="Times New Roman" w:hAnsi="Times New Roman" w:cs="Times New Roman"/>
                <w:sz w:val="20"/>
                <w:szCs w:val="20"/>
              </w:rPr>
              <w:lastRenderedPageBreak/>
              <w:t>effective since June 2011.]</w:t>
            </w:r>
          </w:p>
          <w:p w14:paraId="33EFCA3E" w14:textId="77777777" w:rsidR="00C844EE" w:rsidRPr="00C844EE" w:rsidRDefault="00C844EE" w:rsidP="00C844EE">
            <w:pPr>
              <w:ind w:right="-101"/>
              <w:rPr>
                <w:rFonts w:ascii="Times New Roman" w:hAnsi="Times New Roman" w:cs="Times New Roman"/>
                <w:sz w:val="20"/>
                <w:szCs w:val="20"/>
              </w:rPr>
            </w:pPr>
          </w:p>
        </w:tc>
        <w:tc>
          <w:tcPr>
            <w:tcW w:w="3260" w:type="dxa"/>
          </w:tcPr>
          <w:p w14:paraId="112E78CE" w14:textId="77777777" w:rsidR="00C844EE" w:rsidRPr="00C844EE" w:rsidRDefault="00C844EE" w:rsidP="007B5E57">
            <w:pPr>
              <w:pStyle w:val="ListParagraph"/>
              <w:numPr>
                <w:ilvl w:val="0"/>
                <w:numId w:val="28"/>
              </w:numPr>
              <w:tabs>
                <w:tab w:val="clear" w:pos="720"/>
                <w:tab w:val="num" w:pos="175"/>
              </w:tabs>
              <w:ind w:left="175" w:hanging="142"/>
              <w:rPr>
                <w:rFonts w:ascii="Times New Roman" w:hAnsi="Times New Roman" w:cs="Times New Roman"/>
                <w:b/>
                <w:bCs/>
                <w:sz w:val="20"/>
                <w:szCs w:val="20"/>
              </w:rPr>
            </w:pPr>
            <w:r w:rsidRPr="00C844EE">
              <w:rPr>
                <w:rFonts w:ascii="Times New Roman" w:hAnsi="Times New Roman" w:cs="Times New Roman"/>
                <w:b/>
                <w:sz w:val="20"/>
                <w:szCs w:val="20"/>
              </w:rPr>
              <w:lastRenderedPageBreak/>
              <w:t xml:space="preserve">Not achieved. </w:t>
            </w:r>
            <w:r w:rsidRPr="00C844EE">
              <w:rPr>
                <w:rFonts w:ascii="Times New Roman" w:hAnsi="Times New Roman" w:cs="Times New Roman"/>
                <w:sz w:val="20"/>
                <w:szCs w:val="20"/>
              </w:rPr>
              <w:t xml:space="preserve"> Infrastructure investments have not yet begun, but upgrading plans have been prepared for 18 settlements in six cities, which are home to nearly 470,000 people.  Works will begin by July 2013.</w:t>
            </w:r>
            <w:r w:rsidRPr="00C844EE">
              <w:rPr>
                <w:rFonts w:ascii="Times New Roman" w:hAnsi="Times New Roman" w:cs="Times New Roman"/>
                <w:b/>
                <w:bCs/>
                <w:color w:val="FF0000"/>
                <w:sz w:val="20"/>
                <w:szCs w:val="20"/>
              </w:rPr>
              <w:t xml:space="preserve"> </w:t>
            </w:r>
          </w:p>
        </w:tc>
        <w:tc>
          <w:tcPr>
            <w:tcW w:w="2835" w:type="dxa"/>
          </w:tcPr>
          <w:p w14:paraId="3EDD26DE"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Ongoing: </w:t>
            </w:r>
            <w:r w:rsidRPr="00C844EE">
              <w:rPr>
                <w:rFonts w:ascii="Times New Roman" w:hAnsi="Times New Roman" w:cs="Times New Roman"/>
                <w:sz w:val="20"/>
                <w:szCs w:val="20"/>
              </w:rPr>
              <w:t>Slum Upgrading/Informal Settlements Improvement (FY11); Pro-poor component of WASSIP, FIRST Shelter Afrique, ESMID, FLSTAP.</w:t>
            </w:r>
          </w:p>
          <w:p w14:paraId="4528D6AF" w14:textId="77777777" w:rsidR="00C844EE" w:rsidRPr="00C844EE" w:rsidRDefault="00C844EE" w:rsidP="00C844EE">
            <w:pPr>
              <w:rPr>
                <w:rFonts w:ascii="Times New Roman" w:hAnsi="Times New Roman" w:cs="Times New Roman"/>
                <w:b/>
                <w:sz w:val="20"/>
                <w:szCs w:val="20"/>
                <w:lang w:val="fr-FR"/>
              </w:rPr>
            </w:pPr>
            <w:r w:rsidRPr="00C844EE">
              <w:rPr>
                <w:rFonts w:ascii="Times New Roman" w:hAnsi="Times New Roman" w:cs="Times New Roman"/>
                <w:b/>
                <w:sz w:val="20"/>
                <w:szCs w:val="20"/>
                <w:lang w:val="fr-FR"/>
              </w:rPr>
              <w:t xml:space="preserve">Pipeline: </w:t>
            </w:r>
            <w:r w:rsidRPr="00C844EE">
              <w:rPr>
                <w:rFonts w:ascii="Times New Roman" w:hAnsi="Times New Roman" w:cs="Times New Roman"/>
                <w:sz w:val="20"/>
                <w:szCs w:val="20"/>
                <w:lang w:val="es-ES"/>
              </w:rPr>
              <w:t xml:space="preserve">Nairobi </w:t>
            </w:r>
            <w:r w:rsidRPr="00C844EE">
              <w:rPr>
                <w:rFonts w:ascii="Times New Roman" w:hAnsi="Times New Roman" w:cs="Times New Roman"/>
                <w:sz w:val="20"/>
                <w:szCs w:val="20"/>
                <w:lang w:val="fr-FR"/>
              </w:rPr>
              <w:t>Metropolitan Services</w:t>
            </w:r>
            <w:r w:rsidRPr="00C844EE">
              <w:rPr>
                <w:rFonts w:ascii="Times New Roman" w:hAnsi="Times New Roman" w:cs="Times New Roman"/>
                <w:sz w:val="20"/>
                <w:szCs w:val="20"/>
                <w:lang w:val="es-ES"/>
              </w:rPr>
              <w:t xml:space="preserve"> Project (FY12).</w:t>
            </w:r>
          </w:p>
          <w:p w14:paraId="4AC0CEB7"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AAA:  </w:t>
            </w:r>
            <w:r w:rsidRPr="00C844EE">
              <w:rPr>
                <w:rFonts w:ascii="Times New Roman" w:hAnsi="Times New Roman" w:cs="Times New Roman"/>
                <w:sz w:val="20"/>
                <w:szCs w:val="20"/>
              </w:rPr>
              <w:t xml:space="preserve">FPD Dialogue, </w:t>
            </w:r>
            <w:r w:rsidRPr="00C844EE">
              <w:rPr>
                <w:rFonts w:ascii="Times New Roman" w:hAnsi="Times New Roman" w:cs="Times New Roman"/>
                <w:sz w:val="20"/>
                <w:szCs w:val="20"/>
              </w:rPr>
              <w:lastRenderedPageBreak/>
              <w:t>FSAP update/part 2 – housing finance (FY11/12).</w:t>
            </w:r>
          </w:p>
          <w:p w14:paraId="61C725D5" w14:textId="77777777" w:rsidR="00C844EE" w:rsidRPr="00C844EE" w:rsidRDefault="00C844EE" w:rsidP="00C844EE">
            <w:pPr>
              <w:rPr>
                <w:rFonts w:ascii="Times New Roman" w:hAnsi="Times New Roman" w:cs="Times New Roman"/>
                <w:b/>
                <w:sz w:val="20"/>
                <w:szCs w:val="20"/>
              </w:rPr>
            </w:pPr>
          </w:p>
        </w:tc>
        <w:tc>
          <w:tcPr>
            <w:tcW w:w="5277" w:type="dxa"/>
          </w:tcPr>
          <w:p w14:paraId="3003570A"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eastAsia="Times New Roman" w:hAnsi="Times New Roman" w:cs="Times New Roman"/>
                <w:b/>
                <w:i/>
                <w:sz w:val="20"/>
                <w:szCs w:val="20"/>
              </w:rPr>
              <w:lastRenderedPageBreak/>
              <w:t>Client engagement:</w:t>
            </w:r>
            <w:r w:rsidRPr="00C844EE">
              <w:rPr>
                <w:rFonts w:ascii="Times New Roman" w:eastAsia="Times New Roman" w:hAnsi="Times New Roman" w:cs="Times New Roman"/>
                <w:sz w:val="20"/>
                <w:szCs w:val="20"/>
              </w:rPr>
              <w:t xml:space="preserve"> Overall key lessons include: a) the need for perseverance in working with the government to engage them in an agenda; b) having staff in the field to enable relationship building; c) the importance of listening to the client to really understand their objectives.</w:t>
            </w:r>
          </w:p>
          <w:p w14:paraId="0B2EDB60" w14:textId="77777777" w:rsidR="00C844EE" w:rsidRPr="00C844EE" w:rsidRDefault="00C844EE" w:rsidP="007B5E57">
            <w:pPr>
              <w:pStyle w:val="ListParagraph"/>
              <w:numPr>
                <w:ilvl w:val="0"/>
                <w:numId w:val="25"/>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Fiduciary capacity:</w:t>
            </w:r>
            <w:r w:rsidRPr="00C844EE">
              <w:rPr>
                <w:rFonts w:ascii="Times New Roman" w:eastAsia="Times New Roman" w:hAnsi="Times New Roman" w:cs="Times New Roman"/>
                <w:sz w:val="20"/>
                <w:szCs w:val="20"/>
              </w:rPr>
              <w:t xml:space="preserve"> The cause of the delay in completing preparatory work was the poor quality of drafting of the contracts for the work which resulted in delays in payment of key members of the consortium of firms involved and hence delays in implementation of the work. This in turn </w:t>
            </w:r>
            <w:r w:rsidRPr="00C844EE">
              <w:rPr>
                <w:rFonts w:ascii="Times New Roman" w:eastAsia="Times New Roman" w:hAnsi="Times New Roman" w:cs="Times New Roman"/>
                <w:sz w:val="20"/>
                <w:szCs w:val="20"/>
              </w:rPr>
              <w:lastRenderedPageBreak/>
              <w:t>was the result of low capacity in the Ministry of Housing which lacked both procurement and financial management expertise. The project financed a specialist to join the procurement and financial management teams which helped address the delays in both procurement and financial management.</w:t>
            </w:r>
          </w:p>
          <w:p w14:paraId="1FA2A2F5" w14:textId="77777777" w:rsidR="00C844EE" w:rsidRPr="00C844EE" w:rsidRDefault="00C844EE" w:rsidP="00C844EE">
            <w:pPr>
              <w:pStyle w:val="ListParagraph"/>
              <w:ind w:left="360"/>
              <w:rPr>
                <w:rFonts w:ascii="Times New Roman" w:hAnsi="Times New Roman" w:cs="Times New Roman"/>
                <w:sz w:val="20"/>
                <w:szCs w:val="20"/>
              </w:rPr>
            </w:pPr>
          </w:p>
        </w:tc>
      </w:tr>
      <w:tr w:rsidR="00C844EE" w:rsidRPr="00C844EE" w14:paraId="1D2CBFDF" w14:textId="77777777" w:rsidTr="00F169CF">
        <w:tc>
          <w:tcPr>
            <w:tcW w:w="14174" w:type="dxa"/>
            <w:gridSpan w:val="4"/>
          </w:tcPr>
          <w:p w14:paraId="17F4960A"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Vulnerable groups</w:t>
            </w:r>
          </w:p>
        </w:tc>
      </w:tr>
      <w:tr w:rsidR="00C844EE" w:rsidRPr="00C844EE" w14:paraId="5858E640" w14:textId="77777777" w:rsidTr="00F169CF">
        <w:tc>
          <w:tcPr>
            <w:tcW w:w="14174" w:type="dxa"/>
            <w:gridSpan w:val="4"/>
          </w:tcPr>
          <w:p w14:paraId="58C9975E"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MTP Objective: Gender equity in power and resource distribution, improved livelihoods for vulnerable groups, and a responsible, globally competitive and prosperous youth</w:t>
            </w:r>
          </w:p>
          <w:p w14:paraId="48C0C452" w14:textId="77777777" w:rsidR="00C844EE" w:rsidRPr="00C844EE" w:rsidRDefault="00C844EE" w:rsidP="007B5E57">
            <w:pPr>
              <w:numPr>
                <w:ilvl w:val="0"/>
                <w:numId w:val="30"/>
              </w:numPr>
              <w:tabs>
                <w:tab w:val="left" w:pos="180"/>
                <w:tab w:val="left" w:pos="900"/>
              </w:tabs>
              <w:ind w:left="180" w:hanging="180"/>
              <w:rPr>
                <w:rFonts w:ascii="Times New Roman" w:hAnsi="Times New Roman" w:cs="Times New Roman"/>
                <w:sz w:val="20"/>
                <w:szCs w:val="20"/>
              </w:rPr>
            </w:pPr>
            <w:r w:rsidRPr="00C844EE">
              <w:rPr>
                <w:rFonts w:ascii="Times New Roman" w:hAnsi="Times New Roman" w:cs="Times New Roman"/>
                <w:sz w:val="20"/>
                <w:szCs w:val="20"/>
              </w:rPr>
              <w:t>Increase opportunity</w:t>
            </w:r>
          </w:p>
          <w:p w14:paraId="26384918" w14:textId="77777777" w:rsidR="00C844EE" w:rsidRPr="00C844EE" w:rsidRDefault="00C844EE" w:rsidP="007B5E57">
            <w:pPr>
              <w:numPr>
                <w:ilvl w:val="0"/>
                <w:numId w:val="30"/>
              </w:numPr>
              <w:tabs>
                <w:tab w:val="left" w:pos="180"/>
                <w:tab w:val="left" w:pos="900"/>
              </w:tabs>
              <w:ind w:left="180" w:hanging="180"/>
              <w:rPr>
                <w:rFonts w:ascii="Times New Roman" w:hAnsi="Times New Roman" w:cs="Times New Roman"/>
                <w:sz w:val="20"/>
                <w:szCs w:val="20"/>
              </w:rPr>
            </w:pPr>
            <w:r w:rsidRPr="00C844EE">
              <w:rPr>
                <w:rFonts w:ascii="Times New Roman" w:hAnsi="Times New Roman" w:cs="Times New Roman"/>
                <w:sz w:val="20"/>
                <w:szCs w:val="20"/>
              </w:rPr>
              <w:t>Provide financial support to all vulnerable groups.</w:t>
            </w:r>
          </w:p>
        </w:tc>
      </w:tr>
      <w:tr w:rsidR="00C844EE" w:rsidRPr="00C844EE" w14:paraId="5F9AF268" w14:textId="77777777" w:rsidTr="00F169CF">
        <w:tc>
          <w:tcPr>
            <w:tcW w:w="14174" w:type="dxa"/>
            <w:gridSpan w:val="4"/>
          </w:tcPr>
          <w:p w14:paraId="6585F87E"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CPS Outcome: Establishing comprehensive scalable social protection mechanisms.                                                                                                                    ACHIEVED </w:t>
            </w:r>
          </w:p>
        </w:tc>
      </w:tr>
      <w:tr w:rsidR="00C844EE" w:rsidRPr="00C844EE" w14:paraId="757B7DF7" w14:textId="77777777" w:rsidTr="00F169CF">
        <w:tc>
          <w:tcPr>
            <w:tcW w:w="2802" w:type="dxa"/>
          </w:tcPr>
          <w:p w14:paraId="56526A8E" w14:textId="77777777" w:rsidR="00C844EE" w:rsidRPr="00C844EE" w:rsidRDefault="00C844EE" w:rsidP="007B5E57">
            <w:pPr>
              <w:pStyle w:val="ListParagraph"/>
              <w:numPr>
                <w:ilvl w:val="0"/>
                <w:numId w:val="33"/>
              </w:numPr>
              <w:autoSpaceDE w:val="0"/>
              <w:autoSpaceDN w:val="0"/>
              <w:adjustRightInd w:val="0"/>
              <w:ind w:left="177" w:hanging="177"/>
              <w:rPr>
                <w:rFonts w:ascii="Times New Roman" w:hAnsi="Times New Roman" w:cs="Times New Roman"/>
                <w:bCs/>
                <w:i/>
                <w:sz w:val="20"/>
                <w:szCs w:val="20"/>
              </w:rPr>
            </w:pPr>
            <w:r w:rsidRPr="00C844EE">
              <w:rPr>
                <w:rFonts w:ascii="Times New Roman" w:hAnsi="Times New Roman" w:cs="Times New Roman"/>
                <w:i/>
                <w:sz w:val="20"/>
                <w:szCs w:val="20"/>
              </w:rPr>
              <w:t>Interns employed or self-employed immediately after internship, and a year after internship completion rises</w:t>
            </w:r>
            <w:r w:rsidRPr="00C844EE">
              <w:rPr>
                <w:rFonts w:ascii="Times New Roman" w:hAnsi="Times New Roman" w:cs="Times New Roman"/>
                <w:sz w:val="20"/>
                <w:szCs w:val="20"/>
              </w:rPr>
              <w:t xml:space="preserve"> (per cent, to be disaggregated by gender).  Baseline (2010): 0, Target: 35% (2013).  Source: Project-specific surveys. </w:t>
            </w:r>
          </w:p>
          <w:p w14:paraId="32CE9D35" w14:textId="77777777" w:rsidR="00C844EE" w:rsidRPr="00C844EE" w:rsidRDefault="00C844EE" w:rsidP="00C844EE">
            <w:pPr>
              <w:pStyle w:val="ListParagraph"/>
              <w:autoSpaceDE w:val="0"/>
              <w:autoSpaceDN w:val="0"/>
              <w:adjustRightInd w:val="0"/>
              <w:ind w:left="177"/>
              <w:rPr>
                <w:rFonts w:ascii="Times New Roman" w:hAnsi="Times New Roman" w:cs="Times New Roman"/>
                <w:bCs/>
                <w:i/>
                <w:sz w:val="20"/>
                <w:szCs w:val="20"/>
              </w:rPr>
            </w:pPr>
          </w:p>
          <w:p w14:paraId="3B71C901" w14:textId="77777777" w:rsidR="00C844EE" w:rsidRPr="00C844EE" w:rsidRDefault="00C844EE" w:rsidP="007B5E57">
            <w:pPr>
              <w:pStyle w:val="ListParagraph"/>
              <w:numPr>
                <w:ilvl w:val="0"/>
                <w:numId w:val="33"/>
              </w:numPr>
              <w:autoSpaceDE w:val="0"/>
              <w:autoSpaceDN w:val="0"/>
              <w:adjustRightInd w:val="0"/>
              <w:ind w:left="177" w:hanging="177"/>
              <w:rPr>
                <w:rFonts w:ascii="Times New Roman" w:hAnsi="Times New Roman" w:cs="Times New Roman"/>
                <w:bCs/>
                <w:i/>
                <w:sz w:val="20"/>
                <w:szCs w:val="20"/>
              </w:rPr>
            </w:pPr>
            <w:r w:rsidRPr="00C844EE">
              <w:rPr>
                <w:rFonts w:ascii="Times New Roman" w:hAnsi="Times New Roman" w:cs="Times New Roman"/>
                <w:i/>
                <w:sz w:val="20"/>
                <w:szCs w:val="20"/>
              </w:rPr>
              <w:t>Beneficiary households receiving predictable cash transfers rises</w:t>
            </w:r>
            <w:r w:rsidRPr="00C844EE">
              <w:rPr>
                <w:rFonts w:ascii="Times New Roman" w:hAnsi="Times New Roman" w:cs="Times New Roman"/>
                <w:sz w:val="20"/>
                <w:szCs w:val="20"/>
              </w:rPr>
              <w:t xml:space="preserve"> </w:t>
            </w:r>
            <w:r w:rsidRPr="00C844EE">
              <w:rPr>
                <w:rFonts w:ascii="Times New Roman" w:hAnsi="Times New Roman" w:cs="Times New Roman"/>
                <w:i/>
                <w:sz w:val="20"/>
                <w:szCs w:val="20"/>
              </w:rPr>
              <w:t>under the Cash Transfer for OVC</w:t>
            </w:r>
            <w:r w:rsidRPr="00C844EE">
              <w:rPr>
                <w:rFonts w:ascii="Times New Roman" w:hAnsi="Times New Roman" w:cs="Times New Roman"/>
                <w:sz w:val="20"/>
                <w:szCs w:val="20"/>
              </w:rPr>
              <w:t xml:space="preserve"> (number).  Baseline (2009): 0, target (end- 2013): 50,000.  Source: OVC Project specific surveys. </w:t>
            </w:r>
          </w:p>
        </w:tc>
        <w:tc>
          <w:tcPr>
            <w:tcW w:w="3260" w:type="dxa"/>
          </w:tcPr>
          <w:p w14:paraId="17390189" w14:textId="77777777" w:rsidR="00C844EE" w:rsidRPr="00C844EE" w:rsidRDefault="00C844EE" w:rsidP="007B5E57">
            <w:pPr>
              <w:pStyle w:val="ListParagraph"/>
              <w:numPr>
                <w:ilvl w:val="0"/>
                <w:numId w:val="33"/>
              </w:numPr>
              <w:spacing w:before="100"/>
              <w:ind w:left="317" w:hanging="284"/>
              <w:rPr>
                <w:rFonts w:ascii="Times New Roman" w:hAnsi="Times New Roman" w:cs="Times New Roman"/>
                <w:sz w:val="20"/>
                <w:szCs w:val="20"/>
              </w:rPr>
            </w:pPr>
            <w:r w:rsidRPr="00C844EE">
              <w:rPr>
                <w:rFonts w:ascii="Times New Roman" w:hAnsi="Times New Roman" w:cs="Times New Roman"/>
                <w:b/>
                <w:sz w:val="20"/>
                <w:szCs w:val="20"/>
              </w:rPr>
              <w:t>Achieved.</w:t>
            </w:r>
            <w:r w:rsidRPr="00C844EE">
              <w:rPr>
                <w:rFonts w:ascii="Times New Roman" w:hAnsi="Times New Roman" w:cs="Times New Roman"/>
                <w:sz w:val="20"/>
                <w:szCs w:val="20"/>
              </w:rPr>
              <w:t xml:space="preserve"> 48.3</w:t>
            </w:r>
            <w:r w:rsidRPr="00C844EE" w:rsidDel="00D044F9">
              <w:rPr>
                <w:rFonts w:ascii="Times New Roman" w:hAnsi="Times New Roman" w:cs="Times New Roman"/>
                <w:sz w:val="20"/>
                <w:szCs w:val="20"/>
              </w:rPr>
              <w:t xml:space="preserve"> </w:t>
            </w:r>
            <w:r w:rsidRPr="00C844EE">
              <w:rPr>
                <w:rFonts w:ascii="Times New Roman" w:hAnsi="Times New Roman" w:cs="Times New Roman"/>
                <w:sz w:val="20"/>
                <w:szCs w:val="20"/>
              </w:rPr>
              <w:t>%, based on the Beneficiary Assessment on cycle 2 of which 41.5% female.</w:t>
            </w:r>
          </w:p>
          <w:p w14:paraId="00FC93E7" w14:textId="77777777" w:rsidR="00C844EE" w:rsidRPr="00C844EE" w:rsidRDefault="00C844EE" w:rsidP="00C844EE">
            <w:pPr>
              <w:pStyle w:val="ListParagraph"/>
              <w:spacing w:before="100"/>
              <w:ind w:left="317"/>
              <w:rPr>
                <w:rFonts w:ascii="Times New Roman" w:hAnsi="Times New Roman" w:cs="Times New Roman"/>
                <w:sz w:val="20"/>
                <w:szCs w:val="20"/>
              </w:rPr>
            </w:pPr>
          </w:p>
          <w:p w14:paraId="74C2C20E" w14:textId="77777777" w:rsidR="00C844EE" w:rsidRPr="00C844EE" w:rsidRDefault="00C844EE" w:rsidP="00C844EE">
            <w:pPr>
              <w:spacing w:before="100"/>
              <w:rPr>
                <w:rFonts w:ascii="Times New Roman" w:hAnsi="Times New Roman" w:cs="Times New Roman"/>
                <w:b/>
                <w:bCs/>
                <w:sz w:val="20"/>
                <w:szCs w:val="20"/>
              </w:rPr>
            </w:pPr>
          </w:p>
          <w:p w14:paraId="6E9B9BAE" w14:textId="77777777" w:rsidR="00C844EE" w:rsidRPr="00C844EE" w:rsidRDefault="00C844EE" w:rsidP="00C844EE">
            <w:pPr>
              <w:spacing w:before="100"/>
              <w:rPr>
                <w:rFonts w:ascii="Times New Roman" w:hAnsi="Times New Roman" w:cs="Times New Roman"/>
                <w:b/>
                <w:bCs/>
                <w:sz w:val="20"/>
                <w:szCs w:val="20"/>
              </w:rPr>
            </w:pPr>
          </w:p>
          <w:p w14:paraId="62B04CAF" w14:textId="77777777" w:rsidR="00C844EE" w:rsidRPr="00C844EE" w:rsidRDefault="00C844EE" w:rsidP="00C844EE">
            <w:pPr>
              <w:spacing w:before="100"/>
              <w:rPr>
                <w:rFonts w:ascii="Times New Roman" w:hAnsi="Times New Roman" w:cs="Times New Roman"/>
                <w:b/>
                <w:bCs/>
                <w:sz w:val="20"/>
                <w:szCs w:val="20"/>
              </w:rPr>
            </w:pPr>
          </w:p>
          <w:p w14:paraId="207AB3C3" w14:textId="77777777" w:rsidR="00C844EE" w:rsidRPr="00C844EE" w:rsidRDefault="00C844EE" w:rsidP="00C844EE">
            <w:pPr>
              <w:spacing w:before="100"/>
              <w:rPr>
                <w:rFonts w:ascii="Times New Roman" w:hAnsi="Times New Roman" w:cs="Times New Roman"/>
                <w:b/>
                <w:bCs/>
                <w:sz w:val="20"/>
                <w:szCs w:val="20"/>
              </w:rPr>
            </w:pPr>
          </w:p>
          <w:p w14:paraId="1E4EFFAE" w14:textId="77777777" w:rsidR="00C844EE" w:rsidRPr="00C844EE" w:rsidRDefault="00C844EE" w:rsidP="007B5E57">
            <w:pPr>
              <w:pStyle w:val="ListParagraph"/>
              <w:numPr>
                <w:ilvl w:val="0"/>
                <w:numId w:val="25"/>
              </w:numPr>
              <w:spacing w:before="100"/>
              <w:ind w:left="175" w:hanging="175"/>
              <w:rPr>
                <w:rFonts w:ascii="Times New Roman" w:hAnsi="Times New Roman" w:cs="Times New Roman"/>
                <w:b/>
                <w:bCs/>
                <w:sz w:val="20"/>
                <w:szCs w:val="20"/>
              </w:rPr>
            </w:pPr>
            <w:r w:rsidRPr="00C844EE">
              <w:rPr>
                <w:rFonts w:ascii="Times New Roman" w:hAnsi="Times New Roman" w:cs="Times New Roman"/>
                <w:b/>
                <w:sz w:val="20"/>
                <w:szCs w:val="20"/>
              </w:rPr>
              <w:t>Achieved</w:t>
            </w:r>
            <w:r w:rsidRPr="00C844EE">
              <w:rPr>
                <w:rFonts w:ascii="Times New Roman" w:hAnsi="Times New Roman" w:cs="Times New Roman"/>
                <w:sz w:val="20"/>
                <w:szCs w:val="20"/>
              </w:rPr>
              <w:t xml:space="preserve"> 56,000 financed by IDA (February 2013),</w:t>
            </w:r>
          </w:p>
        </w:tc>
        <w:tc>
          <w:tcPr>
            <w:tcW w:w="2835" w:type="dxa"/>
          </w:tcPr>
          <w:p w14:paraId="57B386C2"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Ongoing:</w:t>
            </w:r>
          </w:p>
          <w:p w14:paraId="1D45A46F" w14:textId="77777777" w:rsidR="00C844EE" w:rsidRPr="00C844EE" w:rsidRDefault="00C844EE" w:rsidP="00C844EE">
            <w:pPr>
              <w:ind w:right="-101"/>
              <w:rPr>
                <w:rFonts w:ascii="Times New Roman" w:hAnsi="Times New Roman" w:cs="Times New Roman"/>
                <w:sz w:val="20"/>
                <w:szCs w:val="20"/>
              </w:rPr>
            </w:pPr>
            <w:r w:rsidRPr="00C844EE">
              <w:rPr>
                <w:rFonts w:ascii="Times New Roman" w:hAnsi="Times New Roman" w:cs="Times New Roman"/>
                <w:sz w:val="20"/>
                <w:szCs w:val="20"/>
              </w:rPr>
              <w:t>Orphans and Vulnerable Children Cash Transfer Project (FY09), Youth Empowerment (FY10).</w:t>
            </w:r>
          </w:p>
          <w:p w14:paraId="13C1F5A4" w14:textId="77777777" w:rsidR="00C844EE" w:rsidRPr="00C844EE" w:rsidRDefault="00C844EE" w:rsidP="00C844EE">
            <w:pPr>
              <w:ind w:right="-101"/>
              <w:rPr>
                <w:rFonts w:ascii="Times New Roman" w:hAnsi="Times New Roman" w:cs="Times New Roman"/>
                <w:sz w:val="20"/>
                <w:szCs w:val="20"/>
              </w:rPr>
            </w:pPr>
            <w:r w:rsidRPr="00C844EE">
              <w:rPr>
                <w:rFonts w:ascii="Times New Roman" w:hAnsi="Times New Roman" w:cs="Times New Roman"/>
                <w:sz w:val="20"/>
                <w:szCs w:val="20"/>
              </w:rPr>
              <w:t>Integrated Social Protection Program (FY13)</w:t>
            </w:r>
          </w:p>
          <w:p w14:paraId="12F95AB7" w14:textId="77777777" w:rsidR="00C844EE" w:rsidRPr="00C844EE" w:rsidRDefault="00C844EE" w:rsidP="00C844EE">
            <w:pPr>
              <w:ind w:right="-101"/>
              <w:rPr>
                <w:rFonts w:ascii="Times New Roman" w:hAnsi="Times New Roman" w:cs="Times New Roman"/>
                <w:b/>
                <w:sz w:val="20"/>
                <w:szCs w:val="20"/>
              </w:rPr>
            </w:pPr>
            <w:r w:rsidRPr="00C844EE">
              <w:rPr>
                <w:rFonts w:ascii="Times New Roman" w:hAnsi="Times New Roman" w:cs="Times New Roman"/>
                <w:b/>
                <w:sz w:val="20"/>
                <w:szCs w:val="20"/>
              </w:rPr>
              <w:t>AAA:</w:t>
            </w:r>
          </w:p>
          <w:p w14:paraId="0319D28F" w14:textId="77777777" w:rsidR="00C844EE" w:rsidRPr="00C844EE" w:rsidRDefault="00C844EE" w:rsidP="00C844EE">
            <w:pPr>
              <w:ind w:right="-101"/>
              <w:rPr>
                <w:rFonts w:ascii="Times New Roman" w:hAnsi="Times New Roman" w:cs="Times New Roman"/>
                <w:sz w:val="20"/>
                <w:szCs w:val="20"/>
              </w:rPr>
            </w:pPr>
            <w:r w:rsidRPr="00C844EE">
              <w:rPr>
                <w:rFonts w:ascii="Times New Roman" w:hAnsi="Times New Roman" w:cs="Times New Roman"/>
                <w:sz w:val="20"/>
                <w:szCs w:val="20"/>
              </w:rPr>
              <w:t xml:space="preserve">Social Protection Sector Review (FY12), Building Social Protection Systems in Kenya (RSR grant for advisory activities) FY11-13).  </w:t>
            </w:r>
          </w:p>
        </w:tc>
        <w:tc>
          <w:tcPr>
            <w:tcW w:w="5277" w:type="dxa"/>
          </w:tcPr>
          <w:p w14:paraId="10AF74A5" w14:textId="77777777" w:rsidR="00C844EE" w:rsidRPr="00C844EE" w:rsidRDefault="00C844EE" w:rsidP="007B5E57">
            <w:pPr>
              <w:pStyle w:val="ListParagraph"/>
              <w:numPr>
                <w:ilvl w:val="0"/>
                <w:numId w:val="40"/>
              </w:numPr>
              <w:rPr>
                <w:rFonts w:ascii="Times New Roman" w:hAnsi="Times New Roman" w:cs="Times New Roman"/>
                <w:sz w:val="20"/>
                <w:szCs w:val="20"/>
              </w:rPr>
            </w:pPr>
            <w:r w:rsidRPr="00C844EE">
              <w:rPr>
                <w:rFonts w:ascii="Times New Roman" w:eastAsia="Times New Roman" w:hAnsi="Times New Roman" w:cs="Times New Roman"/>
                <w:b/>
                <w:i/>
                <w:sz w:val="20"/>
                <w:szCs w:val="20"/>
              </w:rPr>
              <w:t>Integration of AAA work.</w:t>
            </w:r>
            <w:r w:rsidRPr="00C844EE">
              <w:rPr>
                <w:rFonts w:ascii="Times New Roman" w:eastAsia="Times New Roman" w:hAnsi="Times New Roman" w:cs="Times New Roman"/>
                <w:sz w:val="20"/>
                <w:szCs w:val="20"/>
              </w:rPr>
              <w:t xml:space="preserve"> Overall the Bank’s AAA work in SP in Kenya can be considered best practice. This was in part the result of a Bank-wide investment in the 2012-2022 SP Strategy and Africa SP Strategy 2012-2022 which was reflected in sustained work across the Africa region and also in Kenya. It meant the Bank was able to demonstrate that social protection is a powerful way to fight poverty and promote growth and social protection is affordable in low-income countries despite tight budget.  </w:t>
            </w:r>
          </w:p>
          <w:p w14:paraId="361A965E" w14:textId="77777777" w:rsidR="00C844EE" w:rsidRPr="00C844EE" w:rsidRDefault="00C844EE" w:rsidP="007B5E57">
            <w:pPr>
              <w:pStyle w:val="ListParagraph"/>
              <w:numPr>
                <w:ilvl w:val="0"/>
                <w:numId w:val="40"/>
              </w:numPr>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Multiple safety net initiatives.</w:t>
            </w:r>
            <w:r w:rsidRPr="00C844EE">
              <w:rPr>
                <w:rFonts w:ascii="Times New Roman" w:eastAsia="Times New Roman" w:hAnsi="Times New Roman" w:cs="Times New Roman"/>
                <w:sz w:val="20"/>
                <w:szCs w:val="20"/>
              </w:rPr>
              <w:t xml:space="preserve"> There are still too many cash transfer and safety net initiatives across Government and implementation capacity is still very weak in hindsight it would have been better if the Bank could have helped to consolidate more of these and invested in building capacity. In fact the Bank needed to first understand the situation. Building capacity will be a key objective of the Additional Financing currently being sought for the OVC transfer project as well as the new P4R program. </w:t>
            </w:r>
          </w:p>
          <w:p w14:paraId="20D04112" w14:textId="77777777" w:rsidR="00C844EE" w:rsidRDefault="00C844EE" w:rsidP="00C844EE">
            <w:pPr>
              <w:rPr>
                <w:rFonts w:ascii="Times New Roman" w:hAnsi="Times New Roman" w:cs="Times New Roman"/>
                <w:sz w:val="20"/>
                <w:szCs w:val="20"/>
              </w:rPr>
            </w:pPr>
          </w:p>
          <w:p w14:paraId="35075603" w14:textId="77777777" w:rsidR="00A957A8" w:rsidRPr="00C844EE" w:rsidRDefault="00A957A8" w:rsidP="00C844EE">
            <w:pPr>
              <w:rPr>
                <w:rFonts w:ascii="Times New Roman" w:hAnsi="Times New Roman" w:cs="Times New Roman"/>
                <w:sz w:val="20"/>
                <w:szCs w:val="20"/>
              </w:rPr>
            </w:pPr>
          </w:p>
        </w:tc>
      </w:tr>
      <w:tr w:rsidR="00C844EE" w:rsidRPr="00C844EE" w14:paraId="1162C8BC" w14:textId="77777777" w:rsidTr="00F169CF">
        <w:tc>
          <w:tcPr>
            <w:tcW w:w="14174" w:type="dxa"/>
            <w:gridSpan w:val="4"/>
          </w:tcPr>
          <w:p w14:paraId="1D9C5482"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Environment</w:t>
            </w:r>
          </w:p>
        </w:tc>
      </w:tr>
      <w:tr w:rsidR="00C844EE" w:rsidRPr="00C844EE" w14:paraId="3101693C" w14:textId="77777777" w:rsidTr="00F169CF">
        <w:tc>
          <w:tcPr>
            <w:tcW w:w="14174" w:type="dxa"/>
            <w:gridSpan w:val="4"/>
          </w:tcPr>
          <w:p w14:paraId="15BB8F0B"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MTP Objective: Enhancing access to clean, secure, and sustainable environment, water and sanitation</w:t>
            </w:r>
          </w:p>
          <w:p w14:paraId="576B5C0E" w14:textId="77777777" w:rsidR="00C844EE" w:rsidRPr="00C844EE" w:rsidRDefault="00C844EE" w:rsidP="007B5E57">
            <w:pPr>
              <w:numPr>
                <w:ilvl w:val="0"/>
                <w:numId w:val="26"/>
              </w:numPr>
              <w:tabs>
                <w:tab w:val="clear" w:pos="450"/>
                <w:tab w:val="num" w:pos="180"/>
                <w:tab w:val="num" w:pos="720"/>
              </w:tabs>
              <w:ind w:left="180" w:hanging="180"/>
              <w:rPr>
                <w:rFonts w:ascii="Times New Roman" w:hAnsi="Times New Roman" w:cs="Times New Roman"/>
                <w:sz w:val="20"/>
                <w:szCs w:val="20"/>
              </w:rPr>
            </w:pPr>
            <w:r w:rsidRPr="00C844EE">
              <w:rPr>
                <w:rFonts w:ascii="Times New Roman" w:hAnsi="Times New Roman" w:cs="Times New Roman"/>
                <w:sz w:val="20"/>
                <w:szCs w:val="20"/>
              </w:rPr>
              <w:t>Increase fresh water availability and establish a monitoring program for water</w:t>
            </w:r>
          </w:p>
          <w:p w14:paraId="4CB774BB" w14:textId="77777777" w:rsidR="00C844EE" w:rsidRPr="00C844EE" w:rsidRDefault="00C844EE" w:rsidP="007B5E57">
            <w:pPr>
              <w:numPr>
                <w:ilvl w:val="0"/>
                <w:numId w:val="26"/>
              </w:numPr>
              <w:tabs>
                <w:tab w:val="clear" w:pos="450"/>
                <w:tab w:val="num" w:pos="180"/>
                <w:tab w:val="num" w:pos="720"/>
              </w:tabs>
              <w:ind w:left="180" w:hanging="180"/>
              <w:rPr>
                <w:rFonts w:ascii="Times New Roman" w:hAnsi="Times New Roman" w:cs="Times New Roman"/>
                <w:sz w:val="20"/>
                <w:szCs w:val="20"/>
              </w:rPr>
            </w:pPr>
            <w:r w:rsidRPr="00C844EE">
              <w:rPr>
                <w:rFonts w:ascii="Times New Roman" w:hAnsi="Times New Roman" w:cs="Times New Roman"/>
                <w:sz w:val="20"/>
                <w:szCs w:val="20"/>
              </w:rPr>
              <w:t>Improve water storage capacity</w:t>
            </w:r>
          </w:p>
          <w:p w14:paraId="3505F623" w14:textId="77777777" w:rsidR="00C844EE" w:rsidRPr="00C844EE" w:rsidRDefault="00C844EE" w:rsidP="007B5E57">
            <w:pPr>
              <w:numPr>
                <w:ilvl w:val="0"/>
                <w:numId w:val="26"/>
              </w:numPr>
              <w:tabs>
                <w:tab w:val="clear" w:pos="450"/>
                <w:tab w:val="num" w:pos="180"/>
                <w:tab w:val="num" w:pos="720"/>
              </w:tabs>
              <w:ind w:left="180" w:hanging="180"/>
              <w:rPr>
                <w:rFonts w:ascii="Times New Roman" w:hAnsi="Times New Roman" w:cs="Times New Roman"/>
                <w:bCs/>
                <w:sz w:val="20"/>
                <w:szCs w:val="20"/>
              </w:rPr>
            </w:pPr>
            <w:r w:rsidRPr="00C844EE">
              <w:rPr>
                <w:rFonts w:ascii="Times New Roman" w:hAnsi="Times New Roman" w:cs="Times New Roman"/>
                <w:bCs/>
                <w:sz w:val="20"/>
                <w:szCs w:val="20"/>
              </w:rPr>
              <w:t>Conserve strategic natural resources in a sustainable manner without compromising economic growth</w:t>
            </w:r>
          </w:p>
          <w:p w14:paraId="40C06C24" w14:textId="77777777" w:rsidR="00C844EE" w:rsidRPr="00C844EE" w:rsidRDefault="00C844EE" w:rsidP="007B5E57">
            <w:pPr>
              <w:numPr>
                <w:ilvl w:val="0"/>
                <w:numId w:val="26"/>
              </w:numPr>
              <w:tabs>
                <w:tab w:val="clear" w:pos="450"/>
                <w:tab w:val="num" w:pos="180"/>
                <w:tab w:val="num" w:pos="720"/>
              </w:tabs>
              <w:ind w:left="180" w:hanging="180"/>
              <w:rPr>
                <w:rFonts w:ascii="Times New Roman" w:hAnsi="Times New Roman" w:cs="Times New Roman"/>
                <w:bCs/>
                <w:sz w:val="20"/>
                <w:szCs w:val="20"/>
              </w:rPr>
            </w:pPr>
            <w:r w:rsidRPr="00C844EE">
              <w:rPr>
                <w:rFonts w:ascii="Times New Roman" w:hAnsi="Times New Roman" w:cs="Times New Roman"/>
                <w:bCs/>
                <w:sz w:val="20"/>
                <w:szCs w:val="20"/>
              </w:rPr>
              <w:t>Map ASAL and high risk disaster zones.</w:t>
            </w:r>
          </w:p>
        </w:tc>
      </w:tr>
      <w:tr w:rsidR="00C844EE" w:rsidRPr="00C844EE" w14:paraId="0B28F031" w14:textId="77777777" w:rsidTr="00F169CF">
        <w:tc>
          <w:tcPr>
            <w:tcW w:w="14174" w:type="dxa"/>
            <w:gridSpan w:val="4"/>
          </w:tcPr>
          <w:p w14:paraId="1E2EF991"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CPS Outcome: Improved management of key natural resources and adapting to climate change                                                                                              ACHIEVED                                                                                              </w:t>
            </w:r>
          </w:p>
        </w:tc>
      </w:tr>
      <w:tr w:rsidR="00C844EE" w:rsidRPr="00C844EE" w14:paraId="7BFFF51F" w14:textId="77777777" w:rsidTr="00F169CF">
        <w:tc>
          <w:tcPr>
            <w:tcW w:w="2802" w:type="dxa"/>
          </w:tcPr>
          <w:p w14:paraId="3C934A56" w14:textId="77777777" w:rsidR="00C844EE" w:rsidRPr="00C844EE" w:rsidRDefault="00C844EE" w:rsidP="007B5E57">
            <w:pPr>
              <w:pStyle w:val="ListParagraph"/>
              <w:numPr>
                <w:ilvl w:val="0"/>
                <w:numId w:val="25"/>
              </w:numPr>
              <w:autoSpaceDE w:val="0"/>
              <w:autoSpaceDN w:val="0"/>
              <w:adjustRightInd w:val="0"/>
              <w:ind w:left="142" w:hanging="142"/>
              <w:rPr>
                <w:rFonts w:ascii="Times New Roman" w:hAnsi="Times New Roman" w:cs="Times New Roman"/>
                <w:i/>
                <w:sz w:val="20"/>
                <w:szCs w:val="20"/>
              </w:rPr>
            </w:pPr>
            <w:r w:rsidRPr="00C844EE">
              <w:rPr>
                <w:rFonts w:ascii="Times New Roman" w:hAnsi="Times New Roman" w:cs="Times New Roman"/>
                <w:i/>
                <w:sz w:val="20"/>
                <w:szCs w:val="20"/>
              </w:rPr>
              <w:t>Area of forests managed according to approved plans rises</w:t>
            </w:r>
            <w:r w:rsidRPr="00C844EE">
              <w:rPr>
                <w:rFonts w:ascii="Times New Roman" w:hAnsi="Times New Roman" w:cs="Times New Roman"/>
                <w:sz w:val="20"/>
                <w:szCs w:val="20"/>
              </w:rPr>
              <w:t>.  Baseline (end 2009): 21,000 hectares, target (</w:t>
            </w:r>
            <w:r w:rsidRPr="00C844EE">
              <w:rPr>
                <w:rFonts w:ascii="Times New Roman" w:hAnsi="Times New Roman" w:cs="Times New Roman"/>
                <w:color w:val="000000" w:themeColor="text1"/>
                <w:sz w:val="20"/>
                <w:szCs w:val="20"/>
              </w:rPr>
              <w:t>2013)</w:t>
            </w:r>
            <w:r w:rsidRPr="00C844EE">
              <w:rPr>
                <w:rFonts w:ascii="Times New Roman" w:hAnsi="Times New Roman" w:cs="Times New Roman"/>
                <w:sz w:val="20"/>
                <w:szCs w:val="20"/>
              </w:rPr>
              <w:t xml:space="preserve">: 300,000 hectares.  Source: NRM Project surveys.  </w:t>
            </w:r>
          </w:p>
        </w:tc>
        <w:tc>
          <w:tcPr>
            <w:tcW w:w="3260" w:type="dxa"/>
          </w:tcPr>
          <w:p w14:paraId="7997AA78" w14:textId="77777777" w:rsidR="00C844EE" w:rsidRPr="00C844EE" w:rsidRDefault="00C844EE" w:rsidP="007B5E57">
            <w:pPr>
              <w:pStyle w:val="ListParagraph"/>
              <w:numPr>
                <w:ilvl w:val="0"/>
                <w:numId w:val="25"/>
              </w:numPr>
              <w:autoSpaceDE w:val="0"/>
              <w:autoSpaceDN w:val="0"/>
              <w:adjustRightInd w:val="0"/>
              <w:ind w:left="175" w:hanging="175"/>
              <w:rPr>
                <w:rFonts w:ascii="Times New Roman" w:hAnsi="Times New Roman" w:cs="Times New Roman"/>
                <w:b/>
                <w:color w:val="FF0000"/>
                <w:sz w:val="20"/>
                <w:szCs w:val="20"/>
              </w:rPr>
            </w:pPr>
            <w:r w:rsidRPr="00C844EE">
              <w:rPr>
                <w:rFonts w:ascii="Times New Roman" w:hAnsi="Times New Roman" w:cs="Times New Roman"/>
                <w:b/>
                <w:sz w:val="20"/>
                <w:szCs w:val="20"/>
              </w:rPr>
              <w:t>Achieved</w:t>
            </w:r>
            <w:r w:rsidRPr="00C844EE">
              <w:rPr>
                <w:rFonts w:ascii="Times New Roman" w:hAnsi="Times New Roman" w:cs="Times New Roman"/>
                <w:b/>
                <w:color w:val="FF0000"/>
                <w:sz w:val="20"/>
                <w:szCs w:val="20"/>
              </w:rPr>
              <w:t xml:space="preserve">. </w:t>
            </w:r>
            <w:r w:rsidRPr="00C844EE">
              <w:rPr>
                <w:rFonts w:ascii="Times New Roman" w:hAnsi="Times New Roman" w:cs="Times New Roman"/>
                <w:sz w:val="20"/>
                <w:szCs w:val="20"/>
              </w:rPr>
              <w:t xml:space="preserve">320,000 ha in June 2013 More awareness on participatory forest management has been conducted, with support for development of participatory forest management plans, one in Nyeri and another in Mt Elgon forest zones. </w:t>
            </w:r>
          </w:p>
        </w:tc>
        <w:tc>
          <w:tcPr>
            <w:tcW w:w="2835" w:type="dxa"/>
          </w:tcPr>
          <w:p w14:paraId="4A73A6A5"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Ongoing:</w:t>
            </w:r>
            <w:r w:rsidRPr="00C844EE">
              <w:rPr>
                <w:rFonts w:ascii="Times New Roman" w:hAnsi="Times New Roman" w:cs="Times New Roman"/>
                <w:sz w:val="20"/>
                <w:szCs w:val="20"/>
              </w:rPr>
              <w:t xml:space="preserve"> GEF Adaptation to Climate Change in Arid Lands, WKCDD (FY07), Natural Resources Management Project (FY07), Lake Victoria Environmental Management Phase II (Regional FY09); Coastal Development Project (FY11). </w:t>
            </w:r>
          </w:p>
          <w:p w14:paraId="51CCD4E4" w14:textId="77777777" w:rsidR="00C844EE" w:rsidRPr="00C844EE" w:rsidRDefault="00C844EE" w:rsidP="00C844EE">
            <w:pPr>
              <w:rPr>
                <w:rFonts w:ascii="Times New Roman" w:hAnsi="Times New Roman" w:cs="Times New Roman"/>
                <w:sz w:val="20"/>
                <w:szCs w:val="20"/>
              </w:rPr>
            </w:pPr>
          </w:p>
          <w:p w14:paraId="3A101D93" w14:textId="77777777" w:rsidR="00C844EE" w:rsidRPr="00C844EE" w:rsidRDefault="00C844EE" w:rsidP="00C844EE">
            <w:pPr>
              <w:ind w:right="-101"/>
              <w:rPr>
                <w:rFonts w:ascii="Times New Roman" w:hAnsi="Times New Roman" w:cs="Times New Roman"/>
                <w:b/>
                <w:sz w:val="20"/>
                <w:szCs w:val="20"/>
              </w:rPr>
            </w:pPr>
          </w:p>
        </w:tc>
        <w:tc>
          <w:tcPr>
            <w:tcW w:w="5277" w:type="dxa"/>
          </w:tcPr>
          <w:p w14:paraId="174B55B7"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b/>
                <w:i/>
                <w:sz w:val="20"/>
                <w:szCs w:val="20"/>
              </w:rPr>
              <w:t>Balancing short term and longer term priorities.</w:t>
            </w:r>
            <w:r w:rsidRPr="00C844EE">
              <w:rPr>
                <w:rFonts w:ascii="Times New Roman" w:hAnsi="Times New Roman" w:cs="Times New Roman"/>
                <w:sz w:val="20"/>
                <w:szCs w:val="20"/>
              </w:rPr>
              <w:t xml:space="preserve"> Need to include robust components that facilitate sustainable asset creation/income improvements and long-term out-migration from fragile areas, and these components should not become victim to ‘unanticipated’ severe droughts.</w:t>
            </w:r>
          </w:p>
          <w:p w14:paraId="402401A2"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b/>
                <w:i/>
                <w:sz w:val="20"/>
                <w:szCs w:val="20"/>
              </w:rPr>
              <w:t>Social conflict and climate change.</w:t>
            </w:r>
            <w:r w:rsidRPr="00C844EE">
              <w:rPr>
                <w:rFonts w:ascii="Times New Roman" w:hAnsi="Times New Roman" w:cs="Times New Roman"/>
                <w:sz w:val="20"/>
                <w:szCs w:val="20"/>
              </w:rPr>
              <w:t xml:space="preserve"> Addressing conflicts over natural resources needs to be an integral part of projects in fragile locations that are experiencing in-migration and/or are over-populated (in relation to the resource base) and subject to increasingly adverse climate change impacts.</w:t>
            </w:r>
          </w:p>
          <w:p w14:paraId="405F6783" w14:textId="77777777" w:rsidR="00C844EE" w:rsidRPr="00C844EE" w:rsidRDefault="00C844EE" w:rsidP="007B5E57">
            <w:pPr>
              <w:pStyle w:val="ListParagraph"/>
              <w:numPr>
                <w:ilvl w:val="0"/>
                <w:numId w:val="25"/>
              </w:numPr>
              <w:rPr>
                <w:rFonts w:ascii="Times New Roman" w:hAnsi="Times New Roman" w:cs="Times New Roman"/>
                <w:sz w:val="20"/>
                <w:szCs w:val="20"/>
              </w:rPr>
            </w:pPr>
            <w:r w:rsidRPr="00C844EE">
              <w:rPr>
                <w:rFonts w:ascii="Times New Roman" w:hAnsi="Times New Roman" w:cs="Times New Roman"/>
                <w:sz w:val="20"/>
                <w:szCs w:val="20"/>
              </w:rPr>
              <w:t>Because forest health is intimately related to water security and climate resilience in Kenya, as well as irrigated agriculture, there is a need to strengthen the Bank portfolio by taking into consideration the trade-offs and mutual benefits of larger multisector landscape approaches such as watershed mgt.</w:t>
            </w:r>
          </w:p>
          <w:p w14:paraId="3F460378" w14:textId="77777777" w:rsidR="00C844EE" w:rsidRPr="00C844EE" w:rsidRDefault="00C844EE" w:rsidP="00C844EE">
            <w:pPr>
              <w:rPr>
                <w:rFonts w:ascii="Times New Roman" w:hAnsi="Times New Roman" w:cs="Times New Roman"/>
                <w:sz w:val="20"/>
                <w:szCs w:val="20"/>
              </w:rPr>
            </w:pPr>
          </w:p>
        </w:tc>
      </w:tr>
      <w:tr w:rsidR="00C844EE" w:rsidRPr="00C844EE" w14:paraId="2D0C1E7F" w14:textId="77777777" w:rsidTr="00F169CF">
        <w:tc>
          <w:tcPr>
            <w:tcW w:w="14174" w:type="dxa"/>
            <w:gridSpan w:val="4"/>
          </w:tcPr>
          <w:p w14:paraId="256BA0FF"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PILLAR 3: INCREASING TRANSPARENCY AND ACCOUNTABILITY                                                                                                                        NOT ACHIEVED</w:t>
            </w:r>
          </w:p>
        </w:tc>
      </w:tr>
      <w:tr w:rsidR="00C844EE" w:rsidRPr="00C844EE" w14:paraId="5F3368E7" w14:textId="77777777" w:rsidTr="00F169CF">
        <w:tc>
          <w:tcPr>
            <w:tcW w:w="14174" w:type="dxa"/>
            <w:gridSpan w:val="4"/>
          </w:tcPr>
          <w:p w14:paraId="44FAA908"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Public sector governance</w:t>
            </w:r>
          </w:p>
        </w:tc>
      </w:tr>
      <w:tr w:rsidR="00C844EE" w:rsidRPr="00C844EE" w14:paraId="124BB468" w14:textId="77777777" w:rsidTr="00F169CF">
        <w:tc>
          <w:tcPr>
            <w:tcW w:w="14174" w:type="dxa"/>
            <w:gridSpan w:val="4"/>
          </w:tcPr>
          <w:p w14:paraId="524C4D51" w14:textId="77777777" w:rsidR="00C844EE" w:rsidRPr="00C844EE" w:rsidRDefault="00C844EE" w:rsidP="00C844EE">
            <w:pPr>
              <w:contextualSpacing/>
              <w:rPr>
                <w:rFonts w:ascii="Times New Roman" w:hAnsi="Times New Roman" w:cs="Times New Roman"/>
                <w:b/>
                <w:sz w:val="20"/>
                <w:szCs w:val="20"/>
              </w:rPr>
            </w:pPr>
            <w:r w:rsidRPr="00C844EE">
              <w:rPr>
                <w:rFonts w:ascii="Times New Roman" w:hAnsi="Times New Roman" w:cs="Times New Roman"/>
                <w:b/>
                <w:sz w:val="20"/>
                <w:szCs w:val="20"/>
              </w:rPr>
              <w:t>MTP Objective: A citizen-focused and results-oriented institution</w:t>
            </w:r>
          </w:p>
          <w:p w14:paraId="543F0FBD" w14:textId="77777777" w:rsidR="00C844EE" w:rsidRPr="00C844EE" w:rsidRDefault="00C844EE" w:rsidP="007B5E57">
            <w:pPr>
              <w:numPr>
                <w:ilvl w:val="0"/>
                <w:numId w:val="24"/>
              </w:numPr>
              <w:contextualSpacing/>
              <w:rPr>
                <w:rFonts w:ascii="Times New Roman" w:hAnsi="Times New Roman" w:cs="Times New Roman"/>
                <w:sz w:val="20"/>
                <w:szCs w:val="20"/>
              </w:rPr>
            </w:pPr>
            <w:r w:rsidRPr="00C844EE">
              <w:rPr>
                <w:rFonts w:ascii="Times New Roman" w:hAnsi="Times New Roman" w:cs="Times New Roman"/>
                <w:sz w:val="20"/>
                <w:szCs w:val="20"/>
              </w:rPr>
              <w:t>Promote transparency, accountability, participation, and the rule of law.</w:t>
            </w:r>
          </w:p>
        </w:tc>
      </w:tr>
      <w:tr w:rsidR="00C844EE" w:rsidRPr="00C844EE" w14:paraId="3733AFDF" w14:textId="77777777" w:rsidTr="00F169CF">
        <w:tc>
          <w:tcPr>
            <w:tcW w:w="14174" w:type="dxa"/>
            <w:gridSpan w:val="4"/>
          </w:tcPr>
          <w:p w14:paraId="7D54BF16"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t xml:space="preserve">CPS Outcome: Improved Transparency and Accountability.                                                                                                                                                NOT ACHIEVED                                                                                                                                                               </w:t>
            </w:r>
          </w:p>
        </w:tc>
      </w:tr>
      <w:tr w:rsidR="00C844EE" w:rsidRPr="00C844EE" w14:paraId="0D331076" w14:textId="77777777" w:rsidTr="00F169CF">
        <w:tc>
          <w:tcPr>
            <w:tcW w:w="2802" w:type="dxa"/>
          </w:tcPr>
          <w:p w14:paraId="54EEC1AC" w14:textId="77777777" w:rsidR="00C844EE" w:rsidRPr="00C844EE" w:rsidRDefault="00C844EE" w:rsidP="007B5E57">
            <w:pPr>
              <w:numPr>
                <w:ilvl w:val="0"/>
                <w:numId w:val="34"/>
              </w:numPr>
              <w:ind w:left="234" w:hanging="234"/>
              <w:rPr>
                <w:rFonts w:ascii="Times New Roman" w:hAnsi="Times New Roman" w:cs="Times New Roman"/>
                <w:bCs/>
                <w:sz w:val="20"/>
                <w:szCs w:val="20"/>
              </w:rPr>
            </w:pPr>
            <w:r w:rsidRPr="00C844EE">
              <w:rPr>
                <w:rFonts w:ascii="Times New Roman" w:hAnsi="Times New Roman" w:cs="Times New Roman"/>
                <w:bCs/>
                <w:i/>
                <w:sz w:val="20"/>
                <w:szCs w:val="20"/>
              </w:rPr>
              <w:t xml:space="preserve">Financial statements prepared on time in </w:t>
            </w:r>
            <w:r w:rsidRPr="00C844EE">
              <w:rPr>
                <w:rFonts w:ascii="Times New Roman" w:hAnsi="Times New Roman" w:cs="Times New Roman"/>
                <w:bCs/>
                <w:i/>
                <w:sz w:val="20"/>
                <w:szCs w:val="20"/>
              </w:rPr>
              <w:lastRenderedPageBreak/>
              <w:t>accordance with acceptable accounting standards through IFMIS (central government) and LAIFOMS (local government</w:t>
            </w:r>
            <w:r w:rsidRPr="00C844EE">
              <w:rPr>
                <w:rFonts w:ascii="Times New Roman" w:hAnsi="Times New Roman" w:cs="Times New Roman"/>
                <w:bCs/>
                <w:sz w:val="20"/>
                <w:szCs w:val="20"/>
              </w:rPr>
              <w:t>).  Central baseline (2005): 0.  TARGET: 3-4 months</w:t>
            </w:r>
            <w:r w:rsidRPr="00C844EE">
              <w:rPr>
                <w:rFonts w:ascii="Times New Roman" w:hAnsi="Times New Roman" w:cs="Times New Roman"/>
                <w:bCs/>
                <w:color w:val="FF0000"/>
                <w:sz w:val="20"/>
                <w:szCs w:val="20"/>
              </w:rPr>
              <w:t xml:space="preserve">. </w:t>
            </w:r>
            <w:r w:rsidRPr="00C844EE">
              <w:rPr>
                <w:rFonts w:ascii="Times New Roman" w:hAnsi="Times New Roman" w:cs="Times New Roman"/>
                <w:bCs/>
                <w:sz w:val="20"/>
                <w:szCs w:val="20"/>
              </w:rPr>
              <w:t>Source: Institutional Reform Capacity Building Project reports.  Municipal baseline (2009): 0 Target (2013): 6.  Source: Municipal Program reports). ICT Project reports and IFIMIS Newsletter.</w:t>
            </w:r>
          </w:p>
          <w:p w14:paraId="6688BE25" w14:textId="77777777" w:rsidR="00C844EE" w:rsidRPr="00C844EE" w:rsidRDefault="00C844EE" w:rsidP="00C844EE">
            <w:pPr>
              <w:tabs>
                <w:tab w:val="num" w:pos="720"/>
              </w:tabs>
              <w:spacing w:before="100"/>
              <w:ind w:right="-101"/>
              <w:rPr>
                <w:rFonts w:ascii="Times New Roman" w:hAnsi="Times New Roman" w:cs="Times New Roman"/>
                <w:bCs/>
                <w:i/>
                <w:sz w:val="20"/>
                <w:szCs w:val="20"/>
              </w:rPr>
            </w:pPr>
          </w:p>
          <w:p w14:paraId="26F38967" w14:textId="77777777" w:rsidR="00C844EE" w:rsidRPr="00C844EE" w:rsidRDefault="00C844EE" w:rsidP="00C844EE">
            <w:pPr>
              <w:tabs>
                <w:tab w:val="num" w:pos="720"/>
              </w:tabs>
              <w:spacing w:before="100"/>
              <w:ind w:right="-101"/>
              <w:rPr>
                <w:rFonts w:ascii="Times New Roman" w:hAnsi="Times New Roman" w:cs="Times New Roman"/>
                <w:bCs/>
                <w:i/>
                <w:sz w:val="20"/>
                <w:szCs w:val="20"/>
              </w:rPr>
            </w:pPr>
          </w:p>
          <w:p w14:paraId="67EB06D6" w14:textId="77777777" w:rsidR="00C844EE" w:rsidRPr="00C844EE" w:rsidRDefault="00C844EE" w:rsidP="00C844EE">
            <w:pPr>
              <w:tabs>
                <w:tab w:val="num" w:pos="720"/>
              </w:tabs>
              <w:spacing w:before="100"/>
              <w:ind w:right="-101"/>
              <w:rPr>
                <w:rFonts w:ascii="Times New Roman" w:hAnsi="Times New Roman" w:cs="Times New Roman"/>
                <w:bCs/>
                <w:i/>
                <w:sz w:val="20"/>
                <w:szCs w:val="20"/>
              </w:rPr>
            </w:pPr>
          </w:p>
          <w:p w14:paraId="3E723874" w14:textId="77777777" w:rsidR="00C844EE" w:rsidRPr="00C844EE" w:rsidRDefault="00C844EE" w:rsidP="00C844EE">
            <w:pPr>
              <w:tabs>
                <w:tab w:val="num" w:pos="720"/>
              </w:tabs>
              <w:spacing w:before="100"/>
              <w:ind w:right="-101"/>
              <w:rPr>
                <w:rFonts w:ascii="Times New Roman" w:hAnsi="Times New Roman" w:cs="Times New Roman"/>
                <w:bCs/>
                <w:sz w:val="20"/>
                <w:szCs w:val="20"/>
              </w:rPr>
            </w:pPr>
          </w:p>
          <w:p w14:paraId="3EEC8585" w14:textId="77777777" w:rsidR="00C844EE" w:rsidRPr="00C844EE" w:rsidRDefault="00C844EE" w:rsidP="00C844EE">
            <w:pPr>
              <w:tabs>
                <w:tab w:val="num" w:pos="720"/>
              </w:tabs>
              <w:spacing w:before="100"/>
              <w:ind w:right="-101"/>
              <w:rPr>
                <w:rFonts w:ascii="Times New Roman" w:hAnsi="Times New Roman" w:cs="Times New Roman"/>
                <w:bCs/>
                <w:sz w:val="20"/>
                <w:szCs w:val="20"/>
              </w:rPr>
            </w:pPr>
          </w:p>
          <w:p w14:paraId="12CB0ED2" w14:textId="77777777" w:rsidR="00C844EE" w:rsidRPr="00C844EE" w:rsidRDefault="00C844EE" w:rsidP="007B5E57">
            <w:pPr>
              <w:pStyle w:val="ListParagraph"/>
              <w:numPr>
                <w:ilvl w:val="0"/>
                <w:numId w:val="25"/>
              </w:numPr>
              <w:tabs>
                <w:tab w:val="num" w:pos="720"/>
              </w:tabs>
              <w:spacing w:before="100"/>
              <w:ind w:left="142" w:hanging="142"/>
              <w:rPr>
                <w:rFonts w:ascii="Times New Roman" w:hAnsi="Times New Roman" w:cs="Times New Roman"/>
                <w:bCs/>
                <w:i/>
                <w:sz w:val="20"/>
                <w:szCs w:val="20"/>
              </w:rPr>
            </w:pPr>
            <w:r w:rsidRPr="00C844EE">
              <w:rPr>
                <w:rFonts w:ascii="Times New Roman" w:hAnsi="Times New Roman" w:cs="Times New Roman"/>
                <w:bCs/>
                <w:i/>
                <w:sz w:val="20"/>
                <w:szCs w:val="20"/>
              </w:rPr>
              <w:t>PEFA scores of A/B rise. Baseline (2008): 12 of 28, target (2013): 15 of 28.</w:t>
            </w:r>
          </w:p>
          <w:p w14:paraId="1304370E" w14:textId="77777777" w:rsidR="00C844EE" w:rsidRPr="00C844EE" w:rsidRDefault="00C844EE" w:rsidP="00C844EE">
            <w:pPr>
              <w:tabs>
                <w:tab w:val="num" w:pos="720"/>
              </w:tabs>
              <w:spacing w:before="100"/>
              <w:ind w:right="-101"/>
              <w:rPr>
                <w:rFonts w:ascii="Times New Roman" w:hAnsi="Times New Roman" w:cs="Times New Roman"/>
                <w:bCs/>
                <w:i/>
                <w:sz w:val="20"/>
                <w:szCs w:val="20"/>
              </w:rPr>
            </w:pPr>
          </w:p>
          <w:p w14:paraId="23C0C05F" w14:textId="77777777" w:rsidR="00C844EE" w:rsidRPr="00C844EE" w:rsidRDefault="00C844EE" w:rsidP="007B5E57">
            <w:pPr>
              <w:numPr>
                <w:ilvl w:val="0"/>
                <w:numId w:val="34"/>
              </w:numPr>
              <w:ind w:left="234" w:hanging="234"/>
              <w:rPr>
                <w:rFonts w:ascii="Times New Roman" w:hAnsi="Times New Roman" w:cs="Times New Roman"/>
                <w:bCs/>
                <w:i/>
                <w:sz w:val="20"/>
                <w:szCs w:val="20"/>
              </w:rPr>
            </w:pPr>
            <w:r w:rsidRPr="00C844EE">
              <w:rPr>
                <w:rFonts w:ascii="Times New Roman" w:hAnsi="Times New Roman" w:cs="Times New Roman"/>
                <w:bCs/>
                <w:i/>
                <w:sz w:val="20"/>
                <w:szCs w:val="20"/>
              </w:rPr>
              <w:t>External audit reports prepared and published in a timely fashion in accordance with Public Audit Act 2003.</w:t>
            </w:r>
          </w:p>
        </w:tc>
        <w:tc>
          <w:tcPr>
            <w:tcW w:w="3260" w:type="dxa"/>
          </w:tcPr>
          <w:p w14:paraId="34A0BD67" w14:textId="77777777" w:rsidR="00C844EE" w:rsidRPr="00C844EE" w:rsidRDefault="00C844EE" w:rsidP="007B5E57">
            <w:pPr>
              <w:pStyle w:val="ListParagraph"/>
              <w:numPr>
                <w:ilvl w:val="0"/>
                <w:numId w:val="34"/>
              </w:numPr>
              <w:autoSpaceDE w:val="0"/>
              <w:autoSpaceDN w:val="0"/>
              <w:adjustRightInd w:val="0"/>
              <w:ind w:left="175" w:hanging="175"/>
              <w:rPr>
                <w:rFonts w:ascii="Times New Roman" w:hAnsi="Times New Roman" w:cs="Times New Roman"/>
                <w:bCs/>
                <w:sz w:val="20"/>
                <w:szCs w:val="20"/>
              </w:rPr>
            </w:pPr>
            <w:r w:rsidRPr="00C844EE">
              <w:rPr>
                <w:rFonts w:ascii="Times New Roman" w:hAnsi="Times New Roman" w:cs="Times New Roman"/>
                <w:b/>
                <w:bCs/>
                <w:sz w:val="20"/>
                <w:szCs w:val="20"/>
              </w:rPr>
              <w:lastRenderedPageBreak/>
              <w:t>Partially achieved.</w:t>
            </w:r>
            <w:r w:rsidRPr="00C844EE">
              <w:rPr>
                <w:rFonts w:ascii="Times New Roman" w:hAnsi="Times New Roman" w:cs="Times New Roman"/>
                <w:bCs/>
                <w:sz w:val="20"/>
                <w:szCs w:val="20"/>
              </w:rPr>
              <w:t xml:space="preserve"> Consolidated Appropriation Accounts are </w:t>
            </w:r>
            <w:r w:rsidRPr="00C844EE">
              <w:rPr>
                <w:rFonts w:ascii="Times New Roman" w:hAnsi="Times New Roman" w:cs="Times New Roman"/>
                <w:bCs/>
                <w:sz w:val="20"/>
                <w:szCs w:val="20"/>
              </w:rPr>
              <w:lastRenderedPageBreak/>
              <w:t>prepared in central government although a complete set of annual financial statements in accordance with International Public Sector Accounting Standards (IPSAS) are not prepared. The time taken by the National Treasury to submit Accounts to KENAO has fallen from 5 months in 2007/8 to 4 months in 2012 but is still more than the 3-4 months that is the accepted international practice. The infrastructure required to enable timely reporting at local authority level was installed in 67 out of 175 local authorities but this has now been superseded by the 2012 PFM Act which requires counties to adopt the same processes as central government.</w:t>
            </w:r>
          </w:p>
          <w:p w14:paraId="158ED770" w14:textId="77777777" w:rsidR="00C844EE" w:rsidRPr="00C844EE" w:rsidRDefault="00C844EE" w:rsidP="00C844EE">
            <w:pPr>
              <w:autoSpaceDE w:val="0"/>
              <w:autoSpaceDN w:val="0"/>
              <w:adjustRightInd w:val="0"/>
              <w:rPr>
                <w:rFonts w:ascii="Times New Roman" w:hAnsi="Times New Roman" w:cs="Times New Roman"/>
                <w:bCs/>
                <w:sz w:val="20"/>
                <w:szCs w:val="20"/>
              </w:rPr>
            </w:pPr>
          </w:p>
          <w:p w14:paraId="23EB8DF3" w14:textId="77777777" w:rsidR="00C844EE" w:rsidRPr="00C844EE" w:rsidRDefault="00C844EE" w:rsidP="007B5E57">
            <w:pPr>
              <w:pStyle w:val="ListParagraph"/>
              <w:numPr>
                <w:ilvl w:val="0"/>
                <w:numId w:val="36"/>
              </w:numPr>
              <w:autoSpaceDE w:val="0"/>
              <w:autoSpaceDN w:val="0"/>
              <w:adjustRightInd w:val="0"/>
              <w:spacing w:before="100"/>
              <w:ind w:left="142" w:hanging="142"/>
              <w:rPr>
                <w:rFonts w:ascii="Times New Roman" w:hAnsi="Times New Roman" w:cs="Times New Roman"/>
                <w:bCs/>
                <w:sz w:val="20"/>
                <w:szCs w:val="20"/>
              </w:rPr>
            </w:pPr>
            <w:r w:rsidRPr="00C844EE">
              <w:rPr>
                <w:rFonts w:ascii="Times New Roman" w:hAnsi="Times New Roman" w:cs="Times New Roman"/>
                <w:b/>
                <w:bCs/>
                <w:sz w:val="20"/>
                <w:szCs w:val="20"/>
              </w:rPr>
              <w:t>Not achieved.</w:t>
            </w:r>
            <w:r w:rsidRPr="00C844EE">
              <w:rPr>
                <w:rFonts w:ascii="Times New Roman" w:hAnsi="Times New Roman" w:cs="Times New Roman"/>
                <w:bCs/>
                <w:sz w:val="20"/>
                <w:szCs w:val="20"/>
              </w:rPr>
              <w:t xml:space="preserve"> 10 out of 28 A/B scores achieved in PEFA 2012 due to deterioration in credibility of budget and accounting, recording and reporting.</w:t>
            </w:r>
            <w:r w:rsidRPr="00C844EE">
              <w:rPr>
                <w:rFonts w:ascii="Times New Roman" w:hAnsi="Times New Roman" w:cs="Times New Roman"/>
                <w:b/>
                <w:bCs/>
                <w:color w:val="FF0000"/>
                <w:sz w:val="20"/>
                <w:szCs w:val="20"/>
              </w:rPr>
              <w:t xml:space="preserve"> </w:t>
            </w:r>
          </w:p>
          <w:p w14:paraId="1EB167D7" w14:textId="77777777" w:rsidR="00C844EE" w:rsidRPr="00C844EE" w:rsidRDefault="00C844EE" w:rsidP="007B5E57">
            <w:pPr>
              <w:pStyle w:val="ListParagraph"/>
              <w:numPr>
                <w:ilvl w:val="0"/>
                <w:numId w:val="34"/>
              </w:numPr>
              <w:autoSpaceDE w:val="0"/>
              <w:autoSpaceDN w:val="0"/>
              <w:adjustRightInd w:val="0"/>
              <w:ind w:left="175" w:hanging="175"/>
              <w:rPr>
                <w:rFonts w:ascii="Times New Roman" w:hAnsi="Times New Roman" w:cs="Times New Roman"/>
                <w:bCs/>
                <w:sz w:val="20"/>
                <w:szCs w:val="20"/>
              </w:rPr>
            </w:pPr>
            <w:r w:rsidRPr="00C844EE">
              <w:rPr>
                <w:rFonts w:ascii="Times New Roman" w:hAnsi="Times New Roman" w:cs="Times New Roman"/>
                <w:b/>
                <w:bCs/>
                <w:sz w:val="20"/>
                <w:szCs w:val="20"/>
              </w:rPr>
              <w:t xml:space="preserve">Not achieved </w:t>
            </w:r>
            <w:r w:rsidRPr="00C844EE">
              <w:rPr>
                <w:rFonts w:ascii="Times New Roman" w:hAnsi="Times New Roman" w:cs="Times New Roman"/>
                <w:bCs/>
                <w:sz w:val="20"/>
                <w:szCs w:val="20"/>
              </w:rPr>
              <w:t xml:space="preserve">No improvement in the time (5 months) taken by the Kenya National Audit Office (KENAO) to submit audit reports on the summary consolidated Appropriation Accounts to Parliament from time of receipt from the National Treasury. Overall time (including time taken </w:t>
            </w:r>
            <w:r w:rsidRPr="00C844EE">
              <w:rPr>
                <w:rFonts w:ascii="Times New Roman" w:hAnsi="Times New Roman" w:cs="Times New Roman"/>
                <w:bCs/>
                <w:sz w:val="20"/>
                <w:szCs w:val="20"/>
              </w:rPr>
              <w:lastRenderedPageBreak/>
              <w:t>by National Treasury to submit Accounts to KENAO) to submit audit reports is well in excess (10 months down from 11 months) of the 6 months after the year end required.</w:t>
            </w:r>
          </w:p>
        </w:tc>
        <w:tc>
          <w:tcPr>
            <w:tcW w:w="2835" w:type="dxa"/>
          </w:tcPr>
          <w:p w14:paraId="16E95E4D" w14:textId="77777777" w:rsidR="00C844EE" w:rsidRPr="00C844EE" w:rsidRDefault="00C844EE" w:rsidP="00C844EE">
            <w:pPr>
              <w:rPr>
                <w:rFonts w:ascii="Times New Roman" w:hAnsi="Times New Roman" w:cs="Times New Roman"/>
                <w:b/>
                <w:sz w:val="20"/>
                <w:szCs w:val="20"/>
              </w:rPr>
            </w:pPr>
            <w:r w:rsidRPr="00C844EE">
              <w:rPr>
                <w:rFonts w:ascii="Times New Roman" w:hAnsi="Times New Roman" w:cs="Times New Roman"/>
                <w:b/>
                <w:sz w:val="20"/>
                <w:szCs w:val="20"/>
              </w:rPr>
              <w:lastRenderedPageBreak/>
              <w:t xml:space="preserve">Ongoing:  </w:t>
            </w:r>
            <w:r w:rsidRPr="00C844EE">
              <w:rPr>
                <w:rFonts w:ascii="Times New Roman" w:hAnsi="Times New Roman" w:cs="Times New Roman"/>
                <w:sz w:val="20"/>
                <w:szCs w:val="20"/>
              </w:rPr>
              <w:t xml:space="preserve">Institutional Reform and Capacity Building </w:t>
            </w:r>
            <w:r w:rsidRPr="00C844EE">
              <w:rPr>
                <w:rFonts w:ascii="Times New Roman" w:hAnsi="Times New Roman" w:cs="Times New Roman"/>
                <w:sz w:val="20"/>
                <w:szCs w:val="20"/>
              </w:rPr>
              <w:lastRenderedPageBreak/>
              <w:t xml:space="preserve">project (FY06; closed Dec. 2011); Municipal Program (FY10), Kenya Transparency  Communications Infrastructure Project (KTCIP) (FY08), FLSTAP (closes March 2013), GPF (TF), STATCAP </w:t>
            </w:r>
          </w:p>
          <w:p w14:paraId="11D3767C" w14:textId="77777777" w:rsidR="00C844EE" w:rsidRPr="00C844EE" w:rsidRDefault="00C844EE" w:rsidP="00C844EE">
            <w:pPr>
              <w:rPr>
                <w:rFonts w:ascii="Times New Roman" w:hAnsi="Times New Roman" w:cs="Times New Roman"/>
                <w:b/>
                <w:sz w:val="20"/>
                <w:szCs w:val="20"/>
              </w:rPr>
            </w:pPr>
          </w:p>
          <w:p w14:paraId="78752399" w14:textId="77777777" w:rsidR="00C844EE" w:rsidRPr="00C844EE" w:rsidRDefault="00C844EE" w:rsidP="00C844EE">
            <w:pPr>
              <w:rPr>
                <w:rFonts w:ascii="Times New Roman" w:hAnsi="Times New Roman" w:cs="Times New Roman"/>
                <w:sz w:val="20"/>
                <w:szCs w:val="20"/>
              </w:rPr>
            </w:pPr>
            <w:r w:rsidRPr="00C844EE">
              <w:rPr>
                <w:rFonts w:ascii="Times New Roman" w:hAnsi="Times New Roman" w:cs="Times New Roman"/>
                <w:b/>
                <w:sz w:val="20"/>
                <w:szCs w:val="20"/>
              </w:rPr>
              <w:t xml:space="preserve">AAA: </w:t>
            </w:r>
            <w:r w:rsidRPr="00C844EE">
              <w:rPr>
                <w:rFonts w:ascii="Times New Roman" w:hAnsi="Times New Roman" w:cs="Times New Roman"/>
                <w:sz w:val="20"/>
                <w:szCs w:val="20"/>
              </w:rPr>
              <w:t>Country Procurement Assessment Review, Insolvency and Creditor Rights ROSC (FY12), Policy Notes (M&amp;E Assessment, Social Accountability); PEFA (FY12/13)</w:t>
            </w:r>
          </w:p>
          <w:p w14:paraId="40E39965" w14:textId="77777777" w:rsidR="00C844EE" w:rsidRPr="00C844EE" w:rsidRDefault="00C844EE" w:rsidP="00C844EE">
            <w:pPr>
              <w:rPr>
                <w:rFonts w:ascii="Times New Roman" w:hAnsi="Times New Roman" w:cs="Times New Roman"/>
                <w:b/>
                <w:sz w:val="20"/>
                <w:szCs w:val="20"/>
              </w:rPr>
            </w:pPr>
          </w:p>
        </w:tc>
        <w:tc>
          <w:tcPr>
            <w:tcW w:w="5277" w:type="dxa"/>
          </w:tcPr>
          <w:p w14:paraId="7680986C" w14:textId="77777777" w:rsidR="00C844EE" w:rsidRPr="00C844EE" w:rsidRDefault="00C844EE" w:rsidP="007B5E57">
            <w:pPr>
              <w:pStyle w:val="ListParagraph"/>
              <w:numPr>
                <w:ilvl w:val="0"/>
                <w:numId w:val="36"/>
              </w:numPr>
              <w:ind w:left="317" w:hanging="284"/>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lastRenderedPageBreak/>
              <w:t>Political economy:</w:t>
            </w:r>
            <w:r w:rsidRPr="00C844EE">
              <w:rPr>
                <w:rFonts w:ascii="Times New Roman" w:eastAsia="Times New Roman" w:hAnsi="Times New Roman" w:cs="Times New Roman"/>
                <w:sz w:val="20"/>
                <w:szCs w:val="20"/>
              </w:rPr>
              <w:t xml:space="preserve"> There is a need to look at political economy as well as technical aspects of governance both </w:t>
            </w:r>
            <w:r w:rsidRPr="00C844EE">
              <w:rPr>
                <w:rFonts w:ascii="Times New Roman" w:eastAsia="Times New Roman" w:hAnsi="Times New Roman" w:cs="Times New Roman"/>
                <w:sz w:val="20"/>
                <w:szCs w:val="20"/>
              </w:rPr>
              <w:lastRenderedPageBreak/>
              <w:t>in the portfolio and as a pillar in itself.  Because of the various INT cases the Bank</w:t>
            </w:r>
            <w:r w:rsidRPr="00C844EE">
              <w:rPr>
                <w:rFonts w:ascii="Times New Roman" w:eastAsia="Times New Roman" w:hAnsi="Times New Roman" w:cs="Times New Roman"/>
                <w:b/>
                <w:bCs/>
                <w:sz w:val="20"/>
                <w:szCs w:val="20"/>
              </w:rPr>
              <w:t xml:space="preserve"> </w:t>
            </w:r>
            <w:r w:rsidRPr="00C844EE">
              <w:rPr>
                <w:rFonts w:ascii="Times New Roman" w:eastAsia="Times New Roman" w:hAnsi="Times New Roman" w:cs="Times New Roman"/>
                <w:sz w:val="20"/>
                <w:szCs w:val="20"/>
              </w:rPr>
              <w:t>has tended to approach governance and anti-corruption with a narrow focus on technical fiduciary issues at a project level. However the root causes of the INT cases were often deeper issues relating to governance and political economy especially vested interests and conflicts between interests, not just at project level but more broadly at the sector and national level. The INT cases were reflections of symptoms of weak institutions and need to address this more broadly not on case by case basis.</w:t>
            </w:r>
          </w:p>
          <w:p w14:paraId="3E64542E" w14:textId="77777777" w:rsidR="00C844EE" w:rsidRPr="00C844EE" w:rsidRDefault="00C844EE" w:rsidP="007B5E57">
            <w:pPr>
              <w:pStyle w:val="ListParagraph"/>
              <w:numPr>
                <w:ilvl w:val="0"/>
                <w:numId w:val="36"/>
              </w:numPr>
              <w:ind w:left="317" w:hanging="284"/>
              <w:rPr>
                <w:rFonts w:ascii="Times New Roman" w:eastAsia="Times New Roman" w:hAnsi="Times New Roman" w:cs="Times New Roman"/>
                <w:sz w:val="20"/>
                <w:szCs w:val="20"/>
              </w:rPr>
            </w:pPr>
            <w:r w:rsidRPr="00C844EE">
              <w:rPr>
                <w:rFonts w:ascii="Times New Roman" w:eastAsia="Times New Roman" w:hAnsi="Times New Roman" w:cs="Times New Roman"/>
                <w:b/>
                <w:i/>
                <w:sz w:val="20"/>
                <w:szCs w:val="20"/>
              </w:rPr>
              <w:t>Fiduciary risks of devolution:</w:t>
            </w:r>
            <w:r w:rsidRPr="00C844EE">
              <w:rPr>
                <w:rFonts w:ascii="Times New Roman" w:eastAsia="Times New Roman" w:hAnsi="Times New Roman" w:cs="Times New Roman"/>
                <w:sz w:val="20"/>
                <w:szCs w:val="20"/>
              </w:rPr>
              <w:t xml:space="preserve"> INT cases also sometimes arose when funds were devolved to district levels resulting in capture of funds by elite groups. E.g. this was the case with the Western Kenya CDD. This requires mitigation through improved oversight mechanisms that are more transparent and involve a broader group of interests. Focusing more on these mechanisms at a local level will be key as the devolution agenda gathers pace. Increasing participation in decision making and reducing discretion by officials will go some way to improve accountability.</w:t>
            </w:r>
          </w:p>
          <w:p w14:paraId="29FE46BF" w14:textId="77777777" w:rsidR="00C844EE" w:rsidRPr="00C844EE" w:rsidRDefault="00C844EE" w:rsidP="007B5E57">
            <w:pPr>
              <w:pStyle w:val="ListParagraph"/>
              <w:numPr>
                <w:ilvl w:val="0"/>
                <w:numId w:val="36"/>
              </w:numPr>
              <w:ind w:left="317" w:hanging="284"/>
              <w:rPr>
                <w:rFonts w:ascii="Times New Roman" w:hAnsi="Times New Roman" w:cs="Times New Roman"/>
                <w:b/>
                <w:i/>
                <w:sz w:val="20"/>
                <w:szCs w:val="20"/>
              </w:rPr>
            </w:pPr>
            <w:r w:rsidRPr="00C844EE">
              <w:rPr>
                <w:rFonts w:ascii="Times New Roman" w:eastAsia="Times New Roman" w:hAnsi="Times New Roman" w:cs="Times New Roman"/>
                <w:b/>
                <w:i/>
                <w:sz w:val="20"/>
                <w:szCs w:val="20"/>
              </w:rPr>
              <w:t>PMU:</w:t>
            </w:r>
            <w:r w:rsidRPr="00C844EE">
              <w:rPr>
                <w:rFonts w:ascii="Times New Roman" w:eastAsiaTheme="minorEastAsia" w:hAnsi="Times New Roman" w:cs="Times New Roman"/>
                <w:color w:val="000000" w:themeColor="text1"/>
                <w:kern w:val="24"/>
                <w:sz w:val="32"/>
                <w:szCs w:val="32"/>
              </w:rPr>
              <w:t xml:space="preserve"> </w:t>
            </w:r>
            <w:r w:rsidRPr="00C844EE">
              <w:rPr>
                <w:rFonts w:ascii="Times New Roman" w:eastAsia="Times New Roman" w:hAnsi="Times New Roman" w:cs="Times New Roman"/>
                <w:sz w:val="20"/>
                <w:szCs w:val="20"/>
              </w:rPr>
              <w:t xml:space="preserve">PFMRS suffered from lack of  a) mandated authority to give instructions to component Managers and stable full time project coordinator; b) component leader with strong leadership skills; c) dedicated desk officer at the sub-component level to address operational issues; d) integration of proposed activities into strategic plans, annual work plans, performance contracts and budgets of MDAs; e) understanding how to harmonize government and project procedures and systems; f) speed in introducing agreed M&amp;E framework; g) strong, elaborate and effective communication strategy between coordinating unit and stakeholders; h) regular higher level management guidance; i) initial capacity building activities on project design, procurement, disbursement, and </w:t>
            </w:r>
            <w:r w:rsidRPr="00C844EE">
              <w:rPr>
                <w:rFonts w:ascii="Times New Roman" w:eastAsia="Times New Roman" w:hAnsi="Times New Roman" w:cs="Times New Roman"/>
                <w:sz w:val="20"/>
                <w:szCs w:val="20"/>
              </w:rPr>
              <w:lastRenderedPageBreak/>
              <w:t>financial management procedures of the Bank.</w:t>
            </w:r>
          </w:p>
          <w:p w14:paraId="1AECE5A8" w14:textId="77777777" w:rsidR="00C844EE" w:rsidRPr="00C844EE" w:rsidRDefault="00C844EE" w:rsidP="00C844EE">
            <w:pPr>
              <w:ind w:left="33"/>
              <w:rPr>
                <w:rFonts w:ascii="Times New Roman" w:eastAsia="Times New Roman" w:hAnsi="Times New Roman" w:cs="Times New Roman"/>
                <w:sz w:val="20"/>
                <w:szCs w:val="20"/>
              </w:rPr>
            </w:pPr>
          </w:p>
        </w:tc>
      </w:tr>
    </w:tbl>
    <w:p w14:paraId="7B0B3BB5" w14:textId="77777777" w:rsidR="00C844EE" w:rsidRPr="00C844EE" w:rsidRDefault="00C844EE" w:rsidP="00C844EE">
      <w:pPr>
        <w:jc w:val="both"/>
        <w:rPr>
          <w:rFonts w:ascii="Times New Roman" w:hAnsi="Times New Roman" w:cs="Times New Roman"/>
          <w:b/>
          <w:sz w:val="24"/>
          <w:szCs w:val="24"/>
        </w:rPr>
        <w:sectPr w:rsidR="00C844EE" w:rsidRPr="00C844EE" w:rsidSect="00F169CF">
          <w:footerReference w:type="default" r:id="rId26"/>
          <w:pgSz w:w="15840" w:h="12240" w:orient="landscape" w:code="1"/>
          <w:pgMar w:top="1440" w:right="1440" w:bottom="1440" w:left="1440" w:header="708" w:footer="708" w:gutter="0"/>
          <w:cols w:space="708"/>
          <w:docGrid w:linePitch="360"/>
        </w:sectPr>
      </w:pPr>
    </w:p>
    <w:p w14:paraId="78FE7B79" w14:textId="77777777" w:rsidR="00614D5C" w:rsidRDefault="00C844EE" w:rsidP="00614D5C">
      <w:pPr>
        <w:jc w:val="center"/>
        <w:rPr>
          <w:rFonts w:ascii="Times New Roman" w:hAnsi="Times New Roman" w:cs="Times New Roman"/>
          <w:b/>
          <w:sz w:val="24"/>
          <w:szCs w:val="24"/>
          <w:lang w:val="en-GB"/>
        </w:rPr>
      </w:pPr>
      <w:r w:rsidRPr="00C844EE">
        <w:rPr>
          <w:rFonts w:ascii="Times New Roman" w:hAnsi="Times New Roman" w:cs="Times New Roman"/>
          <w:b/>
          <w:sz w:val="24"/>
          <w:szCs w:val="24"/>
          <w:lang w:val="en-GB"/>
        </w:rPr>
        <w:lastRenderedPageBreak/>
        <w:t>Table 2: Kenya Planned and Delivered Operations FY10-FY13 CPS (US$ millions)</w:t>
      </w:r>
    </w:p>
    <w:tbl>
      <w:tblPr>
        <w:tblStyle w:val="TableGrid4"/>
        <w:tblW w:w="14121" w:type="dxa"/>
        <w:jc w:val="center"/>
        <w:tblLook w:val="04A0" w:firstRow="1" w:lastRow="0" w:firstColumn="1" w:lastColumn="0" w:noHBand="0" w:noVBand="1"/>
      </w:tblPr>
      <w:tblGrid>
        <w:gridCol w:w="830"/>
        <w:gridCol w:w="5302"/>
        <w:gridCol w:w="820"/>
        <w:gridCol w:w="455"/>
        <w:gridCol w:w="5338"/>
        <w:gridCol w:w="856"/>
        <w:gridCol w:w="520"/>
      </w:tblGrid>
      <w:tr w:rsidR="00614D5C" w:rsidRPr="00614D5C" w14:paraId="778C436D" w14:textId="77777777" w:rsidTr="00614D5C">
        <w:trPr>
          <w:jc w:val="center"/>
        </w:trPr>
        <w:tc>
          <w:tcPr>
            <w:tcW w:w="7459" w:type="dxa"/>
            <w:gridSpan w:val="4"/>
          </w:tcPr>
          <w:p w14:paraId="55D3C060"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 xml:space="preserve"> CPS PLANS (03/23/2010)</w:t>
            </w:r>
          </w:p>
        </w:tc>
        <w:tc>
          <w:tcPr>
            <w:tcW w:w="6662" w:type="dxa"/>
            <w:gridSpan w:val="3"/>
          </w:tcPr>
          <w:p w14:paraId="3788009C"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STATUS</w:t>
            </w:r>
          </w:p>
        </w:tc>
      </w:tr>
      <w:tr w:rsidR="00614D5C" w:rsidRPr="00614D5C" w14:paraId="74DB2333" w14:textId="77777777" w:rsidTr="00614D5C">
        <w:trPr>
          <w:trHeight w:val="611"/>
          <w:jc w:val="center"/>
        </w:trPr>
        <w:tc>
          <w:tcPr>
            <w:tcW w:w="832" w:type="dxa"/>
          </w:tcPr>
          <w:p w14:paraId="5B0395DF" w14:textId="77777777" w:rsidR="00614D5C" w:rsidRPr="00614D5C" w:rsidRDefault="00614D5C" w:rsidP="00614D5C">
            <w:pPr>
              <w:spacing w:before="120"/>
              <w:jc w:val="center"/>
              <w:rPr>
                <w:rFonts w:ascii="Times New Roman" w:hAnsi="Times New Roman" w:cs="Times New Roman"/>
                <w:b/>
                <w:sz w:val="24"/>
                <w:szCs w:val="24"/>
              </w:rPr>
            </w:pPr>
            <w:r w:rsidRPr="00614D5C">
              <w:rPr>
                <w:rFonts w:ascii="Times New Roman" w:hAnsi="Times New Roman" w:cs="Times New Roman"/>
                <w:b/>
                <w:sz w:val="24"/>
                <w:szCs w:val="24"/>
              </w:rPr>
              <w:t>FY</w:t>
            </w:r>
          </w:p>
        </w:tc>
        <w:tc>
          <w:tcPr>
            <w:tcW w:w="5351" w:type="dxa"/>
          </w:tcPr>
          <w:p w14:paraId="33996DCB" w14:textId="77777777" w:rsidR="00614D5C" w:rsidRPr="00614D5C" w:rsidRDefault="00614D5C" w:rsidP="00614D5C">
            <w:pPr>
              <w:spacing w:before="120"/>
              <w:jc w:val="center"/>
              <w:rPr>
                <w:rFonts w:ascii="Times New Roman" w:hAnsi="Times New Roman" w:cs="Times New Roman"/>
                <w:b/>
                <w:sz w:val="24"/>
                <w:szCs w:val="24"/>
              </w:rPr>
            </w:pPr>
            <w:r w:rsidRPr="00614D5C">
              <w:rPr>
                <w:rFonts w:ascii="Times New Roman" w:hAnsi="Times New Roman" w:cs="Times New Roman"/>
                <w:b/>
                <w:sz w:val="24"/>
                <w:szCs w:val="24"/>
              </w:rPr>
              <w:t>Project</w:t>
            </w:r>
          </w:p>
        </w:tc>
        <w:tc>
          <w:tcPr>
            <w:tcW w:w="1276" w:type="dxa"/>
            <w:gridSpan w:val="2"/>
          </w:tcPr>
          <w:p w14:paraId="2015E029"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 xml:space="preserve">Projected IDA </w:t>
            </w:r>
          </w:p>
          <w:p w14:paraId="02454F74"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(US$ millions)</w:t>
            </w:r>
          </w:p>
        </w:tc>
        <w:tc>
          <w:tcPr>
            <w:tcW w:w="5387" w:type="dxa"/>
          </w:tcPr>
          <w:p w14:paraId="3805BE5A" w14:textId="77777777" w:rsidR="00614D5C" w:rsidRPr="00614D5C" w:rsidRDefault="00614D5C" w:rsidP="00614D5C">
            <w:pPr>
              <w:jc w:val="center"/>
              <w:rPr>
                <w:rFonts w:ascii="Times New Roman" w:hAnsi="Times New Roman" w:cs="Times New Roman"/>
                <w:b/>
                <w:sz w:val="24"/>
                <w:szCs w:val="24"/>
              </w:rPr>
            </w:pPr>
          </w:p>
        </w:tc>
        <w:tc>
          <w:tcPr>
            <w:tcW w:w="1275" w:type="dxa"/>
            <w:gridSpan w:val="2"/>
          </w:tcPr>
          <w:p w14:paraId="4F6458CA"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 xml:space="preserve">Committed IDA </w:t>
            </w:r>
          </w:p>
          <w:p w14:paraId="57AF22E9"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(US$ millions)</w:t>
            </w:r>
          </w:p>
        </w:tc>
      </w:tr>
      <w:tr w:rsidR="00614D5C" w:rsidRPr="00614D5C" w14:paraId="1525E39C" w14:textId="77777777" w:rsidTr="00614D5C">
        <w:trPr>
          <w:jc w:val="center"/>
        </w:trPr>
        <w:tc>
          <w:tcPr>
            <w:tcW w:w="832" w:type="dxa"/>
            <w:tcBorders>
              <w:bottom w:val="nil"/>
            </w:tcBorders>
          </w:tcPr>
          <w:p w14:paraId="15E26493"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2010</w:t>
            </w:r>
          </w:p>
        </w:tc>
        <w:tc>
          <w:tcPr>
            <w:tcW w:w="5351" w:type="dxa"/>
            <w:tcBorders>
              <w:bottom w:val="nil"/>
            </w:tcBorders>
          </w:tcPr>
          <w:p w14:paraId="2939176C"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Municipal Program</w:t>
            </w:r>
          </w:p>
        </w:tc>
        <w:tc>
          <w:tcPr>
            <w:tcW w:w="1276" w:type="dxa"/>
            <w:gridSpan w:val="2"/>
            <w:tcBorders>
              <w:bottom w:val="nil"/>
            </w:tcBorders>
          </w:tcPr>
          <w:p w14:paraId="0E4450AC"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bottom w:val="nil"/>
            </w:tcBorders>
          </w:tcPr>
          <w:p w14:paraId="6DD78011"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bottom w:val="nil"/>
            </w:tcBorders>
          </w:tcPr>
          <w:p w14:paraId="7F59051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r>
      <w:tr w:rsidR="00614D5C" w:rsidRPr="00614D5C" w14:paraId="4E2F5E09" w14:textId="77777777" w:rsidTr="00614D5C">
        <w:trPr>
          <w:jc w:val="center"/>
        </w:trPr>
        <w:tc>
          <w:tcPr>
            <w:tcW w:w="832" w:type="dxa"/>
            <w:tcBorders>
              <w:top w:val="nil"/>
              <w:bottom w:val="nil"/>
            </w:tcBorders>
          </w:tcPr>
          <w:p w14:paraId="69998274"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412E917B"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Electricity expansion</w:t>
            </w:r>
          </w:p>
        </w:tc>
        <w:tc>
          <w:tcPr>
            <w:tcW w:w="1276" w:type="dxa"/>
            <w:gridSpan w:val="2"/>
            <w:tcBorders>
              <w:top w:val="nil"/>
              <w:bottom w:val="nil"/>
            </w:tcBorders>
          </w:tcPr>
          <w:p w14:paraId="328FE065"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350.0</w:t>
            </w:r>
          </w:p>
        </w:tc>
        <w:tc>
          <w:tcPr>
            <w:tcW w:w="5387" w:type="dxa"/>
            <w:tcBorders>
              <w:top w:val="nil"/>
              <w:bottom w:val="nil"/>
            </w:tcBorders>
          </w:tcPr>
          <w:p w14:paraId="54A04BD2"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bottom w:val="nil"/>
            </w:tcBorders>
          </w:tcPr>
          <w:p w14:paraId="24899BE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330.0</w:t>
            </w:r>
          </w:p>
        </w:tc>
      </w:tr>
      <w:tr w:rsidR="00614D5C" w:rsidRPr="00614D5C" w14:paraId="5F53891D" w14:textId="77777777" w:rsidTr="00614D5C">
        <w:trPr>
          <w:jc w:val="center"/>
        </w:trPr>
        <w:tc>
          <w:tcPr>
            <w:tcW w:w="832" w:type="dxa"/>
            <w:tcBorders>
              <w:top w:val="nil"/>
              <w:bottom w:val="nil"/>
            </w:tcBorders>
          </w:tcPr>
          <w:p w14:paraId="0A376D0B"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0B5EF672"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 xml:space="preserve">Youth Empowerment </w:t>
            </w:r>
          </w:p>
        </w:tc>
        <w:tc>
          <w:tcPr>
            <w:tcW w:w="1276" w:type="dxa"/>
            <w:gridSpan w:val="2"/>
            <w:tcBorders>
              <w:top w:val="nil"/>
              <w:bottom w:val="nil"/>
            </w:tcBorders>
          </w:tcPr>
          <w:p w14:paraId="552136C6"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60.0</w:t>
            </w:r>
          </w:p>
        </w:tc>
        <w:tc>
          <w:tcPr>
            <w:tcW w:w="5387" w:type="dxa"/>
            <w:tcBorders>
              <w:top w:val="nil"/>
              <w:bottom w:val="nil"/>
            </w:tcBorders>
          </w:tcPr>
          <w:p w14:paraId="763F2F14"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bottom w:val="nil"/>
            </w:tcBorders>
          </w:tcPr>
          <w:p w14:paraId="70FE1AB5"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60.0</w:t>
            </w:r>
          </w:p>
        </w:tc>
      </w:tr>
      <w:tr w:rsidR="00614D5C" w:rsidRPr="00614D5C" w14:paraId="7EB209D9" w14:textId="77777777" w:rsidTr="00614D5C">
        <w:trPr>
          <w:jc w:val="center"/>
        </w:trPr>
        <w:tc>
          <w:tcPr>
            <w:tcW w:w="832" w:type="dxa"/>
            <w:tcBorders>
              <w:top w:val="nil"/>
              <w:bottom w:val="nil"/>
            </w:tcBorders>
          </w:tcPr>
          <w:p w14:paraId="22C00503"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3B8D1803"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 xml:space="preserve">Coastal Development </w:t>
            </w:r>
          </w:p>
        </w:tc>
        <w:tc>
          <w:tcPr>
            <w:tcW w:w="1276" w:type="dxa"/>
            <w:gridSpan w:val="2"/>
            <w:tcBorders>
              <w:top w:val="nil"/>
              <w:bottom w:val="nil"/>
            </w:tcBorders>
          </w:tcPr>
          <w:p w14:paraId="2EDEEF5A"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35.0</w:t>
            </w:r>
          </w:p>
        </w:tc>
        <w:tc>
          <w:tcPr>
            <w:tcW w:w="5387" w:type="dxa"/>
            <w:tcBorders>
              <w:top w:val="nil"/>
              <w:bottom w:val="nil"/>
            </w:tcBorders>
          </w:tcPr>
          <w:p w14:paraId="39911561"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Rescheduled to 2011</w:t>
            </w:r>
          </w:p>
        </w:tc>
        <w:tc>
          <w:tcPr>
            <w:tcW w:w="1275" w:type="dxa"/>
            <w:gridSpan w:val="2"/>
            <w:tcBorders>
              <w:top w:val="nil"/>
              <w:bottom w:val="nil"/>
            </w:tcBorders>
          </w:tcPr>
          <w:p w14:paraId="0DEE013C" w14:textId="77777777" w:rsidR="00614D5C" w:rsidRPr="00614D5C" w:rsidRDefault="00614D5C" w:rsidP="00614D5C">
            <w:pPr>
              <w:jc w:val="center"/>
              <w:rPr>
                <w:rFonts w:ascii="Times New Roman" w:hAnsi="Times New Roman" w:cs="Times New Roman"/>
                <w:sz w:val="24"/>
                <w:szCs w:val="24"/>
              </w:rPr>
            </w:pPr>
          </w:p>
        </w:tc>
      </w:tr>
      <w:tr w:rsidR="00614D5C" w:rsidRPr="00614D5C" w14:paraId="1205DB57" w14:textId="77777777" w:rsidTr="00614D5C">
        <w:trPr>
          <w:jc w:val="center"/>
        </w:trPr>
        <w:tc>
          <w:tcPr>
            <w:tcW w:w="832" w:type="dxa"/>
            <w:tcBorders>
              <w:top w:val="nil"/>
              <w:bottom w:val="nil"/>
            </w:tcBorders>
          </w:tcPr>
          <w:p w14:paraId="0F30CCBC"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5E2B085C" w14:textId="77777777" w:rsidR="00614D5C" w:rsidRPr="00614D5C" w:rsidRDefault="00614D5C" w:rsidP="00614D5C">
            <w:pPr>
              <w:jc w:val="center"/>
              <w:rPr>
                <w:rFonts w:ascii="Times New Roman" w:hAnsi="Times New Roman" w:cs="Times New Roman"/>
                <w:sz w:val="24"/>
                <w:szCs w:val="24"/>
                <w:highlight w:val="yellow"/>
              </w:rPr>
            </w:pPr>
          </w:p>
        </w:tc>
        <w:tc>
          <w:tcPr>
            <w:tcW w:w="1276" w:type="dxa"/>
            <w:gridSpan w:val="2"/>
            <w:tcBorders>
              <w:top w:val="nil"/>
              <w:bottom w:val="nil"/>
            </w:tcBorders>
          </w:tcPr>
          <w:p w14:paraId="33EC96E0" w14:textId="77777777" w:rsidR="00614D5C" w:rsidRPr="00614D5C" w:rsidRDefault="00614D5C" w:rsidP="00614D5C">
            <w:pPr>
              <w:jc w:val="center"/>
              <w:rPr>
                <w:rFonts w:ascii="Times New Roman" w:hAnsi="Times New Roman" w:cs="Times New Roman"/>
                <w:sz w:val="24"/>
                <w:szCs w:val="24"/>
              </w:rPr>
            </w:pPr>
          </w:p>
        </w:tc>
        <w:tc>
          <w:tcPr>
            <w:tcW w:w="5387" w:type="dxa"/>
            <w:tcBorders>
              <w:top w:val="nil"/>
              <w:bottom w:val="nil"/>
            </w:tcBorders>
          </w:tcPr>
          <w:p w14:paraId="1664E6F8" w14:textId="77777777" w:rsidR="00614D5C" w:rsidRPr="00614D5C" w:rsidRDefault="00614D5C" w:rsidP="00614D5C">
            <w:pPr>
              <w:rPr>
                <w:rFonts w:ascii="Times New Roman" w:hAnsi="Times New Roman" w:cs="Times New Roman"/>
                <w:i/>
                <w:sz w:val="24"/>
                <w:szCs w:val="24"/>
              </w:rPr>
            </w:pPr>
            <w:r w:rsidRPr="00614D5C">
              <w:rPr>
                <w:rFonts w:ascii="Times New Roman" w:hAnsi="Times New Roman" w:cs="Times New Roman"/>
                <w:i/>
                <w:sz w:val="24"/>
                <w:szCs w:val="24"/>
              </w:rPr>
              <w:t>Additional actuals:</w:t>
            </w:r>
          </w:p>
        </w:tc>
        <w:tc>
          <w:tcPr>
            <w:tcW w:w="1275" w:type="dxa"/>
            <w:gridSpan w:val="2"/>
            <w:tcBorders>
              <w:top w:val="nil"/>
              <w:bottom w:val="nil"/>
            </w:tcBorders>
          </w:tcPr>
          <w:p w14:paraId="37FD7888" w14:textId="77777777" w:rsidR="00614D5C" w:rsidRPr="00614D5C" w:rsidRDefault="00614D5C" w:rsidP="00614D5C">
            <w:pPr>
              <w:jc w:val="center"/>
              <w:rPr>
                <w:rFonts w:ascii="Times New Roman" w:hAnsi="Times New Roman" w:cs="Times New Roman"/>
                <w:sz w:val="24"/>
                <w:szCs w:val="24"/>
              </w:rPr>
            </w:pPr>
          </w:p>
        </w:tc>
      </w:tr>
      <w:tr w:rsidR="00614D5C" w:rsidRPr="00614D5C" w14:paraId="0A83EA15" w14:textId="77777777" w:rsidTr="00614D5C">
        <w:trPr>
          <w:jc w:val="center"/>
        </w:trPr>
        <w:tc>
          <w:tcPr>
            <w:tcW w:w="832" w:type="dxa"/>
            <w:tcBorders>
              <w:top w:val="nil"/>
              <w:bottom w:val="nil"/>
            </w:tcBorders>
          </w:tcPr>
          <w:p w14:paraId="05BC5B98"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26129888" w14:textId="77777777" w:rsidR="00614D5C" w:rsidRPr="00614D5C" w:rsidRDefault="00614D5C" w:rsidP="00614D5C">
            <w:pPr>
              <w:rPr>
                <w:rFonts w:ascii="Times New Roman" w:hAnsi="Times New Roman" w:cs="Times New Roman"/>
                <w:sz w:val="24"/>
                <w:szCs w:val="24"/>
              </w:rPr>
            </w:pPr>
          </w:p>
        </w:tc>
        <w:tc>
          <w:tcPr>
            <w:tcW w:w="1276" w:type="dxa"/>
            <w:gridSpan w:val="2"/>
            <w:tcBorders>
              <w:top w:val="nil"/>
              <w:bottom w:val="nil"/>
            </w:tcBorders>
          </w:tcPr>
          <w:p w14:paraId="327269BB" w14:textId="77777777" w:rsidR="00614D5C" w:rsidRPr="00614D5C" w:rsidRDefault="00614D5C" w:rsidP="00614D5C">
            <w:pPr>
              <w:jc w:val="center"/>
              <w:rPr>
                <w:rFonts w:ascii="Times New Roman" w:hAnsi="Times New Roman" w:cs="Times New Roman"/>
                <w:sz w:val="24"/>
                <w:szCs w:val="24"/>
              </w:rPr>
            </w:pPr>
          </w:p>
        </w:tc>
        <w:tc>
          <w:tcPr>
            <w:tcW w:w="5387" w:type="dxa"/>
            <w:tcBorders>
              <w:top w:val="nil"/>
              <w:bottom w:val="nil"/>
            </w:tcBorders>
          </w:tcPr>
          <w:p w14:paraId="6A4EF9FB"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Health SWAP - delivered earlier than planned(FY12)</w:t>
            </w:r>
          </w:p>
        </w:tc>
        <w:tc>
          <w:tcPr>
            <w:tcW w:w="1275" w:type="dxa"/>
            <w:gridSpan w:val="2"/>
            <w:tcBorders>
              <w:top w:val="nil"/>
              <w:bottom w:val="nil"/>
            </w:tcBorders>
          </w:tcPr>
          <w:p w14:paraId="72D90439"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156.8</w:t>
            </w:r>
          </w:p>
        </w:tc>
      </w:tr>
      <w:tr w:rsidR="00614D5C" w:rsidRPr="00614D5C" w14:paraId="5D67042C" w14:textId="77777777" w:rsidTr="00614D5C">
        <w:trPr>
          <w:jc w:val="center"/>
        </w:trPr>
        <w:tc>
          <w:tcPr>
            <w:tcW w:w="832" w:type="dxa"/>
            <w:tcBorders>
              <w:top w:val="nil"/>
            </w:tcBorders>
          </w:tcPr>
          <w:p w14:paraId="01B7E659"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tcBorders>
          </w:tcPr>
          <w:p w14:paraId="070C9916"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Subtotal:</w:t>
            </w:r>
          </w:p>
        </w:tc>
        <w:tc>
          <w:tcPr>
            <w:tcW w:w="1276" w:type="dxa"/>
            <w:gridSpan w:val="2"/>
            <w:tcBorders>
              <w:top w:val="nil"/>
            </w:tcBorders>
          </w:tcPr>
          <w:p w14:paraId="09598FAE"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545.0</w:t>
            </w:r>
          </w:p>
        </w:tc>
        <w:tc>
          <w:tcPr>
            <w:tcW w:w="5387" w:type="dxa"/>
            <w:tcBorders>
              <w:top w:val="nil"/>
            </w:tcBorders>
          </w:tcPr>
          <w:p w14:paraId="4BE9B089" w14:textId="77777777" w:rsidR="00614D5C" w:rsidRPr="00614D5C" w:rsidRDefault="00614D5C" w:rsidP="00614D5C">
            <w:pPr>
              <w:rPr>
                <w:rFonts w:ascii="Times New Roman" w:hAnsi="Times New Roman" w:cs="Times New Roman"/>
                <w:i/>
                <w:sz w:val="24"/>
                <w:szCs w:val="24"/>
                <w:highlight w:val="yellow"/>
              </w:rPr>
            </w:pPr>
          </w:p>
        </w:tc>
        <w:tc>
          <w:tcPr>
            <w:tcW w:w="1275" w:type="dxa"/>
            <w:gridSpan w:val="2"/>
            <w:tcBorders>
              <w:top w:val="nil"/>
            </w:tcBorders>
          </w:tcPr>
          <w:p w14:paraId="5F265A67"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646.8</w:t>
            </w:r>
          </w:p>
        </w:tc>
      </w:tr>
      <w:tr w:rsidR="00614D5C" w:rsidRPr="00614D5C" w14:paraId="4EF68412" w14:textId="77777777" w:rsidTr="00614D5C">
        <w:trPr>
          <w:jc w:val="center"/>
        </w:trPr>
        <w:tc>
          <w:tcPr>
            <w:tcW w:w="832" w:type="dxa"/>
            <w:tcBorders>
              <w:bottom w:val="nil"/>
            </w:tcBorders>
          </w:tcPr>
          <w:p w14:paraId="5417F542"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2011</w:t>
            </w:r>
          </w:p>
        </w:tc>
        <w:tc>
          <w:tcPr>
            <w:tcW w:w="5351" w:type="dxa"/>
            <w:tcBorders>
              <w:bottom w:val="nil"/>
            </w:tcBorders>
          </w:tcPr>
          <w:p w14:paraId="3628C6AF"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 xml:space="preserve">Nairobi Urban Toll Road (PRG) </w:t>
            </w:r>
          </w:p>
        </w:tc>
        <w:tc>
          <w:tcPr>
            <w:tcW w:w="1276" w:type="dxa"/>
            <w:gridSpan w:val="2"/>
            <w:tcBorders>
              <w:bottom w:val="nil"/>
            </w:tcBorders>
          </w:tcPr>
          <w:p w14:paraId="555AFC04"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180.0</w:t>
            </w:r>
          </w:p>
        </w:tc>
        <w:tc>
          <w:tcPr>
            <w:tcW w:w="5387" w:type="dxa"/>
            <w:tcBorders>
              <w:bottom w:val="nil"/>
            </w:tcBorders>
          </w:tcPr>
          <w:p w14:paraId="1E831A7E"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Dropped due to integrity concerns</w:t>
            </w:r>
          </w:p>
        </w:tc>
        <w:tc>
          <w:tcPr>
            <w:tcW w:w="1275" w:type="dxa"/>
            <w:gridSpan w:val="2"/>
            <w:tcBorders>
              <w:bottom w:val="nil"/>
            </w:tcBorders>
          </w:tcPr>
          <w:p w14:paraId="269C22F9" w14:textId="77777777" w:rsidR="00614D5C" w:rsidRPr="00614D5C" w:rsidRDefault="00614D5C" w:rsidP="00614D5C">
            <w:pPr>
              <w:jc w:val="center"/>
              <w:rPr>
                <w:rFonts w:ascii="Times New Roman" w:hAnsi="Times New Roman" w:cs="Times New Roman"/>
                <w:sz w:val="24"/>
                <w:szCs w:val="24"/>
              </w:rPr>
            </w:pPr>
          </w:p>
        </w:tc>
      </w:tr>
      <w:tr w:rsidR="00614D5C" w:rsidRPr="00614D5C" w14:paraId="07A17336" w14:textId="77777777" w:rsidTr="00614D5C">
        <w:trPr>
          <w:jc w:val="center"/>
        </w:trPr>
        <w:tc>
          <w:tcPr>
            <w:tcW w:w="832" w:type="dxa"/>
            <w:tcBorders>
              <w:top w:val="nil"/>
              <w:bottom w:val="nil"/>
            </w:tcBorders>
          </w:tcPr>
          <w:p w14:paraId="623589AB"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3AEF4AE0"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 xml:space="preserve">Slum Upgrading </w:t>
            </w:r>
          </w:p>
        </w:tc>
        <w:tc>
          <w:tcPr>
            <w:tcW w:w="1276" w:type="dxa"/>
            <w:gridSpan w:val="2"/>
            <w:tcBorders>
              <w:top w:val="nil"/>
              <w:bottom w:val="nil"/>
            </w:tcBorders>
          </w:tcPr>
          <w:p w14:paraId="0918407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bottom w:val="nil"/>
            </w:tcBorders>
          </w:tcPr>
          <w:p w14:paraId="026E5EA4"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 (renamed Informal Settlements Improvement)</w:t>
            </w:r>
          </w:p>
        </w:tc>
        <w:tc>
          <w:tcPr>
            <w:tcW w:w="1275" w:type="dxa"/>
            <w:gridSpan w:val="2"/>
            <w:tcBorders>
              <w:top w:val="nil"/>
              <w:bottom w:val="nil"/>
            </w:tcBorders>
          </w:tcPr>
          <w:p w14:paraId="5F3176A5"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r>
      <w:tr w:rsidR="00614D5C" w:rsidRPr="00614D5C" w14:paraId="091E23FE" w14:textId="77777777" w:rsidTr="00614D5C">
        <w:trPr>
          <w:jc w:val="center"/>
        </w:trPr>
        <w:tc>
          <w:tcPr>
            <w:tcW w:w="832" w:type="dxa"/>
            <w:tcBorders>
              <w:top w:val="nil"/>
              <w:bottom w:val="nil"/>
            </w:tcBorders>
          </w:tcPr>
          <w:p w14:paraId="57CD8BDF"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037BDF21"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Kenya Education Sector Support Project II</w:t>
            </w:r>
          </w:p>
        </w:tc>
        <w:tc>
          <w:tcPr>
            <w:tcW w:w="1276" w:type="dxa"/>
            <w:gridSpan w:val="2"/>
            <w:tcBorders>
              <w:top w:val="nil"/>
              <w:bottom w:val="nil"/>
            </w:tcBorders>
          </w:tcPr>
          <w:p w14:paraId="422BA4C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bottom w:val="nil"/>
            </w:tcBorders>
          </w:tcPr>
          <w:p w14:paraId="1F5DD53E"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Dropped due to integrity concerns</w:t>
            </w:r>
          </w:p>
        </w:tc>
        <w:tc>
          <w:tcPr>
            <w:tcW w:w="1275" w:type="dxa"/>
            <w:gridSpan w:val="2"/>
            <w:tcBorders>
              <w:top w:val="nil"/>
              <w:bottom w:val="nil"/>
            </w:tcBorders>
          </w:tcPr>
          <w:p w14:paraId="6DCA68AA" w14:textId="77777777" w:rsidR="00614D5C" w:rsidRPr="00614D5C" w:rsidRDefault="00614D5C" w:rsidP="00614D5C">
            <w:pPr>
              <w:jc w:val="center"/>
              <w:rPr>
                <w:rFonts w:ascii="Times New Roman" w:hAnsi="Times New Roman" w:cs="Times New Roman"/>
                <w:sz w:val="24"/>
                <w:szCs w:val="24"/>
              </w:rPr>
            </w:pPr>
          </w:p>
        </w:tc>
      </w:tr>
      <w:tr w:rsidR="00614D5C" w:rsidRPr="00614D5C" w14:paraId="6A275E64" w14:textId="77777777" w:rsidTr="00614D5C">
        <w:trPr>
          <w:jc w:val="center"/>
        </w:trPr>
        <w:tc>
          <w:tcPr>
            <w:tcW w:w="832" w:type="dxa"/>
            <w:tcBorders>
              <w:top w:val="nil"/>
              <w:bottom w:val="nil"/>
            </w:tcBorders>
          </w:tcPr>
          <w:p w14:paraId="64577FD8"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0BD060A2"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DPL</w:t>
            </w:r>
          </w:p>
        </w:tc>
        <w:tc>
          <w:tcPr>
            <w:tcW w:w="1276" w:type="dxa"/>
            <w:gridSpan w:val="2"/>
            <w:tcBorders>
              <w:top w:val="nil"/>
              <w:bottom w:val="nil"/>
            </w:tcBorders>
          </w:tcPr>
          <w:p w14:paraId="5417CE30"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bottom w:val="nil"/>
            </w:tcBorders>
          </w:tcPr>
          <w:p w14:paraId="304DEF24"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Dropped as not a good fit at that time</w:t>
            </w:r>
          </w:p>
        </w:tc>
        <w:tc>
          <w:tcPr>
            <w:tcW w:w="1275" w:type="dxa"/>
            <w:gridSpan w:val="2"/>
            <w:tcBorders>
              <w:top w:val="nil"/>
              <w:bottom w:val="nil"/>
            </w:tcBorders>
          </w:tcPr>
          <w:p w14:paraId="38DBFA8A" w14:textId="77777777" w:rsidR="00614D5C" w:rsidRPr="00614D5C" w:rsidRDefault="00614D5C" w:rsidP="00614D5C">
            <w:pPr>
              <w:jc w:val="center"/>
              <w:rPr>
                <w:rFonts w:ascii="Times New Roman" w:hAnsi="Times New Roman" w:cs="Times New Roman"/>
                <w:sz w:val="24"/>
                <w:szCs w:val="24"/>
              </w:rPr>
            </w:pPr>
          </w:p>
        </w:tc>
      </w:tr>
      <w:tr w:rsidR="00614D5C" w:rsidRPr="00614D5C" w14:paraId="0AEA6AAE" w14:textId="77777777" w:rsidTr="00614D5C">
        <w:trPr>
          <w:jc w:val="center"/>
        </w:trPr>
        <w:tc>
          <w:tcPr>
            <w:tcW w:w="832" w:type="dxa"/>
            <w:tcBorders>
              <w:top w:val="nil"/>
              <w:bottom w:val="nil"/>
            </w:tcBorders>
          </w:tcPr>
          <w:p w14:paraId="035D0F81"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24286DEE" w14:textId="77777777" w:rsidR="00614D5C" w:rsidRPr="00614D5C" w:rsidRDefault="00614D5C" w:rsidP="00614D5C">
            <w:pPr>
              <w:rPr>
                <w:rFonts w:ascii="Times New Roman" w:hAnsi="Times New Roman" w:cs="Times New Roman"/>
                <w:sz w:val="24"/>
                <w:szCs w:val="24"/>
              </w:rPr>
            </w:pPr>
          </w:p>
        </w:tc>
        <w:tc>
          <w:tcPr>
            <w:tcW w:w="1276" w:type="dxa"/>
            <w:gridSpan w:val="2"/>
            <w:tcBorders>
              <w:top w:val="nil"/>
              <w:bottom w:val="nil"/>
            </w:tcBorders>
          </w:tcPr>
          <w:p w14:paraId="3E0E016D" w14:textId="77777777" w:rsidR="00614D5C" w:rsidRPr="00614D5C" w:rsidRDefault="00614D5C" w:rsidP="00614D5C">
            <w:pPr>
              <w:jc w:val="center"/>
              <w:rPr>
                <w:rFonts w:ascii="Times New Roman" w:hAnsi="Times New Roman" w:cs="Times New Roman"/>
                <w:sz w:val="24"/>
                <w:szCs w:val="24"/>
              </w:rPr>
            </w:pPr>
          </w:p>
        </w:tc>
        <w:tc>
          <w:tcPr>
            <w:tcW w:w="5387" w:type="dxa"/>
            <w:tcBorders>
              <w:top w:val="nil"/>
              <w:bottom w:val="nil"/>
            </w:tcBorders>
          </w:tcPr>
          <w:p w14:paraId="3A5994C1"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i/>
                <w:sz w:val="24"/>
                <w:szCs w:val="24"/>
              </w:rPr>
              <w:t>Additional actuals:</w:t>
            </w:r>
          </w:p>
        </w:tc>
        <w:tc>
          <w:tcPr>
            <w:tcW w:w="1275" w:type="dxa"/>
            <w:gridSpan w:val="2"/>
            <w:tcBorders>
              <w:top w:val="nil"/>
              <w:bottom w:val="nil"/>
            </w:tcBorders>
          </w:tcPr>
          <w:p w14:paraId="19AC8802" w14:textId="77777777" w:rsidR="00614D5C" w:rsidRPr="00614D5C" w:rsidRDefault="00614D5C" w:rsidP="00614D5C">
            <w:pPr>
              <w:jc w:val="center"/>
              <w:rPr>
                <w:rFonts w:ascii="Times New Roman" w:hAnsi="Times New Roman" w:cs="Times New Roman"/>
                <w:sz w:val="24"/>
                <w:szCs w:val="24"/>
              </w:rPr>
            </w:pPr>
          </w:p>
        </w:tc>
      </w:tr>
      <w:tr w:rsidR="00614D5C" w:rsidRPr="00614D5C" w14:paraId="475CF407" w14:textId="77777777" w:rsidTr="00614D5C">
        <w:trPr>
          <w:jc w:val="center"/>
        </w:trPr>
        <w:tc>
          <w:tcPr>
            <w:tcW w:w="832" w:type="dxa"/>
            <w:tcBorders>
              <w:top w:val="nil"/>
              <w:bottom w:val="nil"/>
            </w:tcBorders>
          </w:tcPr>
          <w:p w14:paraId="5E0B404B"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70AE6817" w14:textId="77777777" w:rsidR="00614D5C" w:rsidRPr="00614D5C" w:rsidRDefault="00614D5C" w:rsidP="00614D5C">
            <w:pPr>
              <w:rPr>
                <w:rFonts w:ascii="Times New Roman" w:hAnsi="Times New Roman" w:cs="Times New Roman"/>
                <w:sz w:val="24"/>
                <w:szCs w:val="24"/>
              </w:rPr>
            </w:pPr>
          </w:p>
        </w:tc>
        <w:tc>
          <w:tcPr>
            <w:tcW w:w="1276" w:type="dxa"/>
            <w:gridSpan w:val="2"/>
            <w:tcBorders>
              <w:top w:val="nil"/>
              <w:bottom w:val="nil"/>
            </w:tcBorders>
          </w:tcPr>
          <w:p w14:paraId="6DDC3B4E" w14:textId="77777777" w:rsidR="00614D5C" w:rsidRPr="00614D5C" w:rsidRDefault="00614D5C" w:rsidP="00614D5C">
            <w:pPr>
              <w:jc w:val="center"/>
              <w:rPr>
                <w:rFonts w:ascii="Times New Roman" w:hAnsi="Times New Roman" w:cs="Times New Roman"/>
                <w:sz w:val="24"/>
                <w:szCs w:val="24"/>
              </w:rPr>
            </w:pPr>
          </w:p>
        </w:tc>
        <w:tc>
          <w:tcPr>
            <w:tcW w:w="5387" w:type="dxa"/>
            <w:tcBorders>
              <w:top w:val="nil"/>
              <w:bottom w:val="nil"/>
            </w:tcBorders>
          </w:tcPr>
          <w:p w14:paraId="34DC1067"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Transport Sector Support Project</w:t>
            </w:r>
          </w:p>
          <w:p w14:paraId="796E1D00"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Coastal Development SIL (from 2010)</w:t>
            </w:r>
          </w:p>
        </w:tc>
        <w:tc>
          <w:tcPr>
            <w:tcW w:w="1275" w:type="dxa"/>
            <w:gridSpan w:val="2"/>
            <w:tcBorders>
              <w:top w:val="nil"/>
              <w:bottom w:val="nil"/>
            </w:tcBorders>
          </w:tcPr>
          <w:p w14:paraId="105B842F"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p w14:paraId="21EACA3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35.0</w:t>
            </w:r>
          </w:p>
        </w:tc>
      </w:tr>
      <w:tr w:rsidR="00614D5C" w:rsidRPr="00614D5C" w14:paraId="1223C9AD" w14:textId="77777777" w:rsidTr="00614D5C">
        <w:trPr>
          <w:jc w:val="center"/>
        </w:trPr>
        <w:tc>
          <w:tcPr>
            <w:tcW w:w="832" w:type="dxa"/>
            <w:tcBorders>
              <w:top w:val="nil"/>
            </w:tcBorders>
          </w:tcPr>
          <w:p w14:paraId="540A8C08"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tcBorders>
          </w:tcPr>
          <w:p w14:paraId="33AAE06E"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Subtotal:</w:t>
            </w:r>
          </w:p>
        </w:tc>
        <w:tc>
          <w:tcPr>
            <w:tcW w:w="1276" w:type="dxa"/>
            <w:gridSpan w:val="2"/>
            <w:tcBorders>
              <w:top w:val="nil"/>
            </w:tcBorders>
          </w:tcPr>
          <w:p w14:paraId="3D70A76A"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480.0</w:t>
            </w:r>
          </w:p>
        </w:tc>
        <w:tc>
          <w:tcPr>
            <w:tcW w:w="5387" w:type="dxa"/>
            <w:tcBorders>
              <w:top w:val="nil"/>
            </w:tcBorders>
          </w:tcPr>
          <w:p w14:paraId="25D363FA" w14:textId="77777777" w:rsidR="00614D5C" w:rsidRPr="00614D5C" w:rsidRDefault="00614D5C" w:rsidP="00614D5C">
            <w:pPr>
              <w:rPr>
                <w:rFonts w:ascii="Times New Roman" w:hAnsi="Times New Roman" w:cs="Times New Roman"/>
                <w:i/>
                <w:sz w:val="24"/>
                <w:szCs w:val="24"/>
              </w:rPr>
            </w:pPr>
          </w:p>
        </w:tc>
        <w:tc>
          <w:tcPr>
            <w:tcW w:w="1275" w:type="dxa"/>
            <w:gridSpan w:val="2"/>
            <w:tcBorders>
              <w:top w:val="nil"/>
            </w:tcBorders>
          </w:tcPr>
          <w:p w14:paraId="39AF38D3"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435.0</w:t>
            </w:r>
          </w:p>
        </w:tc>
      </w:tr>
      <w:tr w:rsidR="00614D5C" w:rsidRPr="00614D5C" w14:paraId="423F72EE" w14:textId="77777777" w:rsidTr="00614D5C">
        <w:trPr>
          <w:jc w:val="center"/>
        </w:trPr>
        <w:tc>
          <w:tcPr>
            <w:tcW w:w="832" w:type="dxa"/>
            <w:tcBorders>
              <w:top w:val="single" w:sz="4" w:space="0" w:color="000000" w:themeColor="text1"/>
              <w:right w:val="single" w:sz="4" w:space="0" w:color="000000" w:themeColor="text1"/>
            </w:tcBorders>
          </w:tcPr>
          <w:p w14:paraId="01FCAF38" w14:textId="77777777" w:rsidR="00614D5C" w:rsidRPr="00614D5C" w:rsidRDefault="00614D5C" w:rsidP="00614D5C">
            <w:pPr>
              <w:jc w:val="center"/>
              <w:rPr>
                <w:rFonts w:ascii="Times New Roman" w:hAnsi="Times New Roman" w:cs="Times New Roman"/>
                <w:sz w:val="24"/>
                <w:szCs w:val="24"/>
              </w:rPr>
            </w:pP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AA1C1"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Subtotal FY2010-2011</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C3B9D"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1025.0</w:t>
            </w:r>
          </w:p>
        </w:tc>
        <w:tc>
          <w:tcPr>
            <w:tcW w:w="5387" w:type="dxa"/>
            <w:tcBorders>
              <w:top w:val="single" w:sz="4" w:space="0" w:color="000000" w:themeColor="text1"/>
              <w:left w:val="single" w:sz="4" w:space="0" w:color="000000" w:themeColor="text1"/>
              <w:right w:val="single" w:sz="4" w:space="0" w:color="000000" w:themeColor="text1"/>
            </w:tcBorders>
          </w:tcPr>
          <w:p w14:paraId="1C07BFFE" w14:textId="77777777" w:rsidR="00614D5C" w:rsidRPr="00614D5C" w:rsidRDefault="00614D5C" w:rsidP="00614D5C">
            <w:pPr>
              <w:rPr>
                <w:rFonts w:ascii="Times New Roman" w:hAnsi="Times New Roman" w:cs="Times New Roman"/>
                <w:i/>
                <w:sz w:val="24"/>
                <w:szCs w:val="24"/>
              </w:rPr>
            </w:pPr>
          </w:p>
        </w:tc>
        <w:tc>
          <w:tcPr>
            <w:tcW w:w="1275" w:type="dxa"/>
            <w:gridSpan w:val="2"/>
            <w:tcBorders>
              <w:top w:val="single" w:sz="4" w:space="0" w:color="000000" w:themeColor="text1"/>
              <w:left w:val="single" w:sz="4" w:space="0" w:color="000000" w:themeColor="text1"/>
              <w:bottom w:val="single" w:sz="4" w:space="0" w:color="000000" w:themeColor="text1"/>
            </w:tcBorders>
          </w:tcPr>
          <w:p w14:paraId="705D3176"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1081.8</w:t>
            </w:r>
          </w:p>
        </w:tc>
      </w:tr>
      <w:tr w:rsidR="00614D5C" w:rsidRPr="00614D5C" w14:paraId="27B32556" w14:textId="77777777" w:rsidTr="00614D5C">
        <w:trPr>
          <w:jc w:val="center"/>
        </w:trPr>
        <w:tc>
          <w:tcPr>
            <w:tcW w:w="832" w:type="dxa"/>
            <w:tcBorders>
              <w:top w:val="nil"/>
              <w:bottom w:val="single" w:sz="4" w:space="0" w:color="000000" w:themeColor="text1"/>
              <w:right w:val="nil"/>
            </w:tcBorders>
          </w:tcPr>
          <w:p w14:paraId="1728E011" w14:textId="77777777" w:rsidR="00614D5C" w:rsidRPr="00614D5C" w:rsidRDefault="00614D5C" w:rsidP="00614D5C">
            <w:pPr>
              <w:jc w:val="center"/>
              <w:rPr>
                <w:rFonts w:ascii="Times New Roman" w:hAnsi="Times New Roman" w:cs="Times New Roman"/>
                <w:sz w:val="24"/>
                <w:szCs w:val="24"/>
              </w:rPr>
            </w:pPr>
          </w:p>
        </w:tc>
        <w:tc>
          <w:tcPr>
            <w:tcW w:w="5351" w:type="dxa"/>
            <w:tcBorders>
              <w:top w:val="single" w:sz="4" w:space="0" w:color="000000" w:themeColor="text1"/>
              <w:left w:val="nil"/>
              <w:bottom w:val="single" w:sz="4" w:space="0" w:color="000000" w:themeColor="text1"/>
              <w:right w:val="nil"/>
            </w:tcBorders>
          </w:tcPr>
          <w:p w14:paraId="1628AA38"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PROGRESS REPORT PLANS (04/05/2012)</w:t>
            </w:r>
          </w:p>
        </w:tc>
        <w:tc>
          <w:tcPr>
            <w:tcW w:w="820" w:type="dxa"/>
            <w:tcBorders>
              <w:top w:val="single" w:sz="4" w:space="0" w:color="000000" w:themeColor="text1"/>
              <w:left w:val="nil"/>
              <w:bottom w:val="single" w:sz="4" w:space="0" w:color="000000" w:themeColor="text1"/>
              <w:right w:val="nil"/>
            </w:tcBorders>
          </w:tcPr>
          <w:p w14:paraId="3116E91B" w14:textId="77777777" w:rsidR="00614D5C" w:rsidRPr="00614D5C" w:rsidRDefault="00614D5C" w:rsidP="00614D5C">
            <w:pPr>
              <w:jc w:val="center"/>
              <w:rPr>
                <w:rFonts w:ascii="Times New Roman" w:hAnsi="Times New Roman" w:cs="Times New Roman"/>
                <w:b/>
                <w:sz w:val="24"/>
                <w:szCs w:val="24"/>
              </w:rPr>
            </w:pPr>
          </w:p>
        </w:tc>
        <w:tc>
          <w:tcPr>
            <w:tcW w:w="456" w:type="dxa"/>
            <w:tcBorders>
              <w:top w:val="nil"/>
              <w:left w:val="nil"/>
              <w:bottom w:val="single" w:sz="4" w:space="0" w:color="000000" w:themeColor="text1"/>
            </w:tcBorders>
          </w:tcPr>
          <w:p w14:paraId="56F98494" w14:textId="77777777" w:rsidR="00614D5C" w:rsidRPr="00614D5C" w:rsidRDefault="00614D5C" w:rsidP="00614D5C">
            <w:pPr>
              <w:jc w:val="center"/>
              <w:rPr>
                <w:rFonts w:ascii="Times New Roman" w:hAnsi="Times New Roman" w:cs="Times New Roman"/>
                <w:b/>
                <w:sz w:val="24"/>
                <w:szCs w:val="24"/>
              </w:rPr>
            </w:pPr>
          </w:p>
        </w:tc>
        <w:tc>
          <w:tcPr>
            <w:tcW w:w="5387" w:type="dxa"/>
            <w:tcBorders>
              <w:top w:val="nil"/>
              <w:bottom w:val="single" w:sz="4" w:space="0" w:color="000000" w:themeColor="text1"/>
              <w:right w:val="nil"/>
            </w:tcBorders>
          </w:tcPr>
          <w:p w14:paraId="3D5FFE74"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STATUS</w:t>
            </w:r>
          </w:p>
        </w:tc>
        <w:tc>
          <w:tcPr>
            <w:tcW w:w="848" w:type="dxa"/>
            <w:tcBorders>
              <w:top w:val="single" w:sz="4" w:space="0" w:color="000000" w:themeColor="text1"/>
              <w:left w:val="nil"/>
              <w:bottom w:val="single" w:sz="4" w:space="0" w:color="000000" w:themeColor="text1"/>
              <w:right w:val="nil"/>
            </w:tcBorders>
          </w:tcPr>
          <w:p w14:paraId="26B17611" w14:textId="77777777" w:rsidR="00614D5C" w:rsidRPr="00614D5C" w:rsidRDefault="00614D5C" w:rsidP="00614D5C">
            <w:pPr>
              <w:jc w:val="center"/>
              <w:rPr>
                <w:rFonts w:ascii="Times New Roman" w:hAnsi="Times New Roman" w:cs="Times New Roman"/>
                <w:sz w:val="24"/>
                <w:szCs w:val="24"/>
              </w:rPr>
            </w:pPr>
          </w:p>
        </w:tc>
        <w:tc>
          <w:tcPr>
            <w:tcW w:w="427" w:type="dxa"/>
            <w:tcBorders>
              <w:top w:val="nil"/>
              <w:left w:val="nil"/>
            </w:tcBorders>
          </w:tcPr>
          <w:p w14:paraId="010B406C" w14:textId="77777777" w:rsidR="00614D5C" w:rsidRPr="00614D5C" w:rsidRDefault="00614D5C" w:rsidP="00614D5C">
            <w:pPr>
              <w:jc w:val="center"/>
              <w:rPr>
                <w:rFonts w:ascii="Times New Roman" w:hAnsi="Times New Roman" w:cs="Times New Roman"/>
                <w:sz w:val="24"/>
                <w:szCs w:val="24"/>
              </w:rPr>
            </w:pPr>
          </w:p>
        </w:tc>
      </w:tr>
      <w:tr w:rsidR="00614D5C" w:rsidRPr="00614D5C" w14:paraId="2D7DE983" w14:textId="77777777" w:rsidTr="00614D5C">
        <w:trPr>
          <w:jc w:val="center"/>
        </w:trPr>
        <w:tc>
          <w:tcPr>
            <w:tcW w:w="832" w:type="dxa"/>
            <w:tcBorders>
              <w:bottom w:val="nil"/>
              <w:right w:val="single" w:sz="4" w:space="0" w:color="000000" w:themeColor="text1"/>
            </w:tcBorders>
          </w:tcPr>
          <w:p w14:paraId="1EAC0D44"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2012</w:t>
            </w:r>
          </w:p>
        </w:tc>
        <w:tc>
          <w:tcPr>
            <w:tcW w:w="5351" w:type="dxa"/>
            <w:tcBorders>
              <w:top w:val="nil"/>
              <w:left w:val="single" w:sz="4" w:space="0" w:color="000000" w:themeColor="text1"/>
              <w:bottom w:val="nil"/>
              <w:right w:val="single" w:sz="4" w:space="0" w:color="000000" w:themeColor="text1"/>
            </w:tcBorders>
          </w:tcPr>
          <w:p w14:paraId="4985B172"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Health SWAP</w:t>
            </w:r>
          </w:p>
        </w:tc>
        <w:tc>
          <w:tcPr>
            <w:tcW w:w="1276" w:type="dxa"/>
            <w:gridSpan w:val="2"/>
            <w:tcBorders>
              <w:top w:val="nil"/>
              <w:left w:val="single" w:sz="4" w:space="0" w:color="000000" w:themeColor="text1"/>
              <w:bottom w:val="nil"/>
              <w:right w:val="single" w:sz="4" w:space="0" w:color="000000" w:themeColor="text1"/>
            </w:tcBorders>
          </w:tcPr>
          <w:p w14:paraId="28F54C67"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left w:val="single" w:sz="4" w:space="0" w:color="000000" w:themeColor="text1"/>
              <w:bottom w:val="nil"/>
              <w:right w:val="single" w:sz="4" w:space="0" w:color="000000" w:themeColor="text1"/>
            </w:tcBorders>
          </w:tcPr>
          <w:p w14:paraId="6580CF73"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Brought forward to 2010</w:t>
            </w:r>
          </w:p>
        </w:tc>
        <w:tc>
          <w:tcPr>
            <w:tcW w:w="1275" w:type="dxa"/>
            <w:gridSpan w:val="2"/>
            <w:tcBorders>
              <w:left w:val="single" w:sz="4" w:space="0" w:color="000000" w:themeColor="text1"/>
              <w:bottom w:val="nil"/>
            </w:tcBorders>
          </w:tcPr>
          <w:p w14:paraId="19A36C49" w14:textId="77777777" w:rsidR="00614D5C" w:rsidRPr="00614D5C" w:rsidRDefault="00614D5C" w:rsidP="00614D5C">
            <w:pPr>
              <w:jc w:val="center"/>
              <w:rPr>
                <w:rFonts w:ascii="Times New Roman" w:hAnsi="Times New Roman" w:cs="Times New Roman"/>
                <w:sz w:val="24"/>
                <w:szCs w:val="24"/>
              </w:rPr>
            </w:pPr>
          </w:p>
        </w:tc>
      </w:tr>
      <w:tr w:rsidR="00614D5C" w:rsidRPr="00614D5C" w14:paraId="05E36BC5" w14:textId="77777777" w:rsidTr="00614D5C">
        <w:trPr>
          <w:jc w:val="center"/>
        </w:trPr>
        <w:tc>
          <w:tcPr>
            <w:tcW w:w="832" w:type="dxa"/>
            <w:tcBorders>
              <w:top w:val="nil"/>
              <w:bottom w:val="nil"/>
              <w:right w:val="single" w:sz="4" w:space="0" w:color="000000" w:themeColor="text1"/>
            </w:tcBorders>
          </w:tcPr>
          <w:p w14:paraId="52741AE2"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4B383734"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Arid Lands Resource Management Project II</w:t>
            </w:r>
          </w:p>
        </w:tc>
        <w:tc>
          <w:tcPr>
            <w:tcW w:w="1276" w:type="dxa"/>
            <w:gridSpan w:val="2"/>
            <w:tcBorders>
              <w:top w:val="nil"/>
              <w:left w:val="single" w:sz="4" w:space="0" w:color="000000" w:themeColor="text1"/>
              <w:bottom w:val="nil"/>
              <w:right w:val="single" w:sz="4" w:space="0" w:color="000000" w:themeColor="text1"/>
            </w:tcBorders>
          </w:tcPr>
          <w:p w14:paraId="46AA9D55"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left w:val="single" w:sz="4" w:space="0" w:color="000000" w:themeColor="text1"/>
              <w:bottom w:val="nil"/>
              <w:right w:val="single" w:sz="4" w:space="0" w:color="000000" w:themeColor="text1"/>
            </w:tcBorders>
          </w:tcPr>
          <w:p w14:paraId="1A629EBF"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Dropped due to corruption issues in predecessor project</w:t>
            </w:r>
          </w:p>
        </w:tc>
        <w:tc>
          <w:tcPr>
            <w:tcW w:w="1275" w:type="dxa"/>
            <w:gridSpan w:val="2"/>
            <w:tcBorders>
              <w:top w:val="nil"/>
              <w:left w:val="single" w:sz="4" w:space="0" w:color="000000" w:themeColor="text1"/>
              <w:bottom w:val="nil"/>
            </w:tcBorders>
          </w:tcPr>
          <w:p w14:paraId="5470C932" w14:textId="77777777" w:rsidR="00614D5C" w:rsidRPr="00614D5C" w:rsidRDefault="00614D5C" w:rsidP="00614D5C">
            <w:pPr>
              <w:jc w:val="center"/>
              <w:rPr>
                <w:rFonts w:ascii="Times New Roman" w:hAnsi="Times New Roman" w:cs="Times New Roman"/>
                <w:sz w:val="24"/>
                <w:szCs w:val="24"/>
              </w:rPr>
            </w:pPr>
          </w:p>
        </w:tc>
      </w:tr>
      <w:tr w:rsidR="00614D5C" w:rsidRPr="00614D5C" w14:paraId="6E4BDA0D" w14:textId="77777777" w:rsidTr="00614D5C">
        <w:trPr>
          <w:jc w:val="center"/>
        </w:trPr>
        <w:tc>
          <w:tcPr>
            <w:tcW w:w="832" w:type="dxa"/>
            <w:tcBorders>
              <w:top w:val="nil"/>
              <w:bottom w:val="nil"/>
              <w:right w:val="single" w:sz="4" w:space="0" w:color="000000" w:themeColor="text1"/>
            </w:tcBorders>
          </w:tcPr>
          <w:p w14:paraId="00AA0790"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15F0CC1F"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Water and Sanitation Services Improvement AF</w:t>
            </w:r>
          </w:p>
        </w:tc>
        <w:tc>
          <w:tcPr>
            <w:tcW w:w="1276" w:type="dxa"/>
            <w:gridSpan w:val="2"/>
            <w:tcBorders>
              <w:top w:val="nil"/>
              <w:left w:val="single" w:sz="4" w:space="0" w:color="000000" w:themeColor="text1"/>
              <w:bottom w:val="nil"/>
              <w:right w:val="single" w:sz="4" w:space="0" w:color="000000" w:themeColor="text1"/>
            </w:tcBorders>
          </w:tcPr>
          <w:p w14:paraId="51D38C91"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tc>
        <w:tc>
          <w:tcPr>
            <w:tcW w:w="5387" w:type="dxa"/>
            <w:tcBorders>
              <w:top w:val="nil"/>
              <w:left w:val="single" w:sz="4" w:space="0" w:color="000000" w:themeColor="text1"/>
              <w:bottom w:val="nil"/>
              <w:right w:val="single" w:sz="4" w:space="0" w:color="000000" w:themeColor="text1"/>
            </w:tcBorders>
          </w:tcPr>
          <w:p w14:paraId="3BC46AB5"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left w:val="single" w:sz="4" w:space="0" w:color="000000" w:themeColor="text1"/>
              <w:bottom w:val="nil"/>
            </w:tcBorders>
          </w:tcPr>
          <w:p w14:paraId="793E839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tc>
      </w:tr>
      <w:tr w:rsidR="00614D5C" w:rsidRPr="00614D5C" w14:paraId="6A14EA1F" w14:textId="77777777" w:rsidTr="00614D5C">
        <w:trPr>
          <w:jc w:val="center"/>
        </w:trPr>
        <w:tc>
          <w:tcPr>
            <w:tcW w:w="832" w:type="dxa"/>
            <w:tcBorders>
              <w:top w:val="nil"/>
              <w:bottom w:val="nil"/>
              <w:right w:val="single" w:sz="4" w:space="0" w:color="000000" w:themeColor="text1"/>
            </w:tcBorders>
          </w:tcPr>
          <w:p w14:paraId="6EF91197"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6424CB35"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Nairobi Metropolitan Services</w:t>
            </w:r>
          </w:p>
        </w:tc>
        <w:tc>
          <w:tcPr>
            <w:tcW w:w="1276" w:type="dxa"/>
            <w:gridSpan w:val="2"/>
            <w:tcBorders>
              <w:top w:val="nil"/>
              <w:left w:val="single" w:sz="4" w:space="0" w:color="000000" w:themeColor="text1"/>
              <w:bottom w:val="nil"/>
              <w:right w:val="single" w:sz="4" w:space="0" w:color="000000" w:themeColor="text1"/>
            </w:tcBorders>
          </w:tcPr>
          <w:p w14:paraId="7294AC1C"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tc>
        <w:tc>
          <w:tcPr>
            <w:tcW w:w="5387" w:type="dxa"/>
            <w:tcBorders>
              <w:top w:val="nil"/>
              <w:left w:val="single" w:sz="4" w:space="0" w:color="000000" w:themeColor="text1"/>
              <w:bottom w:val="nil"/>
              <w:right w:val="single" w:sz="4" w:space="0" w:color="000000" w:themeColor="text1"/>
            </w:tcBorders>
          </w:tcPr>
          <w:p w14:paraId="4C9B91AD"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left w:val="single" w:sz="4" w:space="0" w:color="000000" w:themeColor="text1"/>
              <w:bottom w:val="nil"/>
            </w:tcBorders>
          </w:tcPr>
          <w:p w14:paraId="07307C15"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tc>
      </w:tr>
      <w:tr w:rsidR="00614D5C" w:rsidRPr="00614D5C" w14:paraId="4378A23B" w14:textId="77777777" w:rsidTr="00614D5C">
        <w:trPr>
          <w:jc w:val="center"/>
        </w:trPr>
        <w:tc>
          <w:tcPr>
            <w:tcW w:w="832" w:type="dxa"/>
            <w:tcBorders>
              <w:top w:val="nil"/>
              <w:bottom w:val="nil"/>
              <w:right w:val="single" w:sz="4" w:space="0" w:color="000000" w:themeColor="text1"/>
            </w:tcBorders>
          </w:tcPr>
          <w:p w14:paraId="3F66A5D1"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5FF414BF"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KCTIP AF</w:t>
            </w:r>
          </w:p>
        </w:tc>
        <w:tc>
          <w:tcPr>
            <w:tcW w:w="1276" w:type="dxa"/>
            <w:gridSpan w:val="2"/>
            <w:tcBorders>
              <w:top w:val="nil"/>
              <w:left w:val="single" w:sz="4" w:space="0" w:color="000000" w:themeColor="text1"/>
              <w:bottom w:val="nil"/>
              <w:right w:val="single" w:sz="4" w:space="0" w:color="000000" w:themeColor="text1"/>
            </w:tcBorders>
          </w:tcPr>
          <w:p w14:paraId="31CCCAB7"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39.0</w:t>
            </w:r>
          </w:p>
        </w:tc>
        <w:tc>
          <w:tcPr>
            <w:tcW w:w="5387" w:type="dxa"/>
            <w:tcBorders>
              <w:top w:val="nil"/>
              <w:left w:val="single" w:sz="4" w:space="0" w:color="000000" w:themeColor="text1"/>
              <w:bottom w:val="nil"/>
              <w:right w:val="single" w:sz="4" w:space="0" w:color="000000" w:themeColor="text1"/>
            </w:tcBorders>
          </w:tcPr>
          <w:p w14:paraId="18899477"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left w:val="single" w:sz="4" w:space="0" w:color="000000" w:themeColor="text1"/>
              <w:bottom w:val="nil"/>
            </w:tcBorders>
          </w:tcPr>
          <w:p w14:paraId="711165B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55.0</w:t>
            </w:r>
          </w:p>
        </w:tc>
      </w:tr>
      <w:tr w:rsidR="00614D5C" w:rsidRPr="00614D5C" w14:paraId="3CFAEF92" w14:textId="77777777" w:rsidTr="00614D5C">
        <w:trPr>
          <w:jc w:val="center"/>
        </w:trPr>
        <w:tc>
          <w:tcPr>
            <w:tcW w:w="832" w:type="dxa"/>
            <w:tcBorders>
              <w:top w:val="nil"/>
              <w:bottom w:val="nil"/>
              <w:right w:val="single" w:sz="4" w:space="0" w:color="000000" w:themeColor="text1"/>
            </w:tcBorders>
          </w:tcPr>
          <w:p w14:paraId="05F48F79"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1230C6DD"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Northern Corridor Transport AF</w:t>
            </w:r>
          </w:p>
        </w:tc>
        <w:tc>
          <w:tcPr>
            <w:tcW w:w="1276" w:type="dxa"/>
            <w:gridSpan w:val="2"/>
            <w:tcBorders>
              <w:top w:val="nil"/>
              <w:left w:val="single" w:sz="4" w:space="0" w:color="000000" w:themeColor="text1"/>
              <w:bottom w:val="nil"/>
              <w:right w:val="single" w:sz="4" w:space="0" w:color="000000" w:themeColor="text1"/>
            </w:tcBorders>
          </w:tcPr>
          <w:p w14:paraId="7449BEB6"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43.0</w:t>
            </w:r>
          </w:p>
        </w:tc>
        <w:tc>
          <w:tcPr>
            <w:tcW w:w="5387" w:type="dxa"/>
            <w:tcBorders>
              <w:top w:val="nil"/>
              <w:left w:val="single" w:sz="4" w:space="0" w:color="000000" w:themeColor="text1"/>
              <w:bottom w:val="nil"/>
              <w:right w:val="single" w:sz="4" w:space="0" w:color="000000" w:themeColor="text1"/>
            </w:tcBorders>
          </w:tcPr>
          <w:p w14:paraId="4C262F52"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left w:val="single" w:sz="4" w:space="0" w:color="000000" w:themeColor="text1"/>
              <w:bottom w:val="nil"/>
            </w:tcBorders>
          </w:tcPr>
          <w:p w14:paraId="6FF24982"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253.0</w:t>
            </w:r>
          </w:p>
        </w:tc>
      </w:tr>
      <w:tr w:rsidR="00614D5C" w:rsidRPr="00614D5C" w14:paraId="13D6127C" w14:textId="77777777" w:rsidTr="00614D5C">
        <w:trPr>
          <w:jc w:val="center"/>
        </w:trPr>
        <w:tc>
          <w:tcPr>
            <w:tcW w:w="832" w:type="dxa"/>
            <w:tcBorders>
              <w:top w:val="nil"/>
              <w:bottom w:val="nil"/>
              <w:right w:val="single" w:sz="4" w:space="0" w:color="000000" w:themeColor="text1"/>
            </w:tcBorders>
          </w:tcPr>
          <w:p w14:paraId="01C58AE3"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bottom w:val="nil"/>
              <w:right w:val="single" w:sz="4" w:space="0" w:color="000000" w:themeColor="text1"/>
            </w:tcBorders>
          </w:tcPr>
          <w:p w14:paraId="126DC796"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Eastern Electricity Highway Project (regional)</w:t>
            </w:r>
          </w:p>
        </w:tc>
        <w:tc>
          <w:tcPr>
            <w:tcW w:w="1276" w:type="dxa"/>
            <w:gridSpan w:val="2"/>
            <w:tcBorders>
              <w:top w:val="nil"/>
              <w:left w:val="single" w:sz="4" w:space="0" w:color="000000" w:themeColor="text1"/>
              <w:bottom w:val="nil"/>
              <w:right w:val="single" w:sz="4" w:space="0" w:color="000000" w:themeColor="text1"/>
            </w:tcBorders>
          </w:tcPr>
          <w:p w14:paraId="188E83EA"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131.0</w:t>
            </w:r>
          </w:p>
        </w:tc>
        <w:tc>
          <w:tcPr>
            <w:tcW w:w="5387" w:type="dxa"/>
            <w:tcBorders>
              <w:top w:val="nil"/>
              <w:left w:val="single" w:sz="4" w:space="0" w:color="000000" w:themeColor="text1"/>
              <w:bottom w:val="nil"/>
              <w:right w:val="single" w:sz="4" w:space="0" w:color="000000" w:themeColor="text1"/>
            </w:tcBorders>
          </w:tcPr>
          <w:p w14:paraId="2E6757E3"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gridSpan w:val="2"/>
            <w:tcBorders>
              <w:top w:val="nil"/>
              <w:left w:val="single" w:sz="4" w:space="0" w:color="000000" w:themeColor="text1"/>
              <w:bottom w:val="nil"/>
            </w:tcBorders>
          </w:tcPr>
          <w:p w14:paraId="4DA37BED"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441.0</w:t>
            </w:r>
          </w:p>
        </w:tc>
      </w:tr>
      <w:tr w:rsidR="00614D5C" w:rsidRPr="00614D5C" w14:paraId="052A410C" w14:textId="77777777" w:rsidTr="00614D5C">
        <w:trPr>
          <w:jc w:val="center"/>
        </w:trPr>
        <w:tc>
          <w:tcPr>
            <w:tcW w:w="832" w:type="dxa"/>
            <w:tcBorders>
              <w:top w:val="nil"/>
              <w:right w:val="single" w:sz="4" w:space="0" w:color="000000" w:themeColor="text1"/>
            </w:tcBorders>
          </w:tcPr>
          <w:p w14:paraId="168FDB4B"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left w:val="single" w:sz="4" w:space="0" w:color="000000" w:themeColor="text1"/>
              <w:right w:val="single" w:sz="4" w:space="0" w:color="000000" w:themeColor="text1"/>
            </w:tcBorders>
          </w:tcPr>
          <w:p w14:paraId="27DC8139" w14:textId="77777777" w:rsidR="00614D5C" w:rsidRPr="00614D5C" w:rsidRDefault="00614D5C" w:rsidP="00614D5C">
            <w:pPr>
              <w:jc w:val="center"/>
              <w:rPr>
                <w:rFonts w:ascii="Times New Roman" w:hAnsi="Times New Roman" w:cs="Times New Roman"/>
                <w:i/>
                <w:sz w:val="24"/>
                <w:szCs w:val="24"/>
              </w:rPr>
            </w:pPr>
          </w:p>
          <w:p w14:paraId="51562B4B"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Subtotal:</w:t>
            </w:r>
          </w:p>
        </w:tc>
        <w:tc>
          <w:tcPr>
            <w:tcW w:w="1276" w:type="dxa"/>
            <w:gridSpan w:val="2"/>
            <w:tcBorders>
              <w:top w:val="nil"/>
              <w:left w:val="single" w:sz="4" w:space="0" w:color="000000" w:themeColor="text1"/>
              <w:right w:val="single" w:sz="4" w:space="0" w:color="000000" w:themeColor="text1"/>
            </w:tcBorders>
          </w:tcPr>
          <w:p w14:paraId="71C7AFF0" w14:textId="77777777" w:rsidR="00614D5C" w:rsidRPr="00614D5C" w:rsidRDefault="00614D5C" w:rsidP="00614D5C">
            <w:pPr>
              <w:jc w:val="center"/>
              <w:rPr>
                <w:rFonts w:ascii="Times New Roman" w:hAnsi="Times New Roman" w:cs="Times New Roman"/>
                <w:i/>
                <w:sz w:val="24"/>
                <w:szCs w:val="24"/>
              </w:rPr>
            </w:pPr>
          </w:p>
          <w:p w14:paraId="14B58646"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1013.0</w:t>
            </w:r>
          </w:p>
        </w:tc>
        <w:tc>
          <w:tcPr>
            <w:tcW w:w="5387" w:type="dxa"/>
            <w:tcBorders>
              <w:top w:val="nil"/>
              <w:left w:val="single" w:sz="4" w:space="0" w:color="000000" w:themeColor="text1"/>
              <w:right w:val="single" w:sz="4" w:space="0" w:color="000000" w:themeColor="text1"/>
            </w:tcBorders>
          </w:tcPr>
          <w:p w14:paraId="12ECD71E" w14:textId="77777777" w:rsidR="00614D5C" w:rsidRPr="00614D5C" w:rsidRDefault="00614D5C" w:rsidP="00614D5C">
            <w:pPr>
              <w:rPr>
                <w:rFonts w:ascii="Times New Roman" w:hAnsi="Times New Roman" w:cs="Times New Roman"/>
                <w:i/>
                <w:sz w:val="24"/>
                <w:szCs w:val="24"/>
              </w:rPr>
            </w:pPr>
          </w:p>
        </w:tc>
        <w:tc>
          <w:tcPr>
            <w:tcW w:w="1275" w:type="dxa"/>
            <w:gridSpan w:val="2"/>
            <w:tcBorders>
              <w:top w:val="nil"/>
              <w:left w:val="single" w:sz="4" w:space="0" w:color="000000" w:themeColor="text1"/>
            </w:tcBorders>
          </w:tcPr>
          <w:p w14:paraId="23054968" w14:textId="77777777" w:rsidR="00614D5C" w:rsidRPr="00614D5C" w:rsidRDefault="00614D5C" w:rsidP="00614D5C">
            <w:pPr>
              <w:jc w:val="center"/>
              <w:rPr>
                <w:rFonts w:ascii="Times New Roman" w:hAnsi="Times New Roman" w:cs="Times New Roman"/>
                <w:i/>
                <w:sz w:val="24"/>
                <w:szCs w:val="24"/>
              </w:rPr>
            </w:pPr>
          </w:p>
          <w:p w14:paraId="1CDDD467" w14:textId="77777777" w:rsidR="00614D5C" w:rsidRPr="00614D5C" w:rsidRDefault="00614D5C" w:rsidP="00614D5C">
            <w:pPr>
              <w:jc w:val="center"/>
              <w:rPr>
                <w:rFonts w:ascii="Times New Roman" w:hAnsi="Times New Roman" w:cs="Times New Roman"/>
                <w:i/>
                <w:sz w:val="24"/>
                <w:szCs w:val="24"/>
              </w:rPr>
            </w:pPr>
            <w:r w:rsidRPr="00614D5C">
              <w:rPr>
                <w:rFonts w:ascii="Times New Roman" w:hAnsi="Times New Roman" w:cs="Times New Roman"/>
                <w:i/>
                <w:sz w:val="24"/>
                <w:szCs w:val="24"/>
              </w:rPr>
              <w:t>1349.0</w:t>
            </w:r>
          </w:p>
        </w:tc>
      </w:tr>
    </w:tbl>
    <w:p w14:paraId="410E23BB" w14:textId="77777777" w:rsidR="00614D5C" w:rsidRPr="00614D5C" w:rsidRDefault="00614D5C" w:rsidP="00614D5C">
      <w:pPr>
        <w:rPr>
          <w:lang w:val="en-GB"/>
        </w:rPr>
      </w:pPr>
      <w:r w:rsidRPr="00614D5C">
        <w:rPr>
          <w:lang w:val="en-GB"/>
        </w:rPr>
        <w:br w:type="page"/>
      </w:r>
    </w:p>
    <w:tbl>
      <w:tblPr>
        <w:tblStyle w:val="TableGrid4"/>
        <w:tblW w:w="14121" w:type="dxa"/>
        <w:jc w:val="center"/>
        <w:tblLook w:val="04A0" w:firstRow="1" w:lastRow="0" w:firstColumn="1" w:lastColumn="0" w:noHBand="0" w:noVBand="1"/>
      </w:tblPr>
      <w:tblGrid>
        <w:gridCol w:w="832"/>
        <w:gridCol w:w="5351"/>
        <w:gridCol w:w="1276"/>
        <w:gridCol w:w="5387"/>
        <w:gridCol w:w="1275"/>
      </w:tblGrid>
      <w:tr w:rsidR="00614D5C" w:rsidRPr="00614D5C" w14:paraId="1DC9CE70" w14:textId="77777777" w:rsidTr="00614D5C">
        <w:trPr>
          <w:jc w:val="center"/>
        </w:trPr>
        <w:tc>
          <w:tcPr>
            <w:tcW w:w="7459" w:type="dxa"/>
            <w:gridSpan w:val="3"/>
            <w:tcBorders>
              <w:bottom w:val="nil"/>
            </w:tcBorders>
          </w:tcPr>
          <w:p w14:paraId="567D8384"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lastRenderedPageBreak/>
              <w:t>PROGRESS REPORT PLANS (04/05/2012)</w:t>
            </w:r>
          </w:p>
        </w:tc>
        <w:tc>
          <w:tcPr>
            <w:tcW w:w="6662" w:type="dxa"/>
            <w:gridSpan w:val="2"/>
            <w:tcBorders>
              <w:bottom w:val="nil"/>
            </w:tcBorders>
          </w:tcPr>
          <w:p w14:paraId="282B3CD7" w14:textId="77777777" w:rsidR="00614D5C" w:rsidRPr="00614D5C" w:rsidRDefault="00614D5C" w:rsidP="00614D5C">
            <w:pPr>
              <w:jc w:val="center"/>
              <w:rPr>
                <w:rFonts w:ascii="Times New Roman" w:hAnsi="Times New Roman" w:cs="Times New Roman"/>
                <w:b/>
                <w:sz w:val="24"/>
                <w:szCs w:val="24"/>
              </w:rPr>
            </w:pPr>
            <w:r w:rsidRPr="00614D5C">
              <w:rPr>
                <w:rFonts w:ascii="Times New Roman" w:hAnsi="Times New Roman" w:cs="Times New Roman"/>
                <w:b/>
                <w:sz w:val="24"/>
                <w:szCs w:val="24"/>
              </w:rPr>
              <w:t>STATUS</w:t>
            </w:r>
          </w:p>
        </w:tc>
      </w:tr>
      <w:tr w:rsidR="00614D5C" w:rsidRPr="00614D5C" w14:paraId="39D0F4E8" w14:textId="77777777" w:rsidTr="00614D5C">
        <w:trPr>
          <w:jc w:val="center"/>
        </w:trPr>
        <w:tc>
          <w:tcPr>
            <w:tcW w:w="832" w:type="dxa"/>
            <w:tcBorders>
              <w:bottom w:val="nil"/>
            </w:tcBorders>
          </w:tcPr>
          <w:p w14:paraId="6201595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2013+</w:t>
            </w:r>
          </w:p>
        </w:tc>
        <w:tc>
          <w:tcPr>
            <w:tcW w:w="5351" w:type="dxa"/>
            <w:tcBorders>
              <w:bottom w:val="nil"/>
            </w:tcBorders>
          </w:tcPr>
          <w:p w14:paraId="68CDDA83"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Water Security and Climate Resilience</w:t>
            </w:r>
          </w:p>
        </w:tc>
        <w:tc>
          <w:tcPr>
            <w:tcW w:w="1276" w:type="dxa"/>
            <w:tcBorders>
              <w:bottom w:val="nil"/>
            </w:tcBorders>
          </w:tcPr>
          <w:p w14:paraId="3C44C75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250.0</w:t>
            </w:r>
          </w:p>
        </w:tc>
        <w:tc>
          <w:tcPr>
            <w:tcW w:w="5387" w:type="dxa"/>
            <w:tcBorders>
              <w:bottom w:val="nil"/>
            </w:tcBorders>
          </w:tcPr>
          <w:p w14:paraId="35A0B9E3"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tcBorders>
              <w:bottom w:val="nil"/>
            </w:tcBorders>
          </w:tcPr>
          <w:p w14:paraId="72080C68"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155.0</w:t>
            </w:r>
          </w:p>
        </w:tc>
      </w:tr>
      <w:tr w:rsidR="00614D5C" w:rsidRPr="00614D5C" w14:paraId="6EB935B0" w14:textId="77777777" w:rsidTr="00614D5C">
        <w:trPr>
          <w:jc w:val="center"/>
        </w:trPr>
        <w:tc>
          <w:tcPr>
            <w:tcW w:w="832" w:type="dxa"/>
            <w:tcBorders>
              <w:top w:val="nil"/>
              <w:bottom w:val="nil"/>
            </w:tcBorders>
          </w:tcPr>
          <w:p w14:paraId="20503D54"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414D7936"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Pastoral Livelihoods Recovery and Resilience</w:t>
            </w:r>
          </w:p>
        </w:tc>
        <w:tc>
          <w:tcPr>
            <w:tcW w:w="1276" w:type="dxa"/>
            <w:tcBorders>
              <w:top w:val="nil"/>
              <w:bottom w:val="nil"/>
            </w:tcBorders>
          </w:tcPr>
          <w:p w14:paraId="542FE136"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25.0</w:t>
            </w:r>
          </w:p>
        </w:tc>
        <w:tc>
          <w:tcPr>
            <w:tcW w:w="5387" w:type="dxa"/>
            <w:tcBorders>
              <w:top w:val="nil"/>
              <w:bottom w:val="nil"/>
            </w:tcBorders>
          </w:tcPr>
          <w:p w14:paraId="4BDFB13A"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Rescheduled to FY14</w:t>
            </w:r>
          </w:p>
        </w:tc>
        <w:tc>
          <w:tcPr>
            <w:tcW w:w="1275" w:type="dxa"/>
            <w:tcBorders>
              <w:top w:val="nil"/>
              <w:bottom w:val="nil"/>
            </w:tcBorders>
          </w:tcPr>
          <w:p w14:paraId="5F9EEB64" w14:textId="77777777" w:rsidR="00614D5C" w:rsidRPr="00614D5C" w:rsidRDefault="00614D5C" w:rsidP="00614D5C">
            <w:pPr>
              <w:jc w:val="center"/>
              <w:rPr>
                <w:rFonts w:ascii="Times New Roman" w:hAnsi="Times New Roman" w:cs="Times New Roman"/>
                <w:sz w:val="24"/>
                <w:szCs w:val="24"/>
              </w:rPr>
            </w:pPr>
          </w:p>
        </w:tc>
      </w:tr>
      <w:tr w:rsidR="00614D5C" w:rsidRPr="00614D5C" w14:paraId="3EA541E5" w14:textId="77777777" w:rsidTr="00614D5C">
        <w:trPr>
          <w:jc w:val="center"/>
        </w:trPr>
        <w:tc>
          <w:tcPr>
            <w:tcW w:w="832" w:type="dxa"/>
            <w:tcBorders>
              <w:top w:val="nil"/>
              <w:bottom w:val="nil"/>
            </w:tcBorders>
          </w:tcPr>
          <w:p w14:paraId="524DA363"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0781EFF3"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Infrastructure Finance and Public Private Partnerships</w:t>
            </w:r>
          </w:p>
        </w:tc>
        <w:tc>
          <w:tcPr>
            <w:tcW w:w="1276" w:type="dxa"/>
            <w:tcBorders>
              <w:top w:val="nil"/>
              <w:bottom w:val="nil"/>
            </w:tcBorders>
          </w:tcPr>
          <w:p w14:paraId="1EDEEEBB"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bottom w:val="nil"/>
            </w:tcBorders>
          </w:tcPr>
          <w:p w14:paraId="69795146"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tcBorders>
              <w:top w:val="nil"/>
              <w:bottom w:val="nil"/>
            </w:tcBorders>
          </w:tcPr>
          <w:p w14:paraId="6E2FE65C"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40.0</w:t>
            </w:r>
          </w:p>
        </w:tc>
      </w:tr>
      <w:tr w:rsidR="00614D5C" w:rsidRPr="00614D5C" w14:paraId="022F2CFD" w14:textId="77777777" w:rsidTr="00614D5C">
        <w:trPr>
          <w:jc w:val="center"/>
        </w:trPr>
        <w:tc>
          <w:tcPr>
            <w:tcW w:w="832" w:type="dxa"/>
            <w:tcBorders>
              <w:top w:val="nil"/>
              <w:bottom w:val="nil"/>
            </w:tcBorders>
          </w:tcPr>
          <w:p w14:paraId="64DDCC60"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2BF66514"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Judicial Performance Improvement SIL</w:t>
            </w:r>
          </w:p>
        </w:tc>
        <w:tc>
          <w:tcPr>
            <w:tcW w:w="1276" w:type="dxa"/>
            <w:tcBorders>
              <w:top w:val="nil"/>
              <w:bottom w:val="nil"/>
            </w:tcBorders>
          </w:tcPr>
          <w:p w14:paraId="269080D1"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100.0</w:t>
            </w:r>
          </w:p>
        </w:tc>
        <w:tc>
          <w:tcPr>
            <w:tcW w:w="5387" w:type="dxa"/>
            <w:tcBorders>
              <w:top w:val="nil"/>
              <w:bottom w:val="nil"/>
            </w:tcBorders>
          </w:tcPr>
          <w:p w14:paraId="10AA8F85"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tcBorders>
              <w:top w:val="nil"/>
              <w:bottom w:val="nil"/>
            </w:tcBorders>
          </w:tcPr>
          <w:p w14:paraId="7A50A0A1"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120.0</w:t>
            </w:r>
          </w:p>
        </w:tc>
      </w:tr>
      <w:tr w:rsidR="00614D5C" w:rsidRPr="00614D5C" w14:paraId="7127EF28" w14:textId="77777777" w:rsidTr="00614D5C">
        <w:trPr>
          <w:jc w:val="center"/>
        </w:trPr>
        <w:tc>
          <w:tcPr>
            <w:tcW w:w="832" w:type="dxa"/>
            <w:tcBorders>
              <w:top w:val="nil"/>
              <w:bottom w:val="nil"/>
            </w:tcBorders>
          </w:tcPr>
          <w:p w14:paraId="66DD99FC"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5E693B9A"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Integrated Social Protection Program</w:t>
            </w:r>
          </w:p>
        </w:tc>
        <w:tc>
          <w:tcPr>
            <w:tcW w:w="1276" w:type="dxa"/>
            <w:tcBorders>
              <w:top w:val="nil"/>
              <w:bottom w:val="nil"/>
            </w:tcBorders>
          </w:tcPr>
          <w:p w14:paraId="062078BD"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200.0</w:t>
            </w:r>
          </w:p>
        </w:tc>
        <w:tc>
          <w:tcPr>
            <w:tcW w:w="5387" w:type="dxa"/>
            <w:tcBorders>
              <w:top w:val="nil"/>
              <w:bottom w:val="nil"/>
            </w:tcBorders>
          </w:tcPr>
          <w:p w14:paraId="26C48C74"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Rescheduled to FY14 (renamed National Safety Net Program for Results)</w:t>
            </w:r>
          </w:p>
        </w:tc>
        <w:tc>
          <w:tcPr>
            <w:tcW w:w="1275" w:type="dxa"/>
            <w:tcBorders>
              <w:top w:val="nil"/>
              <w:bottom w:val="nil"/>
            </w:tcBorders>
          </w:tcPr>
          <w:p w14:paraId="5D4D14E8" w14:textId="77777777" w:rsidR="00614D5C" w:rsidRPr="00614D5C" w:rsidRDefault="00614D5C" w:rsidP="00614D5C">
            <w:pPr>
              <w:jc w:val="center"/>
              <w:rPr>
                <w:rFonts w:ascii="Times New Roman" w:hAnsi="Times New Roman" w:cs="Times New Roman"/>
                <w:sz w:val="24"/>
                <w:szCs w:val="24"/>
              </w:rPr>
            </w:pPr>
          </w:p>
        </w:tc>
      </w:tr>
      <w:tr w:rsidR="00614D5C" w:rsidRPr="00614D5C" w14:paraId="76A6E825" w14:textId="77777777" w:rsidTr="00614D5C">
        <w:trPr>
          <w:jc w:val="center"/>
        </w:trPr>
        <w:tc>
          <w:tcPr>
            <w:tcW w:w="832" w:type="dxa"/>
            <w:tcBorders>
              <w:top w:val="nil"/>
              <w:bottom w:val="nil"/>
            </w:tcBorders>
          </w:tcPr>
          <w:p w14:paraId="240EBA6F"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6412F330"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Turkana Wind Project</w:t>
            </w:r>
          </w:p>
        </w:tc>
        <w:tc>
          <w:tcPr>
            <w:tcW w:w="1276" w:type="dxa"/>
            <w:tcBorders>
              <w:top w:val="nil"/>
              <w:bottom w:val="nil"/>
            </w:tcBorders>
          </w:tcPr>
          <w:p w14:paraId="4608617D"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20.0</w:t>
            </w:r>
          </w:p>
        </w:tc>
        <w:tc>
          <w:tcPr>
            <w:tcW w:w="5387" w:type="dxa"/>
            <w:tcBorders>
              <w:top w:val="nil"/>
              <w:bottom w:val="nil"/>
            </w:tcBorders>
          </w:tcPr>
          <w:p w14:paraId="4A90C536"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Dropped</w:t>
            </w:r>
          </w:p>
        </w:tc>
        <w:tc>
          <w:tcPr>
            <w:tcW w:w="1275" w:type="dxa"/>
            <w:tcBorders>
              <w:top w:val="nil"/>
              <w:bottom w:val="nil"/>
            </w:tcBorders>
          </w:tcPr>
          <w:p w14:paraId="2EEA896D" w14:textId="77777777" w:rsidR="00614D5C" w:rsidRPr="00614D5C" w:rsidRDefault="00614D5C" w:rsidP="00614D5C">
            <w:pPr>
              <w:jc w:val="center"/>
              <w:rPr>
                <w:rFonts w:ascii="Times New Roman" w:hAnsi="Times New Roman" w:cs="Times New Roman"/>
                <w:sz w:val="24"/>
                <w:szCs w:val="24"/>
              </w:rPr>
            </w:pPr>
          </w:p>
        </w:tc>
      </w:tr>
      <w:tr w:rsidR="00614D5C" w:rsidRPr="00614D5C" w14:paraId="5E2ECCCB" w14:textId="77777777" w:rsidTr="00614D5C">
        <w:trPr>
          <w:jc w:val="center"/>
        </w:trPr>
        <w:tc>
          <w:tcPr>
            <w:tcW w:w="832" w:type="dxa"/>
            <w:tcBorders>
              <w:top w:val="nil"/>
              <w:bottom w:val="nil"/>
            </w:tcBorders>
          </w:tcPr>
          <w:p w14:paraId="7C24D391"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nil"/>
            </w:tcBorders>
          </w:tcPr>
          <w:p w14:paraId="2BD552E5"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National Urban Transport Improvement</w:t>
            </w:r>
          </w:p>
        </w:tc>
        <w:tc>
          <w:tcPr>
            <w:tcW w:w="1276" w:type="dxa"/>
            <w:tcBorders>
              <w:top w:val="nil"/>
              <w:bottom w:val="nil"/>
            </w:tcBorders>
          </w:tcPr>
          <w:p w14:paraId="31D9E05A"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200.0</w:t>
            </w:r>
          </w:p>
        </w:tc>
        <w:tc>
          <w:tcPr>
            <w:tcW w:w="5387" w:type="dxa"/>
            <w:tcBorders>
              <w:top w:val="nil"/>
              <w:bottom w:val="nil"/>
            </w:tcBorders>
          </w:tcPr>
          <w:p w14:paraId="0E80A946" w14:textId="77777777" w:rsidR="00614D5C" w:rsidRPr="00614D5C" w:rsidRDefault="00614D5C" w:rsidP="00614D5C">
            <w:pPr>
              <w:rPr>
                <w:rFonts w:ascii="Times New Roman" w:hAnsi="Times New Roman" w:cs="Times New Roman"/>
                <w:sz w:val="24"/>
                <w:szCs w:val="24"/>
              </w:rPr>
            </w:pPr>
            <w:r w:rsidRPr="00614D5C">
              <w:rPr>
                <w:rFonts w:ascii="Times New Roman" w:hAnsi="Times New Roman" w:cs="Times New Roman"/>
                <w:sz w:val="24"/>
                <w:szCs w:val="24"/>
              </w:rPr>
              <w:t>Actual</w:t>
            </w:r>
          </w:p>
        </w:tc>
        <w:tc>
          <w:tcPr>
            <w:tcW w:w="1275" w:type="dxa"/>
            <w:tcBorders>
              <w:top w:val="nil"/>
              <w:bottom w:val="nil"/>
            </w:tcBorders>
          </w:tcPr>
          <w:p w14:paraId="78EAAE54"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300.0</w:t>
            </w:r>
          </w:p>
        </w:tc>
      </w:tr>
      <w:tr w:rsidR="00614D5C" w:rsidRPr="00614D5C" w14:paraId="5B67465E" w14:textId="77777777" w:rsidTr="00614D5C">
        <w:trPr>
          <w:jc w:val="center"/>
        </w:trPr>
        <w:tc>
          <w:tcPr>
            <w:tcW w:w="832" w:type="dxa"/>
            <w:tcBorders>
              <w:top w:val="nil"/>
              <w:bottom w:val="single" w:sz="4" w:space="0" w:color="000000" w:themeColor="text1"/>
            </w:tcBorders>
          </w:tcPr>
          <w:p w14:paraId="44736063" w14:textId="77777777" w:rsidR="00614D5C" w:rsidRPr="00614D5C" w:rsidRDefault="00614D5C" w:rsidP="00614D5C">
            <w:pPr>
              <w:jc w:val="center"/>
              <w:rPr>
                <w:rFonts w:ascii="Times New Roman" w:hAnsi="Times New Roman" w:cs="Times New Roman"/>
                <w:sz w:val="24"/>
                <w:szCs w:val="24"/>
              </w:rPr>
            </w:pPr>
          </w:p>
        </w:tc>
        <w:tc>
          <w:tcPr>
            <w:tcW w:w="5351" w:type="dxa"/>
            <w:tcBorders>
              <w:top w:val="nil"/>
              <w:bottom w:val="single" w:sz="4" w:space="0" w:color="000000" w:themeColor="text1"/>
            </w:tcBorders>
          </w:tcPr>
          <w:p w14:paraId="19458B3C" w14:textId="77777777" w:rsidR="00614D5C" w:rsidRPr="00614D5C" w:rsidRDefault="00614D5C" w:rsidP="00A957A8">
            <w:pPr>
              <w:rPr>
                <w:rFonts w:ascii="Times New Roman" w:hAnsi="Times New Roman" w:cs="Times New Roman"/>
                <w:sz w:val="24"/>
                <w:szCs w:val="24"/>
              </w:rPr>
            </w:pPr>
            <w:r w:rsidRPr="00614D5C">
              <w:rPr>
                <w:rFonts w:ascii="Times New Roman" w:hAnsi="Times New Roman" w:cs="Times New Roman"/>
                <w:sz w:val="24"/>
                <w:szCs w:val="24"/>
              </w:rPr>
              <w:t>Subtotal:</w:t>
            </w:r>
          </w:p>
        </w:tc>
        <w:tc>
          <w:tcPr>
            <w:tcW w:w="1276" w:type="dxa"/>
            <w:tcBorders>
              <w:top w:val="nil"/>
              <w:bottom w:val="single" w:sz="4" w:space="0" w:color="000000" w:themeColor="text1"/>
            </w:tcBorders>
          </w:tcPr>
          <w:p w14:paraId="1BFB4B66"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895.0</w:t>
            </w:r>
          </w:p>
        </w:tc>
        <w:tc>
          <w:tcPr>
            <w:tcW w:w="5387" w:type="dxa"/>
            <w:tcBorders>
              <w:top w:val="nil"/>
              <w:bottom w:val="single" w:sz="4" w:space="0" w:color="000000" w:themeColor="text1"/>
            </w:tcBorders>
          </w:tcPr>
          <w:p w14:paraId="1288504A" w14:textId="77777777" w:rsidR="00614D5C" w:rsidRPr="00614D5C" w:rsidRDefault="00614D5C" w:rsidP="00614D5C">
            <w:pPr>
              <w:rPr>
                <w:rFonts w:ascii="Times New Roman" w:hAnsi="Times New Roman" w:cs="Times New Roman"/>
                <w:sz w:val="24"/>
                <w:szCs w:val="24"/>
              </w:rPr>
            </w:pPr>
          </w:p>
        </w:tc>
        <w:tc>
          <w:tcPr>
            <w:tcW w:w="1275" w:type="dxa"/>
            <w:tcBorders>
              <w:top w:val="nil"/>
              <w:bottom w:val="single" w:sz="4" w:space="0" w:color="000000" w:themeColor="text1"/>
            </w:tcBorders>
          </w:tcPr>
          <w:p w14:paraId="127CDE42"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615.0</w:t>
            </w:r>
          </w:p>
        </w:tc>
      </w:tr>
      <w:tr w:rsidR="00614D5C" w:rsidRPr="00614D5C" w14:paraId="0EBF9AF5" w14:textId="77777777" w:rsidTr="00614D5C">
        <w:trPr>
          <w:jc w:val="center"/>
        </w:trPr>
        <w:tc>
          <w:tcPr>
            <w:tcW w:w="832" w:type="dxa"/>
            <w:tcBorders>
              <w:top w:val="single" w:sz="4" w:space="0" w:color="000000" w:themeColor="text1"/>
            </w:tcBorders>
          </w:tcPr>
          <w:p w14:paraId="24036D6D" w14:textId="77777777" w:rsidR="00614D5C" w:rsidRPr="00614D5C" w:rsidRDefault="00614D5C" w:rsidP="00614D5C">
            <w:pPr>
              <w:jc w:val="center"/>
              <w:rPr>
                <w:rFonts w:ascii="Times New Roman" w:hAnsi="Times New Roman" w:cs="Times New Roman"/>
                <w:sz w:val="24"/>
                <w:szCs w:val="24"/>
              </w:rPr>
            </w:pPr>
          </w:p>
        </w:tc>
        <w:tc>
          <w:tcPr>
            <w:tcW w:w="5351" w:type="dxa"/>
            <w:tcBorders>
              <w:top w:val="single" w:sz="4" w:space="0" w:color="000000" w:themeColor="text1"/>
            </w:tcBorders>
          </w:tcPr>
          <w:p w14:paraId="3289A9F1"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Subtotal FY 2012-2013</w:t>
            </w:r>
          </w:p>
        </w:tc>
        <w:tc>
          <w:tcPr>
            <w:tcW w:w="1276" w:type="dxa"/>
            <w:tcBorders>
              <w:top w:val="single" w:sz="4" w:space="0" w:color="000000" w:themeColor="text1"/>
            </w:tcBorders>
          </w:tcPr>
          <w:p w14:paraId="664956FE"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1908.0</w:t>
            </w:r>
          </w:p>
        </w:tc>
        <w:tc>
          <w:tcPr>
            <w:tcW w:w="5387" w:type="dxa"/>
            <w:tcBorders>
              <w:top w:val="single" w:sz="4" w:space="0" w:color="000000" w:themeColor="text1"/>
            </w:tcBorders>
          </w:tcPr>
          <w:p w14:paraId="269B4350" w14:textId="77777777" w:rsidR="00614D5C" w:rsidRPr="00614D5C" w:rsidRDefault="00614D5C" w:rsidP="00614D5C">
            <w:pPr>
              <w:rPr>
                <w:rFonts w:ascii="Times New Roman" w:hAnsi="Times New Roman" w:cs="Times New Roman"/>
                <w:sz w:val="24"/>
                <w:szCs w:val="24"/>
              </w:rPr>
            </w:pPr>
          </w:p>
        </w:tc>
        <w:tc>
          <w:tcPr>
            <w:tcW w:w="1275" w:type="dxa"/>
            <w:tcBorders>
              <w:top w:val="single" w:sz="4" w:space="0" w:color="000000" w:themeColor="text1"/>
            </w:tcBorders>
          </w:tcPr>
          <w:p w14:paraId="2D722343" w14:textId="77777777" w:rsidR="00614D5C" w:rsidRPr="00614D5C" w:rsidRDefault="00614D5C" w:rsidP="00614D5C">
            <w:pPr>
              <w:jc w:val="center"/>
              <w:rPr>
                <w:rFonts w:ascii="Times New Roman" w:hAnsi="Times New Roman" w:cs="Times New Roman"/>
                <w:sz w:val="24"/>
                <w:szCs w:val="24"/>
              </w:rPr>
            </w:pPr>
            <w:r w:rsidRPr="00614D5C">
              <w:rPr>
                <w:rFonts w:ascii="Times New Roman" w:hAnsi="Times New Roman" w:cs="Times New Roman"/>
                <w:sz w:val="24"/>
                <w:szCs w:val="24"/>
              </w:rPr>
              <w:t>1964.0</w:t>
            </w:r>
          </w:p>
        </w:tc>
      </w:tr>
    </w:tbl>
    <w:p w14:paraId="67A865C5" w14:textId="77777777" w:rsidR="00614D5C" w:rsidRPr="00614D5C" w:rsidRDefault="00614D5C" w:rsidP="00614D5C">
      <w:pPr>
        <w:rPr>
          <w:lang w:val="en-GB"/>
        </w:rPr>
      </w:pPr>
    </w:p>
    <w:p w14:paraId="42551C52" w14:textId="77777777" w:rsidR="00C844EE" w:rsidRPr="00C844EE" w:rsidRDefault="00C844EE" w:rsidP="00614D5C">
      <w:pPr>
        <w:rPr>
          <w:rFonts w:ascii="Times New Roman" w:hAnsi="Times New Roman" w:cs="Times New Roman"/>
          <w:sz w:val="24"/>
          <w:szCs w:val="24"/>
          <w:lang w:val="en-GB"/>
        </w:rPr>
        <w:sectPr w:rsidR="00C844EE" w:rsidRPr="00C844EE" w:rsidSect="00C844EE">
          <w:headerReference w:type="default" r:id="rId27"/>
          <w:footerReference w:type="default" r:id="rId28"/>
          <w:pgSz w:w="16838" w:h="11906" w:orient="landscape"/>
          <w:pgMar w:top="-574" w:right="1440" w:bottom="0" w:left="1440" w:header="706" w:footer="706" w:gutter="0"/>
          <w:cols w:space="708"/>
          <w:docGrid w:linePitch="360"/>
        </w:sectPr>
      </w:pPr>
    </w:p>
    <w:p w14:paraId="562C42E4" w14:textId="77777777" w:rsidR="00C844EE" w:rsidRPr="00C844EE" w:rsidRDefault="00C844EE" w:rsidP="00C844EE">
      <w:pPr>
        <w:jc w:val="center"/>
        <w:rPr>
          <w:rFonts w:ascii="Times New Roman" w:hAnsi="Times New Roman" w:cs="Times New Roman"/>
          <w:b/>
          <w:sz w:val="24"/>
          <w:szCs w:val="24"/>
          <w:lang w:val="en-GB"/>
        </w:rPr>
      </w:pPr>
      <w:r w:rsidRPr="00C844EE">
        <w:rPr>
          <w:rFonts w:ascii="Times New Roman" w:hAnsi="Times New Roman" w:cs="Times New Roman"/>
          <w:b/>
          <w:sz w:val="24"/>
          <w:szCs w:val="24"/>
          <w:lang w:val="en-GB"/>
        </w:rPr>
        <w:lastRenderedPageBreak/>
        <w:t>Table 3: Summary of Planned and Delivery Non-lending Services FY10-13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128"/>
        <w:gridCol w:w="4220"/>
      </w:tblGrid>
      <w:tr w:rsidR="00C844EE" w:rsidRPr="00000103" w14:paraId="20464F5A" w14:textId="77777777" w:rsidTr="00000103">
        <w:trPr>
          <w:cantSplit/>
          <w:jc w:val="center"/>
        </w:trPr>
        <w:tc>
          <w:tcPr>
            <w:tcW w:w="5022" w:type="dxa"/>
            <w:gridSpan w:val="2"/>
            <w:shd w:val="clear" w:color="auto" w:fill="auto"/>
          </w:tcPr>
          <w:p w14:paraId="7B0EFB24" w14:textId="77777777" w:rsidR="00C844EE" w:rsidRPr="00000103" w:rsidRDefault="00C844EE" w:rsidP="00C844EE">
            <w:pPr>
              <w:spacing w:after="0" w:line="0" w:lineRule="atLeast"/>
              <w:jc w:val="center"/>
              <w:rPr>
                <w:rFonts w:ascii="Times New Roman" w:hAnsi="Times New Roman" w:cs="Times New Roman"/>
                <w:b/>
                <w:lang w:val="en-GB"/>
              </w:rPr>
            </w:pPr>
            <w:r w:rsidRPr="00000103">
              <w:rPr>
                <w:rFonts w:ascii="Times New Roman" w:hAnsi="Times New Roman" w:cs="Times New Roman"/>
                <w:b/>
                <w:lang w:val="en-GB"/>
              </w:rPr>
              <w:t>CAS PLANS (03/23/2010)</w:t>
            </w:r>
          </w:p>
        </w:tc>
        <w:tc>
          <w:tcPr>
            <w:tcW w:w="4220" w:type="dxa"/>
            <w:shd w:val="clear" w:color="auto" w:fill="auto"/>
          </w:tcPr>
          <w:p w14:paraId="08C59DE0" w14:textId="77777777" w:rsidR="00C844EE" w:rsidRPr="00000103" w:rsidRDefault="00C844EE" w:rsidP="00C844EE">
            <w:pPr>
              <w:spacing w:after="0" w:line="0" w:lineRule="atLeast"/>
              <w:jc w:val="center"/>
              <w:rPr>
                <w:rFonts w:ascii="Times New Roman" w:hAnsi="Times New Roman" w:cs="Times New Roman"/>
                <w:b/>
                <w:lang w:val="en-GB"/>
              </w:rPr>
            </w:pPr>
            <w:r w:rsidRPr="00000103">
              <w:rPr>
                <w:rFonts w:ascii="Times New Roman" w:hAnsi="Times New Roman" w:cs="Times New Roman"/>
                <w:b/>
                <w:lang w:val="en-GB"/>
              </w:rPr>
              <w:t>STATUS</w:t>
            </w:r>
          </w:p>
        </w:tc>
      </w:tr>
      <w:tr w:rsidR="00C844EE" w:rsidRPr="00000103" w14:paraId="28DCEB93" w14:textId="77777777" w:rsidTr="00000103">
        <w:trPr>
          <w:cantSplit/>
          <w:jc w:val="center"/>
        </w:trPr>
        <w:tc>
          <w:tcPr>
            <w:tcW w:w="894" w:type="dxa"/>
            <w:shd w:val="clear" w:color="auto" w:fill="auto"/>
          </w:tcPr>
          <w:p w14:paraId="445EF348"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2010</w:t>
            </w:r>
          </w:p>
        </w:tc>
        <w:tc>
          <w:tcPr>
            <w:tcW w:w="4128" w:type="dxa"/>
            <w:shd w:val="clear" w:color="auto" w:fill="auto"/>
          </w:tcPr>
          <w:p w14:paraId="09A7E4DB"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sz w:val="20"/>
                <w:szCs w:val="20"/>
                <w:lang w:val="en-GB"/>
              </w:rPr>
              <w:t>FSAP Follow-up Crisis Simulation/Housing Finance (FIRST)/Study on Access to Finance</w:t>
            </w:r>
          </w:p>
          <w:p w14:paraId="090354EB" w14:textId="77777777" w:rsidR="00C844EE" w:rsidRPr="00000103" w:rsidRDefault="00C844EE" w:rsidP="00C844EE">
            <w:pPr>
              <w:spacing w:after="0" w:line="0" w:lineRule="atLeast"/>
              <w:rPr>
                <w:rFonts w:ascii="Times New Roman" w:hAnsi="Times New Roman" w:cs="Times New Roman"/>
                <w:i/>
                <w:sz w:val="20"/>
                <w:szCs w:val="20"/>
                <w:lang w:val="en-GB"/>
              </w:rPr>
            </w:pPr>
          </w:p>
        </w:tc>
        <w:tc>
          <w:tcPr>
            <w:tcW w:w="4220" w:type="dxa"/>
            <w:shd w:val="clear" w:color="auto" w:fill="auto"/>
          </w:tcPr>
          <w:p w14:paraId="5FDD670D" w14:textId="77777777" w:rsidR="00C844EE" w:rsidRPr="00000103" w:rsidRDefault="00C844EE" w:rsidP="00C844EE">
            <w:pPr>
              <w:spacing w:after="0" w:line="0" w:lineRule="atLeast"/>
              <w:rPr>
                <w:rFonts w:ascii="Times New Roman" w:hAnsi="Times New Roman" w:cs="Times New Roman"/>
                <w:sz w:val="20"/>
                <w:szCs w:val="20"/>
                <w:u w:val="single"/>
                <w:lang w:val="en-GB"/>
              </w:rPr>
            </w:pPr>
            <w:r w:rsidRPr="00000103">
              <w:rPr>
                <w:rFonts w:ascii="Times New Roman" w:hAnsi="Times New Roman" w:cs="Times New Roman"/>
                <w:sz w:val="20"/>
                <w:szCs w:val="20"/>
                <w:u w:val="single"/>
                <w:lang w:val="en-GB"/>
              </w:rPr>
              <w:t>Additional Products</w:t>
            </w:r>
          </w:p>
          <w:p w14:paraId="4BC759F4"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ESW:</w:t>
            </w:r>
          </w:p>
          <w:p w14:paraId="39D2C5A0"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 xml:space="preserve">E-Tourism </w:t>
            </w:r>
          </w:p>
          <w:p w14:paraId="65F458C0"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Economic Notes</w:t>
            </w:r>
          </w:p>
          <w:p w14:paraId="69FD9E7B"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Budget Note – Lessons from Global Crisis</w:t>
            </w:r>
          </w:p>
          <w:p w14:paraId="41B5C1A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GAP Women Rights in Kenya-LEGJR</w:t>
            </w:r>
          </w:p>
          <w:p w14:paraId="74D21B5F"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MTDS</w:t>
            </w:r>
          </w:p>
          <w:p w14:paraId="3B70FC34"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 xml:space="preserve">ROSC Accounting and Auditing </w:t>
            </w:r>
          </w:p>
          <w:p w14:paraId="788837EB"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TA:</w:t>
            </w:r>
          </w:p>
          <w:p w14:paraId="1CD63B3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Eastern Africa Poverty Capacity PADI</w:t>
            </w:r>
          </w:p>
          <w:p w14:paraId="61A9945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First 8054: Development Risk Management</w:t>
            </w:r>
          </w:p>
          <w:p w14:paraId="41AD1A76"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HD Sector Dialogue</w:t>
            </w:r>
          </w:p>
        </w:tc>
      </w:tr>
      <w:tr w:rsidR="00C844EE" w:rsidRPr="00000103" w14:paraId="1E2A6836" w14:textId="77777777" w:rsidTr="00000103">
        <w:trPr>
          <w:cantSplit/>
          <w:jc w:val="center"/>
        </w:trPr>
        <w:tc>
          <w:tcPr>
            <w:tcW w:w="894" w:type="dxa"/>
            <w:shd w:val="clear" w:color="auto" w:fill="auto"/>
          </w:tcPr>
          <w:p w14:paraId="3E461D8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2011</w:t>
            </w:r>
          </w:p>
        </w:tc>
        <w:tc>
          <w:tcPr>
            <w:tcW w:w="4128" w:type="dxa"/>
            <w:shd w:val="clear" w:color="auto" w:fill="auto"/>
          </w:tcPr>
          <w:p w14:paraId="22E87813"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Land Reform TA</w:t>
            </w:r>
          </w:p>
          <w:p w14:paraId="4B53402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Rural Gender Methodology and baseline data (KAPAP Gender Action Plan – GAP)</w:t>
            </w:r>
          </w:p>
          <w:p w14:paraId="53D1DEEE"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Pro-Poor Notes</w:t>
            </w:r>
          </w:p>
          <w:p w14:paraId="35622F79"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Water Resources Assessment</w:t>
            </w:r>
          </w:p>
          <w:p w14:paraId="12C3F4B9"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Country Procurement Assessment Review</w:t>
            </w:r>
          </w:p>
          <w:p w14:paraId="029026C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Governance ESW</w:t>
            </w:r>
          </w:p>
          <w:p w14:paraId="6F2CD518"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Health, Education and SP PERs</w:t>
            </w:r>
          </w:p>
          <w:p w14:paraId="25F7DF07"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School to Work Initiatives</w:t>
            </w:r>
          </w:p>
          <w:p w14:paraId="3133C9E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 xml:space="preserve">Health Financing </w:t>
            </w:r>
          </w:p>
          <w:p w14:paraId="2AD5DC98"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Growth Diagnostics</w:t>
            </w:r>
          </w:p>
          <w:p w14:paraId="697C6AB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Integrated Growth Poles</w:t>
            </w:r>
          </w:p>
          <w:p w14:paraId="6517C55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EAC Regional Integration</w:t>
            </w:r>
          </w:p>
          <w:p w14:paraId="5BFAEEB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 xml:space="preserve">IAD Capacity Building </w:t>
            </w:r>
          </w:p>
          <w:p w14:paraId="44A53807"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Social Protection Targeting</w:t>
            </w:r>
          </w:p>
          <w:p w14:paraId="116331F2" w14:textId="77777777" w:rsidR="00C844EE" w:rsidRPr="00000103" w:rsidRDefault="00C844EE" w:rsidP="00C844EE">
            <w:pPr>
              <w:spacing w:after="0" w:line="0" w:lineRule="atLeast"/>
              <w:rPr>
                <w:rFonts w:ascii="Times New Roman" w:hAnsi="Times New Roman" w:cs="Times New Roman"/>
                <w:sz w:val="20"/>
                <w:szCs w:val="20"/>
                <w:lang w:val="en-GB"/>
              </w:rPr>
            </w:pPr>
          </w:p>
        </w:tc>
        <w:tc>
          <w:tcPr>
            <w:tcW w:w="4220" w:type="dxa"/>
            <w:shd w:val="clear" w:color="auto" w:fill="auto"/>
          </w:tcPr>
          <w:p w14:paraId="257FDCBE" w14:textId="77777777" w:rsidR="00C844EE" w:rsidRPr="00000103" w:rsidRDefault="00C844EE" w:rsidP="00C844EE">
            <w:pPr>
              <w:spacing w:after="0" w:line="0" w:lineRule="atLeast"/>
              <w:rPr>
                <w:rFonts w:ascii="Times New Roman" w:hAnsi="Times New Roman" w:cs="Times New Roman"/>
                <w:sz w:val="20"/>
                <w:szCs w:val="20"/>
                <w:u w:val="single"/>
                <w:lang w:val="en-GB"/>
              </w:rPr>
            </w:pPr>
            <w:r w:rsidRPr="00000103">
              <w:rPr>
                <w:rFonts w:ascii="Times New Roman" w:hAnsi="Times New Roman" w:cs="Times New Roman"/>
                <w:sz w:val="20"/>
                <w:szCs w:val="20"/>
                <w:u w:val="single"/>
                <w:lang w:val="en-GB"/>
              </w:rPr>
              <w:t>Additional Products</w:t>
            </w:r>
          </w:p>
          <w:p w14:paraId="354437F8"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ESW:</w:t>
            </w:r>
          </w:p>
          <w:p w14:paraId="152401DC"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Economic Notes</w:t>
            </w:r>
          </w:p>
          <w:p w14:paraId="21680374"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TA:</w:t>
            </w:r>
          </w:p>
          <w:p w14:paraId="2E594B43"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FSAP Update</w:t>
            </w:r>
          </w:p>
          <w:p w14:paraId="32A9262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GCMGL Gemioc TA Kenya</w:t>
            </w:r>
          </w:p>
        </w:tc>
      </w:tr>
      <w:tr w:rsidR="00C844EE" w:rsidRPr="00000103" w14:paraId="1B9A9C45" w14:textId="77777777" w:rsidTr="00000103">
        <w:trPr>
          <w:cantSplit/>
          <w:jc w:val="center"/>
        </w:trPr>
        <w:tc>
          <w:tcPr>
            <w:tcW w:w="894" w:type="dxa"/>
            <w:tcBorders>
              <w:bottom w:val="nil"/>
            </w:tcBorders>
            <w:shd w:val="clear" w:color="auto" w:fill="auto"/>
          </w:tcPr>
          <w:p w14:paraId="5BECAD9E"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2012</w:t>
            </w:r>
          </w:p>
        </w:tc>
        <w:tc>
          <w:tcPr>
            <w:tcW w:w="4128" w:type="dxa"/>
            <w:tcBorders>
              <w:bottom w:val="nil"/>
            </w:tcBorders>
            <w:shd w:val="clear" w:color="auto" w:fill="auto"/>
          </w:tcPr>
          <w:p w14:paraId="21CD639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ESW on enhancing women’s participation in water governance structures</w:t>
            </w:r>
          </w:p>
          <w:p w14:paraId="5F733003"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Maize Policy Review</w:t>
            </w:r>
          </w:p>
        </w:tc>
        <w:tc>
          <w:tcPr>
            <w:tcW w:w="4220" w:type="dxa"/>
            <w:tcBorders>
              <w:bottom w:val="nil"/>
            </w:tcBorders>
            <w:shd w:val="clear" w:color="auto" w:fill="auto"/>
          </w:tcPr>
          <w:p w14:paraId="6105C2D9" w14:textId="77777777" w:rsidR="00C844EE" w:rsidRPr="00000103" w:rsidRDefault="00C844EE" w:rsidP="00C844EE">
            <w:pPr>
              <w:spacing w:after="0" w:line="0" w:lineRule="atLeast"/>
              <w:rPr>
                <w:rFonts w:ascii="Times New Roman" w:hAnsi="Times New Roman" w:cs="Times New Roman"/>
                <w:sz w:val="20"/>
                <w:szCs w:val="20"/>
                <w:u w:val="single"/>
                <w:lang w:val="en-GB"/>
              </w:rPr>
            </w:pPr>
            <w:r w:rsidRPr="00000103">
              <w:rPr>
                <w:rFonts w:ascii="Times New Roman" w:hAnsi="Times New Roman" w:cs="Times New Roman"/>
                <w:sz w:val="20"/>
                <w:szCs w:val="20"/>
                <w:u w:val="single"/>
                <w:lang w:val="en-GB"/>
              </w:rPr>
              <w:t>Additional Products</w:t>
            </w:r>
          </w:p>
          <w:p w14:paraId="3510DDEB"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ESW:</w:t>
            </w:r>
          </w:p>
          <w:p w14:paraId="631E471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Judicial Sector Assessment</w:t>
            </w:r>
          </w:p>
        </w:tc>
      </w:tr>
      <w:tr w:rsidR="00C844EE" w:rsidRPr="00000103" w14:paraId="46E90E7E" w14:textId="77777777" w:rsidTr="00000103">
        <w:trPr>
          <w:cantSplit/>
          <w:jc w:val="center"/>
        </w:trPr>
        <w:tc>
          <w:tcPr>
            <w:tcW w:w="894" w:type="dxa"/>
            <w:tcBorders>
              <w:top w:val="nil"/>
            </w:tcBorders>
            <w:shd w:val="clear" w:color="auto" w:fill="auto"/>
          </w:tcPr>
          <w:p w14:paraId="1569C528" w14:textId="77777777" w:rsidR="00C844EE" w:rsidRPr="00000103" w:rsidRDefault="00C844EE" w:rsidP="00C844EE">
            <w:pPr>
              <w:spacing w:after="0" w:line="0" w:lineRule="atLeast"/>
              <w:rPr>
                <w:rFonts w:ascii="Times New Roman" w:hAnsi="Times New Roman" w:cs="Times New Roman"/>
                <w:sz w:val="20"/>
                <w:szCs w:val="20"/>
                <w:lang w:val="en-GB"/>
              </w:rPr>
            </w:pPr>
          </w:p>
        </w:tc>
        <w:tc>
          <w:tcPr>
            <w:tcW w:w="4128" w:type="dxa"/>
            <w:tcBorders>
              <w:top w:val="nil"/>
            </w:tcBorders>
            <w:shd w:val="clear" w:color="auto" w:fill="auto"/>
          </w:tcPr>
          <w:p w14:paraId="15BD4AF4" w14:textId="77777777" w:rsidR="00C844EE" w:rsidRPr="00000103" w:rsidRDefault="00C844EE" w:rsidP="00C844EE">
            <w:pPr>
              <w:spacing w:after="0" w:line="0" w:lineRule="atLeast"/>
              <w:rPr>
                <w:rFonts w:ascii="Times New Roman" w:hAnsi="Times New Roman" w:cs="Times New Roman"/>
                <w:sz w:val="20"/>
                <w:szCs w:val="20"/>
                <w:lang w:val="en-GB"/>
              </w:rPr>
            </w:pPr>
          </w:p>
        </w:tc>
        <w:tc>
          <w:tcPr>
            <w:tcW w:w="4220" w:type="dxa"/>
            <w:tcBorders>
              <w:top w:val="nil"/>
            </w:tcBorders>
            <w:shd w:val="clear" w:color="auto" w:fill="auto"/>
          </w:tcPr>
          <w:p w14:paraId="19F127B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Economic Note</w:t>
            </w:r>
          </w:p>
          <w:p w14:paraId="538C7BDB"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MTDS Follow up</w:t>
            </w:r>
          </w:p>
          <w:p w14:paraId="4F785022"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Safety Net Sector Review</w:t>
            </w:r>
          </w:p>
          <w:p w14:paraId="55A6FE7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ICR ROSC</w:t>
            </w:r>
          </w:p>
          <w:p w14:paraId="027C29F1"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TA:</w:t>
            </w:r>
          </w:p>
          <w:p w14:paraId="7061C3D0"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Health Systems for Outcomes</w:t>
            </w:r>
          </w:p>
          <w:p w14:paraId="71A1E46B"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Indigenous Peoples Policy</w:t>
            </w:r>
          </w:p>
          <w:p w14:paraId="6AC4D654"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Irrigation PPP Study</w:t>
            </w:r>
          </w:p>
          <w:p w14:paraId="1C5F3F4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Use of Country FM Systems Review</w:t>
            </w:r>
          </w:p>
          <w:p w14:paraId="0D0BCD95"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FCMGL II</w:t>
            </w:r>
          </w:p>
          <w:p w14:paraId="18DA7C7C"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GDC Enhanced Financial Access Assessment</w:t>
            </w:r>
          </w:p>
          <w:p w14:paraId="10E67319"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Post Disaster Needs Assessment (PDNA)</w:t>
            </w:r>
          </w:p>
          <w:p w14:paraId="73DA3595" w14:textId="77777777" w:rsidR="00C844EE" w:rsidRPr="00000103" w:rsidRDefault="00C844EE" w:rsidP="00C844EE">
            <w:pPr>
              <w:spacing w:after="0" w:line="0" w:lineRule="atLeast"/>
              <w:rPr>
                <w:rFonts w:ascii="Times New Roman" w:hAnsi="Times New Roman" w:cs="Times New Roman"/>
                <w:sz w:val="20"/>
                <w:szCs w:val="20"/>
                <w:lang w:val="en-GB"/>
              </w:rPr>
            </w:pPr>
          </w:p>
          <w:p w14:paraId="15469B7A" w14:textId="77777777" w:rsidR="00C844EE" w:rsidRPr="00000103" w:rsidRDefault="00C844EE" w:rsidP="00C844EE">
            <w:pPr>
              <w:spacing w:after="0" w:line="0" w:lineRule="atLeast"/>
              <w:rPr>
                <w:rFonts w:ascii="Times New Roman" w:hAnsi="Times New Roman" w:cs="Times New Roman"/>
                <w:sz w:val="20"/>
                <w:szCs w:val="20"/>
                <w:u w:val="single"/>
                <w:lang w:val="en-GB"/>
              </w:rPr>
            </w:pPr>
          </w:p>
          <w:p w14:paraId="50C76505" w14:textId="77777777" w:rsidR="00000103" w:rsidRPr="00000103" w:rsidRDefault="00000103" w:rsidP="00C844EE">
            <w:pPr>
              <w:spacing w:after="0" w:line="0" w:lineRule="atLeast"/>
              <w:rPr>
                <w:rFonts w:ascii="Times New Roman" w:hAnsi="Times New Roman" w:cs="Times New Roman"/>
                <w:sz w:val="20"/>
                <w:szCs w:val="20"/>
                <w:u w:val="single"/>
                <w:lang w:val="en-GB"/>
              </w:rPr>
            </w:pPr>
          </w:p>
          <w:p w14:paraId="0C7B5885" w14:textId="77777777" w:rsidR="00000103" w:rsidRDefault="00000103" w:rsidP="00C844EE">
            <w:pPr>
              <w:spacing w:after="0" w:line="0" w:lineRule="atLeast"/>
              <w:rPr>
                <w:rFonts w:ascii="Times New Roman" w:hAnsi="Times New Roman" w:cs="Times New Roman"/>
                <w:sz w:val="20"/>
                <w:szCs w:val="20"/>
                <w:u w:val="single"/>
                <w:lang w:val="en-GB"/>
              </w:rPr>
            </w:pPr>
          </w:p>
          <w:p w14:paraId="72FFA8C6" w14:textId="77777777" w:rsidR="00000103" w:rsidRDefault="00000103" w:rsidP="00C844EE">
            <w:pPr>
              <w:spacing w:after="0" w:line="0" w:lineRule="atLeast"/>
              <w:rPr>
                <w:rFonts w:ascii="Times New Roman" w:hAnsi="Times New Roman" w:cs="Times New Roman"/>
                <w:sz w:val="20"/>
                <w:szCs w:val="20"/>
                <w:u w:val="single"/>
                <w:lang w:val="en-GB"/>
              </w:rPr>
            </w:pPr>
          </w:p>
          <w:p w14:paraId="54FAB88D" w14:textId="77777777" w:rsidR="00000103" w:rsidRDefault="00000103" w:rsidP="00C844EE">
            <w:pPr>
              <w:spacing w:after="0" w:line="0" w:lineRule="atLeast"/>
              <w:rPr>
                <w:rFonts w:ascii="Times New Roman" w:hAnsi="Times New Roman" w:cs="Times New Roman"/>
                <w:sz w:val="20"/>
                <w:szCs w:val="20"/>
                <w:u w:val="single"/>
                <w:lang w:val="en-GB"/>
              </w:rPr>
            </w:pPr>
          </w:p>
          <w:p w14:paraId="3186E68B" w14:textId="77777777" w:rsidR="00000103" w:rsidRDefault="00000103" w:rsidP="00C844EE">
            <w:pPr>
              <w:spacing w:after="0" w:line="0" w:lineRule="atLeast"/>
              <w:rPr>
                <w:rFonts w:ascii="Times New Roman" w:hAnsi="Times New Roman" w:cs="Times New Roman"/>
                <w:sz w:val="20"/>
                <w:szCs w:val="20"/>
                <w:u w:val="single"/>
                <w:lang w:val="en-GB"/>
              </w:rPr>
            </w:pPr>
          </w:p>
          <w:p w14:paraId="1F473CDD" w14:textId="77777777" w:rsidR="00000103" w:rsidRPr="00000103" w:rsidRDefault="00000103" w:rsidP="00C844EE">
            <w:pPr>
              <w:spacing w:after="0" w:line="0" w:lineRule="atLeast"/>
              <w:rPr>
                <w:rFonts w:ascii="Times New Roman" w:hAnsi="Times New Roman" w:cs="Times New Roman"/>
                <w:sz w:val="20"/>
                <w:szCs w:val="20"/>
                <w:u w:val="single"/>
                <w:lang w:val="en-GB"/>
              </w:rPr>
            </w:pPr>
          </w:p>
          <w:p w14:paraId="0AF6A003" w14:textId="77777777" w:rsidR="00000103" w:rsidRPr="00000103" w:rsidRDefault="00000103" w:rsidP="00C844EE">
            <w:pPr>
              <w:spacing w:after="0" w:line="0" w:lineRule="atLeast"/>
              <w:rPr>
                <w:rFonts w:ascii="Times New Roman" w:hAnsi="Times New Roman" w:cs="Times New Roman"/>
                <w:sz w:val="20"/>
                <w:szCs w:val="20"/>
                <w:u w:val="single"/>
                <w:lang w:val="en-GB"/>
              </w:rPr>
            </w:pPr>
          </w:p>
          <w:p w14:paraId="32654FA2" w14:textId="77777777" w:rsidR="00000103" w:rsidRPr="00000103" w:rsidRDefault="00000103" w:rsidP="00C844EE">
            <w:pPr>
              <w:spacing w:after="0" w:line="0" w:lineRule="atLeast"/>
              <w:rPr>
                <w:rFonts w:ascii="Times New Roman" w:hAnsi="Times New Roman" w:cs="Times New Roman"/>
                <w:sz w:val="20"/>
                <w:szCs w:val="20"/>
                <w:u w:val="single"/>
                <w:lang w:val="en-GB"/>
              </w:rPr>
            </w:pPr>
          </w:p>
          <w:p w14:paraId="73ACCAB2" w14:textId="77777777" w:rsidR="00000103" w:rsidRPr="00000103" w:rsidRDefault="00000103" w:rsidP="00C844EE">
            <w:pPr>
              <w:spacing w:after="0" w:line="0" w:lineRule="atLeast"/>
              <w:rPr>
                <w:rFonts w:ascii="Times New Roman" w:hAnsi="Times New Roman" w:cs="Times New Roman"/>
                <w:sz w:val="20"/>
                <w:szCs w:val="20"/>
                <w:u w:val="single"/>
                <w:lang w:val="en-GB"/>
              </w:rPr>
            </w:pPr>
          </w:p>
        </w:tc>
      </w:tr>
      <w:tr w:rsidR="00C844EE" w:rsidRPr="00000103" w14:paraId="416138DB" w14:textId="77777777" w:rsidTr="00000103">
        <w:trPr>
          <w:cantSplit/>
          <w:trHeight w:val="288"/>
          <w:jc w:val="center"/>
        </w:trPr>
        <w:tc>
          <w:tcPr>
            <w:tcW w:w="5022" w:type="dxa"/>
            <w:gridSpan w:val="2"/>
            <w:shd w:val="clear" w:color="auto" w:fill="auto"/>
          </w:tcPr>
          <w:p w14:paraId="75DDCD1D" w14:textId="77777777" w:rsidR="00C844EE" w:rsidRPr="00000103" w:rsidRDefault="00C844EE" w:rsidP="00C844EE">
            <w:pPr>
              <w:spacing w:after="0" w:line="0" w:lineRule="atLeast"/>
              <w:jc w:val="center"/>
              <w:rPr>
                <w:rFonts w:ascii="Times New Roman" w:hAnsi="Times New Roman" w:cs="Times New Roman"/>
                <w:b/>
                <w:lang w:val="en-GB"/>
              </w:rPr>
            </w:pPr>
            <w:r w:rsidRPr="00000103">
              <w:rPr>
                <w:rFonts w:ascii="Times New Roman" w:hAnsi="Times New Roman" w:cs="Times New Roman"/>
                <w:b/>
                <w:lang w:val="en-GB"/>
              </w:rPr>
              <w:lastRenderedPageBreak/>
              <w:t>PROGRESS REPORT PLANS (04/05/2012)</w:t>
            </w:r>
          </w:p>
        </w:tc>
        <w:tc>
          <w:tcPr>
            <w:tcW w:w="4220" w:type="dxa"/>
            <w:shd w:val="clear" w:color="auto" w:fill="auto"/>
          </w:tcPr>
          <w:p w14:paraId="5912CD77" w14:textId="77777777" w:rsidR="00C844EE" w:rsidRPr="00000103" w:rsidRDefault="00C844EE" w:rsidP="00C844EE">
            <w:pPr>
              <w:spacing w:after="0" w:line="0" w:lineRule="atLeast"/>
              <w:jc w:val="center"/>
              <w:rPr>
                <w:rFonts w:ascii="Times New Roman" w:hAnsi="Times New Roman" w:cs="Times New Roman"/>
                <w:b/>
                <w:lang w:val="en-GB"/>
              </w:rPr>
            </w:pPr>
            <w:r w:rsidRPr="00000103">
              <w:rPr>
                <w:rFonts w:ascii="Times New Roman" w:hAnsi="Times New Roman" w:cs="Times New Roman"/>
                <w:b/>
                <w:lang w:val="en-GB"/>
              </w:rPr>
              <w:t>STATUS</w:t>
            </w:r>
          </w:p>
        </w:tc>
      </w:tr>
      <w:tr w:rsidR="00C844EE" w:rsidRPr="00000103" w14:paraId="1EEA09DE" w14:textId="77777777" w:rsidTr="00000103">
        <w:trPr>
          <w:cantSplit/>
          <w:trHeight w:val="288"/>
          <w:jc w:val="center"/>
        </w:trPr>
        <w:tc>
          <w:tcPr>
            <w:tcW w:w="894" w:type="dxa"/>
            <w:shd w:val="clear" w:color="auto" w:fill="auto"/>
          </w:tcPr>
          <w:p w14:paraId="49CEEF3E"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2013</w:t>
            </w:r>
          </w:p>
        </w:tc>
        <w:tc>
          <w:tcPr>
            <w:tcW w:w="4128" w:type="dxa"/>
            <w:shd w:val="clear" w:color="auto" w:fill="auto"/>
          </w:tcPr>
          <w:p w14:paraId="22BCF484"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Port Development Study</w:t>
            </w:r>
          </w:p>
          <w:p w14:paraId="45FD415F"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Oil and Gas Study</w:t>
            </w:r>
          </w:p>
          <w:p w14:paraId="1FC1B60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Poverty Updates</w:t>
            </w:r>
          </w:p>
          <w:p w14:paraId="6571D0B6"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Devolution Access to Service Delivery</w:t>
            </w:r>
          </w:p>
          <w:p w14:paraId="5A60B49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Health Service Delivery Indicators</w:t>
            </w:r>
          </w:p>
          <w:p w14:paraId="4AFD53A8"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Human Resources in Health Study</w:t>
            </w:r>
          </w:p>
          <w:p w14:paraId="737F3A75"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Measuring Skills and Knowledge for Greater Growth and Competitiveness</w:t>
            </w:r>
          </w:p>
          <w:p w14:paraId="72F27FF4"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Integrated Education Data Management</w:t>
            </w:r>
          </w:p>
          <w:p w14:paraId="5C23B1BE"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Teacher Performance and Student Learning</w:t>
            </w:r>
          </w:p>
          <w:p w14:paraId="6066BAD6"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Access to Information and Learning</w:t>
            </w:r>
          </w:p>
          <w:p w14:paraId="601A8466"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County Systems Assessment</w:t>
            </w:r>
          </w:p>
          <w:p w14:paraId="74562307"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Judicial Performance</w:t>
            </w:r>
          </w:p>
          <w:p w14:paraId="278ACBEA" w14:textId="77777777" w:rsidR="00C844EE" w:rsidRPr="00000103" w:rsidRDefault="00C844EE" w:rsidP="00C844EE">
            <w:pPr>
              <w:spacing w:after="0" w:line="0" w:lineRule="atLeast"/>
              <w:rPr>
                <w:rFonts w:ascii="Times New Roman" w:hAnsi="Times New Roman" w:cs="Times New Roman"/>
                <w:sz w:val="20"/>
                <w:szCs w:val="20"/>
                <w:lang w:val="en-GB"/>
              </w:rPr>
            </w:pPr>
          </w:p>
          <w:p w14:paraId="12BD99F7" w14:textId="77777777" w:rsidR="00C844EE" w:rsidRPr="00000103" w:rsidRDefault="00C844EE" w:rsidP="00C844EE">
            <w:pPr>
              <w:spacing w:after="0" w:line="0" w:lineRule="atLeast"/>
              <w:rPr>
                <w:rFonts w:ascii="Times New Roman" w:hAnsi="Times New Roman" w:cs="Times New Roman"/>
                <w:sz w:val="20"/>
                <w:szCs w:val="20"/>
                <w:lang w:val="en-GB"/>
              </w:rPr>
            </w:pPr>
          </w:p>
        </w:tc>
        <w:tc>
          <w:tcPr>
            <w:tcW w:w="4220" w:type="dxa"/>
            <w:shd w:val="clear" w:color="auto" w:fill="auto"/>
          </w:tcPr>
          <w:p w14:paraId="0EC856ED" w14:textId="77777777" w:rsidR="00C844EE" w:rsidRPr="00000103" w:rsidRDefault="00C844EE" w:rsidP="00C844EE">
            <w:pPr>
              <w:spacing w:after="0" w:line="0" w:lineRule="atLeast"/>
              <w:rPr>
                <w:rFonts w:ascii="Times New Roman" w:hAnsi="Times New Roman" w:cs="Times New Roman"/>
                <w:sz w:val="20"/>
                <w:szCs w:val="20"/>
                <w:u w:val="single"/>
                <w:lang w:val="en-GB"/>
              </w:rPr>
            </w:pPr>
            <w:r w:rsidRPr="00000103">
              <w:rPr>
                <w:rFonts w:ascii="Times New Roman" w:hAnsi="Times New Roman" w:cs="Times New Roman"/>
                <w:sz w:val="20"/>
                <w:szCs w:val="20"/>
                <w:u w:val="single"/>
                <w:lang w:val="en-GB"/>
              </w:rPr>
              <w:t>Additional Products</w:t>
            </w:r>
          </w:p>
          <w:p w14:paraId="36BB6C6F"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ESW:</w:t>
            </w:r>
          </w:p>
          <w:p w14:paraId="4F3BA9DA"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PER</w:t>
            </w:r>
          </w:p>
          <w:p w14:paraId="3EEFEDA2"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Manufacturing Exports Study</w:t>
            </w:r>
          </w:p>
          <w:p w14:paraId="157C26B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Realizing the Youth Dividend</w:t>
            </w:r>
          </w:p>
          <w:p w14:paraId="56E6CDB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Policy Notes for New Government</w:t>
            </w:r>
          </w:p>
          <w:p w14:paraId="6F6DDF82"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Gender Policy Notes</w:t>
            </w:r>
          </w:p>
          <w:p w14:paraId="652460C1"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Economic Notes</w:t>
            </w:r>
          </w:p>
          <w:p w14:paraId="3FA0C6EC"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DeMPA Training</w:t>
            </w:r>
          </w:p>
          <w:p w14:paraId="15FC1A69" w14:textId="77777777" w:rsidR="00C844EE" w:rsidRPr="00000103" w:rsidRDefault="00C844EE" w:rsidP="00C844EE">
            <w:pPr>
              <w:spacing w:after="0" w:line="0" w:lineRule="atLeast"/>
              <w:rPr>
                <w:rFonts w:ascii="Times New Roman" w:hAnsi="Times New Roman" w:cs="Times New Roman"/>
                <w:i/>
                <w:sz w:val="20"/>
                <w:szCs w:val="20"/>
                <w:lang w:val="en-GB"/>
              </w:rPr>
            </w:pPr>
            <w:r w:rsidRPr="00000103">
              <w:rPr>
                <w:rFonts w:ascii="Times New Roman" w:hAnsi="Times New Roman" w:cs="Times New Roman"/>
                <w:i/>
                <w:sz w:val="20"/>
                <w:szCs w:val="20"/>
                <w:lang w:val="en-GB"/>
              </w:rPr>
              <w:t>TA:</w:t>
            </w:r>
          </w:p>
          <w:p w14:paraId="038DFD59"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Implementation of AML Act 2009</w:t>
            </w:r>
          </w:p>
          <w:p w14:paraId="793CF294"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Competitive Partnership Initiative</w:t>
            </w:r>
          </w:p>
          <w:p w14:paraId="32332143"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StAR</w:t>
            </w:r>
          </w:p>
          <w:p w14:paraId="6E8FC6CD"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Climate Innovation Centre</w:t>
            </w:r>
          </w:p>
          <w:p w14:paraId="1CCAA0E8" w14:textId="77777777" w:rsidR="00C844EE" w:rsidRPr="00000103" w:rsidRDefault="00C844EE" w:rsidP="00C844EE">
            <w:pPr>
              <w:spacing w:after="0" w:line="0" w:lineRule="atLeast"/>
              <w:rPr>
                <w:rFonts w:ascii="Times New Roman" w:hAnsi="Times New Roman" w:cs="Times New Roman"/>
                <w:sz w:val="20"/>
                <w:szCs w:val="20"/>
                <w:lang w:val="en-GB"/>
              </w:rPr>
            </w:pPr>
            <w:r w:rsidRPr="00000103">
              <w:rPr>
                <w:rFonts w:ascii="Times New Roman" w:hAnsi="Times New Roman" w:cs="Times New Roman"/>
                <w:sz w:val="20"/>
                <w:szCs w:val="20"/>
                <w:lang w:val="en-GB"/>
              </w:rPr>
              <w:t>Nairobi Sanitation Preparation</w:t>
            </w:r>
          </w:p>
          <w:p w14:paraId="248BB6A1" w14:textId="77777777" w:rsidR="00C844EE" w:rsidRPr="00000103" w:rsidRDefault="00C844EE" w:rsidP="00C844EE">
            <w:pPr>
              <w:spacing w:after="0" w:line="0" w:lineRule="atLeast"/>
              <w:rPr>
                <w:rFonts w:ascii="Times New Roman" w:hAnsi="Times New Roman" w:cs="Times New Roman"/>
                <w:lang w:val="en-GB"/>
              </w:rPr>
            </w:pPr>
            <w:r w:rsidRPr="00000103">
              <w:rPr>
                <w:rFonts w:ascii="Times New Roman" w:hAnsi="Times New Roman" w:cs="Times New Roman"/>
                <w:sz w:val="20"/>
                <w:szCs w:val="20"/>
                <w:lang w:val="en-GB"/>
              </w:rPr>
              <w:t>Gemloc III</w:t>
            </w:r>
          </w:p>
        </w:tc>
      </w:tr>
    </w:tbl>
    <w:p w14:paraId="13895927" w14:textId="77777777" w:rsidR="00C844EE" w:rsidRDefault="00C844EE" w:rsidP="00C844EE">
      <w:pPr>
        <w:jc w:val="both"/>
        <w:rPr>
          <w:lang w:val="en-GB"/>
        </w:rPr>
      </w:pPr>
    </w:p>
    <w:p w14:paraId="6B55CB81" w14:textId="77777777" w:rsidR="00377A09" w:rsidRPr="00C844EE" w:rsidRDefault="00377A09" w:rsidP="00C844EE">
      <w:pPr>
        <w:jc w:val="both"/>
        <w:rPr>
          <w:lang w:val="en-GB"/>
        </w:rPr>
      </w:pPr>
    </w:p>
    <w:p w14:paraId="172DD5EF" w14:textId="77777777" w:rsidR="00AF6230" w:rsidRPr="00C844EE" w:rsidRDefault="00AF6230" w:rsidP="008105DB">
      <w:pPr>
        <w:pStyle w:val="ListParagraph"/>
        <w:spacing w:line="240" w:lineRule="auto"/>
        <w:ind w:left="0"/>
        <w:contextualSpacing w:val="0"/>
        <w:jc w:val="both"/>
        <w:rPr>
          <w:rFonts w:ascii="Times New Roman" w:hAnsi="Times New Roman" w:cs="Times New Roman"/>
          <w:sz w:val="24"/>
          <w:szCs w:val="24"/>
          <w:lang w:val="en-GB"/>
        </w:rPr>
        <w:sectPr w:rsidR="00AF6230" w:rsidRPr="00C844EE" w:rsidSect="00F96822">
          <w:endnotePr>
            <w:numFmt w:val="decimal"/>
          </w:endnotePr>
          <w:pgSz w:w="12240" w:h="15840"/>
          <w:pgMar w:top="1166" w:right="1440" w:bottom="1267" w:left="1440" w:header="720" w:footer="720" w:gutter="0"/>
          <w:cols w:space="720"/>
          <w:docGrid w:linePitch="360"/>
        </w:sectPr>
      </w:pPr>
    </w:p>
    <w:p w14:paraId="5474DE1B" w14:textId="77777777" w:rsidR="00AF6230" w:rsidRPr="00A81C89" w:rsidRDefault="00A81C89" w:rsidP="00A81C89">
      <w:pPr>
        <w:pStyle w:val="Caption"/>
        <w:spacing w:after="240"/>
        <w:jc w:val="center"/>
        <w:rPr>
          <w:rFonts w:ascii="Times New Roman" w:hAnsi="Times New Roman" w:cs="Times New Roman"/>
          <w:b w:val="0"/>
          <w:color w:val="auto"/>
          <w:sz w:val="24"/>
          <w:szCs w:val="24"/>
        </w:rPr>
      </w:pPr>
      <w:bookmarkStart w:id="3" w:name="_Toc387342564"/>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3</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Selected Indicators of Bank Portfolio Performance and Management</w:t>
      </w:r>
      <w:bookmarkEnd w:id="3"/>
    </w:p>
    <w:p w14:paraId="22799910" w14:textId="77777777" w:rsidR="00AF6230" w:rsidRPr="00A245E9" w:rsidRDefault="00AF6230" w:rsidP="00AF6230">
      <w:pPr>
        <w:jc w:val="center"/>
        <w:rPr>
          <w:rFonts w:ascii="Times New Roman" w:hAnsi="Times New Roman" w:cs="Times New Roman"/>
          <w:b/>
          <w:sz w:val="24"/>
          <w:szCs w:val="24"/>
          <w:highlight w:val="yellow"/>
        </w:rPr>
        <w:sectPr w:rsidR="00AF6230" w:rsidRPr="00A245E9" w:rsidSect="00F96822">
          <w:pgSz w:w="12240" w:h="15840" w:code="1"/>
          <w:pgMar w:top="1440" w:right="1440" w:bottom="1440" w:left="1440" w:header="708" w:footer="708" w:gutter="0"/>
          <w:cols w:space="708"/>
          <w:docGrid w:linePitch="360"/>
        </w:sectPr>
      </w:pPr>
      <w:r w:rsidRPr="00634A3B">
        <w:rPr>
          <w:noProof/>
        </w:rPr>
        <w:drawing>
          <wp:inline distT="0" distB="0" distL="0" distR="0" wp14:anchorId="1CA22095" wp14:editId="12C8B612">
            <wp:extent cx="5908431" cy="55848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98659" cy="5575637"/>
                    </a:xfrm>
                    <a:prstGeom prst="rect">
                      <a:avLst/>
                    </a:prstGeom>
                  </pic:spPr>
                </pic:pic>
              </a:graphicData>
            </a:graphic>
          </wp:inline>
        </w:drawing>
      </w:r>
    </w:p>
    <w:p w14:paraId="2DF1B9D4" w14:textId="77777777" w:rsidR="00A644D5" w:rsidRPr="00A81C89" w:rsidRDefault="00A81C89" w:rsidP="00A81C89">
      <w:pPr>
        <w:pStyle w:val="Caption"/>
        <w:spacing w:after="240"/>
        <w:jc w:val="center"/>
        <w:rPr>
          <w:rFonts w:ascii="Times New Roman" w:hAnsi="Times New Roman" w:cs="Times New Roman"/>
          <w:color w:val="auto"/>
          <w:sz w:val="24"/>
          <w:szCs w:val="24"/>
        </w:rPr>
      </w:pPr>
      <w:bookmarkStart w:id="4" w:name="_Toc387342565"/>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4</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Operations Portfolio</w:t>
      </w:r>
      <w:bookmarkEnd w:id="4"/>
    </w:p>
    <w:p w14:paraId="2D72CAA4" w14:textId="77777777" w:rsidR="00A644D5" w:rsidRDefault="00A644D5" w:rsidP="00A644D5">
      <w:pPr>
        <w:pStyle w:val="ListParagraph"/>
        <w:spacing w:line="240" w:lineRule="auto"/>
        <w:ind w:left="0"/>
        <w:contextualSpacing w:val="0"/>
        <w:jc w:val="both"/>
        <w:rPr>
          <w:rFonts w:ascii="Times New Roman" w:hAnsi="Times New Roman" w:cs="Times New Roman"/>
          <w:sz w:val="20"/>
          <w:szCs w:val="20"/>
        </w:rPr>
      </w:pPr>
      <w:r w:rsidRPr="00262BAA">
        <w:rPr>
          <w:noProof/>
        </w:rPr>
        <w:drawing>
          <wp:inline distT="0" distB="0" distL="0" distR="0" wp14:anchorId="38FD7E05" wp14:editId="6FD86978">
            <wp:extent cx="7851648" cy="464178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885820" cy="4661982"/>
                    </a:xfrm>
                    <a:prstGeom prst="rect">
                      <a:avLst/>
                    </a:prstGeom>
                  </pic:spPr>
                </pic:pic>
              </a:graphicData>
            </a:graphic>
          </wp:inline>
        </w:drawing>
      </w:r>
    </w:p>
    <w:p w14:paraId="27D4BA24" w14:textId="77777777" w:rsidR="00A644D5" w:rsidRDefault="00A644D5" w:rsidP="00A644D5">
      <w:pPr>
        <w:pStyle w:val="ListParagraph"/>
        <w:spacing w:line="240" w:lineRule="auto"/>
        <w:ind w:left="0"/>
        <w:contextualSpacing w:val="0"/>
        <w:jc w:val="both"/>
        <w:rPr>
          <w:rFonts w:ascii="Times New Roman" w:hAnsi="Times New Roman" w:cs="Times New Roman"/>
          <w:sz w:val="20"/>
          <w:szCs w:val="20"/>
        </w:rPr>
        <w:sectPr w:rsidR="00A644D5" w:rsidSect="00F96822">
          <w:endnotePr>
            <w:numFmt w:val="decimal"/>
          </w:endnotePr>
          <w:pgSz w:w="15840" w:h="12240" w:orient="landscape"/>
          <w:pgMar w:top="1440" w:right="1166" w:bottom="1440" w:left="1267" w:header="720" w:footer="720" w:gutter="0"/>
          <w:cols w:space="720"/>
          <w:docGrid w:linePitch="360"/>
        </w:sectPr>
      </w:pPr>
    </w:p>
    <w:p w14:paraId="26F5B246" w14:textId="095FDF77" w:rsidR="00A81C89" w:rsidRPr="00A81C89" w:rsidRDefault="00A81C89" w:rsidP="00A81C89">
      <w:pPr>
        <w:pStyle w:val="Caption"/>
        <w:jc w:val="center"/>
        <w:rPr>
          <w:rFonts w:ascii="Times New Roman" w:hAnsi="Times New Roman" w:cs="Times New Roman"/>
          <w:color w:val="auto"/>
          <w:sz w:val="24"/>
          <w:szCs w:val="24"/>
        </w:rPr>
      </w:pPr>
      <w:bookmarkStart w:id="5" w:name="_Toc387342566"/>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5</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xml:space="preserve">: IFC and MIGA </w:t>
      </w:r>
      <w:r w:rsidR="00787936">
        <w:rPr>
          <w:rFonts w:ascii="Times New Roman" w:hAnsi="Times New Roman" w:cs="Times New Roman"/>
          <w:color w:val="auto"/>
          <w:sz w:val="24"/>
          <w:szCs w:val="24"/>
        </w:rPr>
        <w:t>A</w:t>
      </w:r>
      <w:r w:rsidRPr="00A81C89">
        <w:rPr>
          <w:rFonts w:ascii="Times New Roman" w:hAnsi="Times New Roman" w:cs="Times New Roman"/>
          <w:color w:val="auto"/>
          <w:sz w:val="24"/>
          <w:szCs w:val="24"/>
        </w:rPr>
        <w:t>ctivities</w:t>
      </w:r>
      <w:bookmarkEnd w:id="5"/>
    </w:p>
    <w:p w14:paraId="3AC4EDF0" w14:textId="77777777" w:rsidR="00B56C1B" w:rsidRDefault="00256F32" w:rsidP="00B56C1B">
      <w:pPr>
        <w:pStyle w:val="ListParagraph"/>
        <w:spacing w:line="240" w:lineRule="auto"/>
        <w:ind w:left="-450" w:firstLine="450"/>
        <w:contextualSpacing w:val="0"/>
        <w:jc w:val="both"/>
        <w:rPr>
          <w:rFonts w:ascii="Times New Roman" w:hAnsi="Times New Roman" w:cs="Times New Roman"/>
          <w:sz w:val="20"/>
          <w:szCs w:val="20"/>
        </w:rPr>
        <w:sectPr w:rsidR="00B56C1B" w:rsidSect="00F96822">
          <w:endnotePr>
            <w:numFmt w:val="decimal"/>
          </w:endnotePr>
          <w:pgSz w:w="12240" w:h="15840"/>
          <w:pgMar w:top="1166" w:right="1800" w:bottom="1267" w:left="720" w:header="720" w:footer="720" w:gutter="0"/>
          <w:cols w:space="720"/>
          <w:docGrid w:linePitch="360"/>
        </w:sectPr>
      </w:pPr>
      <w:r>
        <w:pict w14:anchorId="5C5310C3">
          <v:shape id="_x0000_i1027" type="#_x0000_t75" style="width:706.7pt;height:633.15pt">
            <v:imagedata r:id="rId31" o:title=""/>
          </v:shape>
        </w:pict>
      </w:r>
    </w:p>
    <w:p w14:paraId="2FE8E71B" w14:textId="77777777" w:rsidR="00064809" w:rsidRPr="00C4002C" w:rsidRDefault="00064809" w:rsidP="00064809">
      <w:pPr>
        <w:pStyle w:val="ListParagraph"/>
        <w:spacing w:after="120" w:line="240" w:lineRule="auto"/>
        <w:ind w:left="0"/>
        <w:contextualSpacing w:val="0"/>
        <w:jc w:val="center"/>
        <w:rPr>
          <w:rFonts w:ascii="Times New Roman" w:hAnsi="Times New Roman" w:cs="Times New Roman"/>
          <w:sz w:val="24"/>
          <w:szCs w:val="24"/>
        </w:rPr>
      </w:pPr>
      <w:r w:rsidRPr="00C4002C">
        <w:rPr>
          <w:rFonts w:ascii="Times New Roman" w:hAnsi="Times New Roman" w:cs="Times New Roman"/>
          <w:b/>
          <w:sz w:val="24"/>
          <w:szCs w:val="24"/>
        </w:rPr>
        <w:lastRenderedPageBreak/>
        <w:t>Kenya – IFC Commitments</w:t>
      </w:r>
    </w:p>
    <w:p w14:paraId="14F6C543" w14:textId="77777777" w:rsidR="00064809" w:rsidRDefault="00064809" w:rsidP="00CA0174">
      <w:pPr>
        <w:pStyle w:val="ListParagraph"/>
        <w:spacing w:after="240"/>
        <w:ind w:left="0"/>
        <w:contextualSpacing w:val="0"/>
        <w:jc w:val="center"/>
      </w:pPr>
      <w:r w:rsidRPr="006D47E4">
        <w:rPr>
          <w:noProof/>
        </w:rPr>
        <w:drawing>
          <wp:inline distT="0" distB="0" distL="0" distR="0" wp14:anchorId="79B6DF87" wp14:editId="77AA4450">
            <wp:extent cx="6096000" cy="16071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67735" cy="1626040"/>
                    </a:xfrm>
                    <a:prstGeom prst="rect">
                      <a:avLst/>
                    </a:prstGeom>
                  </pic:spPr>
                </pic:pic>
              </a:graphicData>
            </a:graphic>
          </wp:inline>
        </w:drawing>
      </w:r>
    </w:p>
    <w:p w14:paraId="59FA55A2" w14:textId="77777777" w:rsidR="00064809" w:rsidRDefault="00064809" w:rsidP="00064809">
      <w:pPr>
        <w:pStyle w:val="ListParagraph"/>
        <w:ind w:left="0"/>
        <w:contextualSpacing w:val="0"/>
        <w:jc w:val="center"/>
        <w:rPr>
          <w:b/>
          <w:bCs/>
          <w:color w:val="000000"/>
        </w:rPr>
      </w:pPr>
    </w:p>
    <w:p w14:paraId="73B40DD3" w14:textId="77777777" w:rsidR="00064809" w:rsidRPr="00C4002C" w:rsidRDefault="00064809" w:rsidP="00064809">
      <w:pPr>
        <w:pStyle w:val="ListParagraph"/>
        <w:spacing w:line="240" w:lineRule="auto"/>
        <w:ind w:left="0"/>
        <w:contextualSpacing w:val="0"/>
        <w:jc w:val="center"/>
        <w:rPr>
          <w:rFonts w:ascii="Times New Roman" w:hAnsi="Times New Roman" w:cs="Times New Roman"/>
          <w:sz w:val="24"/>
          <w:szCs w:val="24"/>
        </w:rPr>
      </w:pPr>
      <w:r w:rsidRPr="00C4002C">
        <w:rPr>
          <w:rFonts w:ascii="Times New Roman" w:hAnsi="Times New Roman" w:cs="Times New Roman"/>
          <w:b/>
          <w:bCs/>
          <w:color w:val="000000"/>
          <w:sz w:val="24"/>
          <w:szCs w:val="24"/>
        </w:rPr>
        <w:t>MIGA Guarantee Portfolio in Kenya</w:t>
      </w:r>
    </w:p>
    <w:p w14:paraId="5D836005" w14:textId="77777777" w:rsidR="00D0371A" w:rsidRDefault="00064809" w:rsidP="00F77639">
      <w:pPr>
        <w:autoSpaceDE w:val="0"/>
        <w:autoSpaceDN w:val="0"/>
        <w:adjustRightInd w:val="0"/>
        <w:spacing w:after="0" w:line="240" w:lineRule="auto"/>
        <w:jc w:val="center"/>
        <w:rPr>
          <w:rFonts w:ascii="Tms Rmn" w:hAnsi="Tms Rmn"/>
          <w:sz w:val="24"/>
          <w:szCs w:val="24"/>
        </w:rPr>
      </w:pPr>
      <w:r w:rsidRPr="00C4002C">
        <w:rPr>
          <w:rFonts w:ascii="Times New Roman" w:hAnsi="Times New Roman" w:cs="Times New Roman"/>
          <w:b/>
          <w:sz w:val="24"/>
          <w:szCs w:val="24"/>
        </w:rPr>
        <w:t>Gross Outstanding Exposure in of Inbound Investment</w:t>
      </w:r>
    </w:p>
    <w:tbl>
      <w:tblPr>
        <w:tblW w:w="0" w:type="auto"/>
        <w:jc w:val="center"/>
        <w:tblLayout w:type="fixed"/>
        <w:tblCellMar>
          <w:top w:w="15" w:type="dxa"/>
          <w:left w:w="15" w:type="dxa"/>
          <w:bottom w:w="15" w:type="dxa"/>
          <w:right w:w="15" w:type="dxa"/>
        </w:tblCellMar>
        <w:tblLook w:val="00A0" w:firstRow="1" w:lastRow="0" w:firstColumn="1" w:lastColumn="0" w:noHBand="0" w:noVBand="0"/>
      </w:tblPr>
      <w:tblGrid>
        <w:gridCol w:w="840"/>
        <w:gridCol w:w="2194"/>
        <w:gridCol w:w="1530"/>
        <w:gridCol w:w="2070"/>
        <w:gridCol w:w="2494"/>
      </w:tblGrid>
      <w:tr w:rsidR="00D0371A" w14:paraId="175D29AF"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14079023"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FY</w:t>
            </w:r>
          </w:p>
        </w:tc>
        <w:tc>
          <w:tcPr>
            <w:tcW w:w="2194" w:type="dxa"/>
            <w:tcBorders>
              <w:top w:val="threeDEmboss" w:sz="6" w:space="0" w:color="auto"/>
              <w:left w:val="threeDEmboss" w:sz="6" w:space="0" w:color="auto"/>
              <w:bottom w:val="threeDEmboss" w:sz="6" w:space="0" w:color="auto"/>
              <w:right w:val="threeDEmboss" w:sz="6" w:space="0" w:color="auto"/>
            </w:tcBorders>
          </w:tcPr>
          <w:p w14:paraId="01314CE9"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Project name</w:t>
            </w:r>
          </w:p>
        </w:tc>
        <w:tc>
          <w:tcPr>
            <w:tcW w:w="1530" w:type="dxa"/>
            <w:tcBorders>
              <w:top w:val="threeDEmboss" w:sz="6" w:space="0" w:color="auto"/>
              <w:left w:val="threeDEmboss" w:sz="6" w:space="0" w:color="auto"/>
              <w:bottom w:val="threeDEmboss" w:sz="6" w:space="0" w:color="auto"/>
              <w:right w:val="threeDEmboss" w:sz="6" w:space="0" w:color="auto"/>
            </w:tcBorders>
          </w:tcPr>
          <w:p w14:paraId="5B6030FA"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Sector</w:t>
            </w:r>
          </w:p>
        </w:tc>
        <w:tc>
          <w:tcPr>
            <w:tcW w:w="2070" w:type="dxa"/>
            <w:tcBorders>
              <w:top w:val="threeDEmboss" w:sz="6" w:space="0" w:color="auto"/>
              <w:left w:val="threeDEmboss" w:sz="6" w:space="0" w:color="auto"/>
              <w:bottom w:val="threeDEmboss" w:sz="6" w:space="0" w:color="auto"/>
              <w:right w:val="threeDEmboss" w:sz="6" w:space="0" w:color="auto"/>
            </w:tcBorders>
          </w:tcPr>
          <w:p w14:paraId="1443D8B7"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Gross Exposure ($)</w:t>
            </w:r>
          </w:p>
        </w:tc>
        <w:tc>
          <w:tcPr>
            <w:tcW w:w="2494" w:type="dxa"/>
            <w:tcBorders>
              <w:top w:val="threeDEmboss" w:sz="6" w:space="0" w:color="auto"/>
              <w:left w:val="threeDEmboss" w:sz="6" w:space="0" w:color="auto"/>
              <w:bottom w:val="threeDEmboss" w:sz="6" w:space="0" w:color="auto"/>
              <w:right w:val="threeDEmboss" w:sz="6" w:space="0" w:color="auto"/>
            </w:tcBorders>
          </w:tcPr>
          <w:p w14:paraId="09DDA705"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Guarantee Holder</w:t>
            </w:r>
          </w:p>
        </w:tc>
      </w:tr>
      <w:tr w:rsidR="00D0371A" w14:paraId="23669F03"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6C14E142"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2013</w:t>
            </w:r>
          </w:p>
        </w:tc>
        <w:tc>
          <w:tcPr>
            <w:tcW w:w="2194" w:type="dxa"/>
            <w:tcBorders>
              <w:top w:val="threeDEmboss" w:sz="6" w:space="0" w:color="auto"/>
              <w:left w:val="threeDEmboss" w:sz="6" w:space="0" w:color="auto"/>
              <w:bottom w:val="threeDEmboss" w:sz="6" w:space="0" w:color="auto"/>
              <w:right w:val="threeDEmboss" w:sz="6" w:space="0" w:color="auto"/>
            </w:tcBorders>
          </w:tcPr>
          <w:p w14:paraId="78129423"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83 Megawatt Kitengela Power Plant – Triumph</w:t>
            </w:r>
          </w:p>
        </w:tc>
        <w:tc>
          <w:tcPr>
            <w:tcW w:w="1530" w:type="dxa"/>
            <w:tcBorders>
              <w:top w:val="threeDEmboss" w:sz="6" w:space="0" w:color="auto"/>
              <w:left w:val="threeDEmboss" w:sz="6" w:space="0" w:color="auto"/>
              <w:bottom w:val="threeDEmboss" w:sz="6" w:space="0" w:color="auto"/>
              <w:right w:val="threeDEmboss" w:sz="6" w:space="0" w:color="auto"/>
            </w:tcBorders>
          </w:tcPr>
          <w:p w14:paraId="7BCA09F5"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Power</w:t>
            </w:r>
          </w:p>
        </w:tc>
        <w:tc>
          <w:tcPr>
            <w:tcW w:w="2070" w:type="dxa"/>
            <w:tcBorders>
              <w:top w:val="threeDEmboss" w:sz="6" w:space="0" w:color="auto"/>
              <w:left w:val="threeDEmboss" w:sz="6" w:space="0" w:color="auto"/>
              <w:bottom w:val="threeDEmboss" w:sz="6" w:space="0" w:color="auto"/>
              <w:right w:val="threeDEmboss" w:sz="6" w:space="0" w:color="auto"/>
            </w:tcBorders>
          </w:tcPr>
          <w:p w14:paraId="10ECF6F7"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102,542,584</w:t>
            </w:r>
          </w:p>
        </w:tc>
        <w:tc>
          <w:tcPr>
            <w:tcW w:w="2494" w:type="dxa"/>
            <w:tcBorders>
              <w:top w:val="threeDEmboss" w:sz="6" w:space="0" w:color="auto"/>
              <w:left w:val="threeDEmboss" w:sz="6" w:space="0" w:color="auto"/>
              <w:bottom w:val="threeDEmboss" w:sz="6" w:space="0" w:color="auto"/>
              <w:right w:val="threeDEmboss" w:sz="6" w:space="0" w:color="auto"/>
            </w:tcBorders>
          </w:tcPr>
          <w:p w14:paraId="6DCB180D"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The Standard Bank of South Africa Limited</w:t>
            </w:r>
          </w:p>
        </w:tc>
      </w:tr>
      <w:tr w:rsidR="00D0371A" w14:paraId="42F7F0D5"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32EF0C55"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2013</w:t>
            </w:r>
          </w:p>
        </w:tc>
        <w:tc>
          <w:tcPr>
            <w:tcW w:w="2194" w:type="dxa"/>
            <w:tcBorders>
              <w:top w:val="threeDEmboss" w:sz="6" w:space="0" w:color="auto"/>
              <w:left w:val="threeDEmboss" w:sz="6" w:space="0" w:color="auto"/>
              <w:bottom w:val="threeDEmboss" w:sz="6" w:space="0" w:color="auto"/>
              <w:right w:val="threeDEmboss" w:sz="6" w:space="0" w:color="auto"/>
            </w:tcBorders>
          </w:tcPr>
          <w:p w14:paraId="17B8F558"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83 Megawatt Kitengela Power Plant - Triumph</w:t>
            </w:r>
          </w:p>
        </w:tc>
        <w:tc>
          <w:tcPr>
            <w:tcW w:w="1530" w:type="dxa"/>
            <w:tcBorders>
              <w:top w:val="threeDEmboss" w:sz="6" w:space="0" w:color="auto"/>
              <w:left w:val="threeDEmboss" w:sz="6" w:space="0" w:color="auto"/>
              <w:bottom w:val="threeDEmboss" w:sz="6" w:space="0" w:color="auto"/>
              <w:right w:val="threeDEmboss" w:sz="6" w:space="0" w:color="auto"/>
            </w:tcBorders>
          </w:tcPr>
          <w:p w14:paraId="2DA8E9FE"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Power</w:t>
            </w:r>
          </w:p>
        </w:tc>
        <w:tc>
          <w:tcPr>
            <w:tcW w:w="2070" w:type="dxa"/>
            <w:tcBorders>
              <w:top w:val="threeDEmboss" w:sz="6" w:space="0" w:color="auto"/>
              <w:left w:val="threeDEmboss" w:sz="6" w:space="0" w:color="auto"/>
              <w:bottom w:val="threeDEmboss" w:sz="6" w:space="0" w:color="auto"/>
              <w:right w:val="threeDEmboss" w:sz="6" w:space="0" w:color="auto"/>
            </w:tcBorders>
          </w:tcPr>
          <w:p w14:paraId="44257184"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11,059,261</w:t>
            </w:r>
          </w:p>
        </w:tc>
        <w:tc>
          <w:tcPr>
            <w:tcW w:w="2494" w:type="dxa"/>
            <w:tcBorders>
              <w:top w:val="threeDEmboss" w:sz="6" w:space="0" w:color="auto"/>
              <w:left w:val="threeDEmboss" w:sz="6" w:space="0" w:color="auto"/>
              <w:bottom w:val="threeDEmboss" w:sz="6" w:space="0" w:color="auto"/>
              <w:right w:val="threeDEmboss" w:sz="6" w:space="0" w:color="auto"/>
            </w:tcBorders>
          </w:tcPr>
          <w:p w14:paraId="6B80B04A"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Cfc Stanbic Bank Limited</w:t>
            </w:r>
          </w:p>
        </w:tc>
      </w:tr>
      <w:tr w:rsidR="00D0371A" w14:paraId="37F53169"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3CDEEF39"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2012</w:t>
            </w:r>
          </w:p>
        </w:tc>
        <w:tc>
          <w:tcPr>
            <w:tcW w:w="2194" w:type="dxa"/>
            <w:tcBorders>
              <w:top w:val="threeDEmboss" w:sz="6" w:space="0" w:color="auto"/>
              <w:left w:val="threeDEmboss" w:sz="6" w:space="0" w:color="auto"/>
              <w:bottom w:val="threeDEmboss" w:sz="6" w:space="0" w:color="auto"/>
              <w:right w:val="threeDEmboss" w:sz="6" w:space="0" w:color="auto"/>
            </w:tcBorders>
          </w:tcPr>
          <w:p w14:paraId="4F8C415C"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OrPower 4, Inc.</w:t>
            </w:r>
          </w:p>
        </w:tc>
        <w:tc>
          <w:tcPr>
            <w:tcW w:w="1530" w:type="dxa"/>
            <w:tcBorders>
              <w:top w:val="threeDEmboss" w:sz="6" w:space="0" w:color="auto"/>
              <w:left w:val="threeDEmboss" w:sz="6" w:space="0" w:color="auto"/>
              <w:bottom w:val="threeDEmboss" w:sz="6" w:space="0" w:color="auto"/>
              <w:right w:val="threeDEmboss" w:sz="6" w:space="0" w:color="auto"/>
            </w:tcBorders>
          </w:tcPr>
          <w:p w14:paraId="52B45697"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Power</w:t>
            </w:r>
          </w:p>
        </w:tc>
        <w:tc>
          <w:tcPr>
            <w:tcW w:w="2070" w:type="dxa"/>
            <w:tcBorders>
              <w:top w:val="threeDEmboss" w:sz="6" w:space="0" w:color="auto"/>
              <w:left w:val="threeDEmboss" w:sz="6" w:space="0" w:color="auto"/>
              <w:bottom w:val="threeDEmboss" w:sz="6" w:space="0" w:color="auto"/>
              <w:right w:val="threeDEmboss" w:sz="6" w:space="0" w:color="auto"/>
            </w:tcBorders>
          </w:tcPr>
          <w:p w14:paraId="6B6AB578"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79,000,000</w:t>
            </w:r>
          </w:p>
        </w:tc>
        <w:tc>
          <w:tcPr>
            <w:tcW w:w="2494" w:type="dxa"/>
            <w:tcBorders>
              <w:top w:val="threeDEmboss" w:sz="6" w:space="0" w:color="auto"/>
              <w:left w:val="threeDEmboss" w:sz="6" w:space="0" w:color="auto"/>
              <w:bottom w:val="threeDEmboss" w:sz="6" w:space="0" w:color="auto"/>
              <w:right w:val="threeDEmboss" w:sz="6" w:space="0" w:color="auto"/>
            </w:tcBorders>
          </w:tcPr>
          <w:p w14:paraId="77C0BBE5"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Ormat Holding Corp.</w:t>
            </w:r>
          </w:p>
        </w:tc>
      </w:tr>
      <w:tr w:rsidR="00D0371A" w14:paraId="77C1861F"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54754E4D"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2012</w:t>
            </w:r>
          </w:p>
        </w:tc>
        <w:tc>
          <w:tcPr>
            <w:tcW w:w="2194" w:type="dxa"/>
            <w:tcBorders>
              <w:top w:val="threeDEmboss" w:sz="6" w:space="0" w:color="auto"/>
              <w:left w:val="threeDEmboss" w:sz="6" w:space="0" w:color="auto"/>
              <w:bottom w:val="threeDEmboss" w:sz="6" w:space="0" w:color="auto"/>
              <w:right w:val="threeDEmboss" w:sz="6" w:space="0" w:color="auto"/>
            </w:tcBorders>
          </w:tcPr>
          <w:p w14:paraId="3349D2EA"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Thika Power Ltd</w:t>
            </w:r>
          </w:p>
        </w:tc>
        <w:tc>
          <w:tcPr>
            <w:tcW w:w="1530" w:type="dxa"/>
            <w:tcBorders>
              <w:top w:val="threeDEmboss" w:sz="6" w:space="0" w:color="auto"/>
              <w:left w:val="threeDEmboss" w:sz="6" w:space="0" w:color="auto"/>
              <w:bottom w:val="threeDEmboss" w:sz="6" w:space="0" w:color="auto"/>
              <w:right w:val="threeDEmboss" w:sz="6" w:space="0" w:color="auto"/>
            </w:tcBorders>
          </w:tcPr>
          <w:p w14:paraId="322D26E9"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Power</w:t>
            </w:r>
          </w:p>
        </w:tc>
        <w:tc>
          <w:tcPr>
            <w:tcW w:w="2070" w:type="dxa"/>
            <w:tcBorders>
              <w:top w:val="threeDEmboss" w:sz="6" w:space="0" w:color="auto"/>
              <w:left w:val="threeDEmboss" w:sz="6" w:space="0" w:color="auto"/>
              <w:bottom w:val="threeDEmboss" w:sz="6" w:space="0" w:color="auto"/>
              <w:right w:val="threeDEmboss" w:sz="6" w:space="0" w:color="auto"/>
            </w:tcBorders>
          </w:tcPr>
          <w:p w14:paraId="093A9290"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53,936,225</w:t>
            </w:r>
          </w:p>
        </w:tc>
        <w:tc>
          <w:tcPr>
            <w:tcW w:w="2494" w:type="dxa"/>
            <w:tcBorders>
              <w:top w:val="threeDEmboss" w:sz="6" w:space="0" w:color="auto"/>
              <w:left w:val="threeDEmboss" w:sz="6" w:space="0" w:color="auto"/>
              <w:bottom w:val="threeDEmboss" w:sz="6" w:space="0" w:color="auto"/>
              <w:right w:val="threeDEmboss" w:sz="6" w:space="0" w:color="auto"/>
            </w:tcBorders>
          </w:tcPr>
          <w:p w14:paraId="27155097"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Absa Capital</w:t>
            </w:r>
          </w:p>
        </w:tc>
      </w:tr>
      <w:tr w:rsidR="00D0371A" w14:paraId="379341BA"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56434839"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2012</w:t>
            </w:r>
          </w:p>
        </w:tc>
        <w:tc>
          <w:tcPr>
            <w:tcW w:w="2194" w:type="dxa"/>
            <w:tcBorders>
              <w:top w:val="threeDEmboss" w:sz="6" w:space="0" w:color="auto"/>
              <w:left w:val="threeDEmboss" w:sz="6" w:space="0" w:color="auto"/>
              <w:bottom w:val="threeDEmboss" w:sz="6" w:space="0" w:color="auto"/>
              <w:right w:val="threeDEmboss" w:sz="6" w:space="0" w:color="auto"/>
            </w:tcBorders>
          </w:tcPr>
          <w:p w14:paraId="6E36A160"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Thika Power Ltd</w:t>
            </w:r>
          </w:p>
        </w:tc>
        <w:tc>
          <w:tcPr>
            <w:tcW w:w="1530" w:type="dxa"/>
            <w:tcBorders>
              <w:top w:val="threeDEmboss" w:sz="6" w:space="0" w:color="auto"/>
              <w:left w:val="threeDEmboss" w:sz="6" w:space="0" w:color="auto"/>
              <w:bottom w:val="threeDEmboss" w:sz="6" w:space="0" w:color="auto"/>
              <w:right w:val="threeDEmboss" w:sz="6" w:space="0" w:color="auto"/>
            </w:tcBorders>
          </w:tcPr>
          <w:p w14:paraId="40D9C494"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Power</w:t>
            </w:r>
          </w:p>
        </w:tc>
        <w:tc>
          <w:tcPr>
            <w:tcW w:w="2070" w:type="dxa"/>
            <w:tcBorders>
              <w:top w:val="threeDEmboss" w:sz="6" w:space="0" w:color="auto"/>
              <w:left w:val="threeDEmboss" w:sz="6" w:space="0" w:color="auto"/>
              <w:bottom w:val="threeDEmboss" w:sz="6" w:space="0" w:color="auto"/>
              <w:right w:val="threeDEmboss" w:sz="6" w:space="0" w:color="auto"/>
            </w:tcBorders>
          </w:tcPr>
          <w:p w14:paraId="7D574066"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6,487,180</w:t>
            </w:r>
          </w:p>
        </w:tc>
        <w:tc>
          <w:tcPr>
            <w:tcW w:w="2494" w:type="dxa"/>
            <w:tcBorders>
              <w:top w:val="threeDEmboss" w:sz="6" w:space="0" w:color="auto"/>
              <w:left w:val="threeDEmboss" w:sz="6" w:space="0" w:color="auto"/>
              <w:bottom w:val="threeDEmboss" w:sz="6" w:space="0" w:color="auto"/>
              <w:right w:val="threeDEmboss" w:sz="6" w:space="0" w:color="auto"/>
            </w:tcBorders>
          </w:tcPr>
          <w:p w14:paraId="174E72B5"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Absa Capital</w:t>
            </w:r>
          </w:p>
        </w:tc>
      </w:tr>
      <w:tr w:rsidR="00D0371A" w14:paraId="677ADC25"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274D4A59"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2011</w:t>
            </w:r>
          </w:p>
        </w:tc>
        <w:tc>
          <w:tcPr>
            <w:tcW w:w="2194" w:type="dxa"/>
            <w:tcBorders>
              <w:top w:val="threeDEmboss" w:sz="6" w:space="0" w:color="auto"/>
              <w:left w:val="threeDEmboss" w:sz="6" w:space="0" w:color="auto"/>
              <w:bottom w:val="threeDEmboss" w:sz="6" w:space="0" w:color="auto"/>
              <w:right w:val="threeDEmboss" w:sz="6" w:space="0" w:color="auto"/>
            </w:tcBorders>
          </w:tcPr>
          <w:p w14:paraId="5B2A00A3"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Resolution Health East Africa</w:t>
            </w:r>
          </w:p>
        </w:tc>
        <w:tc>
          <w:tcPr>
            <w:tcW w:w="1530" w:type="dxa"/>
            <w:tcBorders>
              <w:top w:val="threeDEmboss" w:sz="6" w:space="0" w:color="auto"/>
              <w:left w:val="threeDEmboss" w:sz="6" w:space="0" w:color="auto"/>
              <w:bottom w:val="threeDEmboss" w:sz="6" w:space="0" w:color="auto"/>
              <w:right w:val="threeDEmboss" w:sz="6" w:space="0" w:color="auto"/>
            </w:tcBorders>
          </w:tcPr>
          <w:p w14:paraId="756751EA"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Financial</w:t>
            </w:r>
          </w:p>
        </w:tc>
        <w:tc>
          <w:tcPr>
            <w:tcW w:w="2070" w:type="dxa"/>
            <w:tcBorders>
              <w:top w:val="threeDEmboss" w:sz="6" w:space="0" w:color="auto"/>
              <w:left w:val="threeDEmboss" w:sz="6" w:space="0" w:color="auto"/>
              <w:bottom w:val="threeDEmboss" w:sz="6" w:space="0" w:color="auto"/>
              <w:right w:val="threeDEmboss" w:sz="6" w:space="0" w:color="auto"/>
            </w:tcBorders>
          </w:tcPr>
          <w:p w14:paraId="17BE8302"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2,047,500</w:t>
            </w:r>
          </w:p>
        </w:tc>
        <w:tc>
          <w:tcPr>
            <w:tcW w:w="2494" w:type="dxa"/>
            <w:tcBorders>
              <w:top w:val="threeDEmboss" w:sz="6" w:space="0" w:color="auto"/>
              <w:left w:val="threeDEmboss" w:sz="6" w:space="0" w:color="auto"/>
              <w:bottom w:val="threeDEmboss" w:sz="6" w:space="0" w:color="auto"/>
              <w:right w:val="threeDEmboss" w:sz="6" w:space="0" w:color="auto"/>
            </w:tcBorders>
          </w:tcPr>
          <w:p w14:paraId="02B4A717"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ADC Financial Services &amp; Corporate Development</w:t>
            </w:r>
          </w:p>
        </w:tc>
      </w:tr>
      <w:tr w:rsidR="00D0371A" w14:paraId="5A936ADA"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tcPr>
          <w:p w14:paraId="6F5C5986"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2006</w:t>
            </w:r>
          </w:p>
        </w:tc>
        <w:tc>
          <w:tcPr>
            <w:tcW w:w="2194" w:type="dxa"/>
            <w:tcBorders>
              <w:top w:val="threeDEmboss" w:sz="6" w:space="0" w:color="auto"/>
              <w:left w:val="threeDEmboss" w:sz="6" w:space="0" w:color="auto"/>
              <w:bottom w:val="threeDEmboss" w:sz="6" w:space="0" w:color="auto"/>
              <w:right w:val="threeDEmboss" w:sz="6" w:space="0" w:color="auto"/>
            </w:tcBorders>
          </w:tcPr>
          <w:p w14:paraId="44E3519B"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Kibos Sugar Project - Kenya</w:t>
            </w:r>
          </w:p>
        </w:tc>
        <w:tc>
          <w:tcPr>
            <w:tcW w:w="1530" w:type="dxa"/>
            <w:tcBorders>
              <w:top w:val="threeDEmboss" w:sz="6" w:space="0" w:color="auto"/>
              <w:left w:val="threeDEmboss" w:sz="6" w:space="0" w:color="auto"/>
              <w:bottom w:val="threeDEmboss" w:sz="6" w:space="0" w:color="auto"/>
              <w:right w:val="threeDEmboss" w:sz="6" w:space="0" w:color="auto"/>
            </w:tcBorders>
          </w:tcPr>
          <w:p w14:paraId="5FBE7EC0"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Manufacturing</w:t>
            </w:r>
          </w:p>
        </w:tc>
        <w:tc>
          <w:tcPr>
            <w:tcW w:w="2070" w:type="dxa"/>
            <w:tcBorders>
              <w:top w:val="threeDEmboss" w:sz="6" w:space="0" w:color="auto"/>
              <w:left w:val="threeDEmboss" w:sz="6" w:space="0" w:color="auto"/>
              <w:bottom w:val="threeDEmboss" w:sz="6" w:space="0" w:color="auto"/>
              <w:right w:val="threeDEmboss" w:sz="6" w:space="0" w:color="auto"/>
            </w:tcBorders>
          </w:tcPr>
          <w:p w14:paraId="2A11649E"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17,234</w:t>
            </w:r>
          </w:p>
        </w:tc>
        <w:tc>
          <w:tcPr>
            <w:tcW w:w="2494" w:type="dxa"/>
            <w:tcBorders>
              <w:top w:val="threeDEmboss" w:sz="6" w:space="0" w:color="auto"/>
              <w:left w:val="threeDEmboss" w:sz="6" w:space="0" w:color="auto"/>
              <w:bottom w:val="threeDEmboss" w:sz="6" w:space="0" w:color="auto"/>
              <w:right w:val="threeDEmboss" w:sz="6" w:space="0" w:color="auto"/>
            </w:tcBorders>
          </w:tcPr>
          <w:p w14:paraId="784DC535" w14:textId="77777777" w:rsidR="00D0371A" w:rsidRDefault="00D0371A">
            <w:pPr>
              <w:keepNext/>
              <w:keepLines/>
              <w:autoSpaceDE w:val="0"/>
              <w:autoSpaceDN w:val="0"/>
              <w:adjustRightInd w:val="0"/>
              <w:spacing w:after="0" w:line="240" w:lineRule="auto"/>
              <w:ind w:left="30"/>
              <w:jc w:val="center"/>
              <w:rPr>
                <w:rFonts w:ascii="Garamond" w:hAnsi="Garamond" w:cs="Garamond"/>
                <w:color w:val="000000"/>
                <w:sz w:val="24"/>
                <w:szCs w:val="24"/>
              </w:rPr>
            </w:pPr>
            <w:r>
              <w:rPr>
                <w:rFonts w:ascii="Garamond" w:hAnsi="Garamond" w:cs="Garamond"/>
                <w:color w:val="000000"/>
                <w:sz w:val="24"/>
                <w:szCs w:val="24"/>
              </w:rPr>
              <w:t>Raghbir Sineh Chatthe</w:t>
            </w:r>
          </w:p>
        </w:tc>
      </w:tr>
      <w:tr w:rsidR="00F77639" w14:paraId="6E7A6504" w14:textId="77777777" w:rsidTr="00F77639">
        <w:trPr>
          <w:jc w:val="center"/>
        </w:trPr>
        <w:tc>
          <w:tcPr>
            <w:tcW w:w="840" w:type="dxa"/>
            <w:tcBorders>
              <w:top w:val="threeDEmboss" w:sz="6" w:space="0" w:color="auto"/>
              <w:left w:val="threeDEmboss" w:sz="6" w:space="0" w:color="auto"/>
              <w:bottom w:val="threeDEmboss" w:sz="6" w:space="0" w:color="auto"/>
              <w:right w:val="threeDEmboss" w:sz="6" w:space="0" w:color="auto"/>
            </w:tcBorders>
            <w:shd w:val="clear" w:color="auto" w:fill="FFFFFF"/>
          </w:tcPr>
          <w:p w14:paraId="64771CE9"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 xml:space="preserve">Total </w:t>
            </w:r>
          </w:p>
        </w:tc>
        <w:tc>
          <w:tcPr>
            <w:tcW w:w="2194" w:type="dxa"/>
            <w:tcBorders>
              <w:top w:val="threeDEmboss" w:sz="6" w:space="0" w:color="auto"/>
              <w:left w:val="threeDEmboss" w:sz="6" w:space="0" w:color="auto"/>
              <w:bottom w:val="threeDEmboss" w:sz="6" w:space="0" w:color="auto"/>
              <w:right w:val="threeDEmboss" w:sz="6" w:space="0" w:color="auto"/>
            </w:tcBorders>
            <w:shd w:val="clear" w:color="auto" w:fill="FFFFFF"/>
          </w:tcPr>
          <w:p w14:paraId="489D102E"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5 Projects</w:t>
            </w:r>
          </w:p>
        </w:tc>
        <w:tc>
          <w:tcPr>
            <w:tcW w:w="1530" w:type="dxa"/>
            <w:tcBorders>
              <w:top w:val="threeDEmboss" w:sz="6" w:space="0" w:color="auto"/>
              <w:left w:val="threeDEmboss" w:sz="6" w:space="0" w:color="auto"/>
              <w:bottom w:val="threeDEmboss" w:sz="6" w:space="0" w:color="auto"/>
              <w:right w:val="threeDEmboss" w:sz="6" w:space="0" w:color="auto"/>
            </w:tcBorders>
            <w:shd w:val="clear" w:color="auto" w:fill="FFFFFF"/>
          </w:tcPr>
          <w:p w14:paraId="4C828003" w14:textId="77777777" w:rsidR="00D0371A" w:rsidRDefault="00D0371A">
            <w:pPr>
              <w:keepNext/>
              <w:keepLines/>
              <w:autoSpaceDE w:val="0"/>
              <w:autoSpaceDN w:val="0"/>
              <w:adjustRightInd w:val="0"/>
              <w:spacing w:after="0" w:line="240" w:lineRule="auto"/>
              <w:ind w:left="30"/>
              <w:rPr>
                <w:rFonts w:ascii="Garamond" w:hAnsi="Garamond" w:cs="Garamond"/>
                <w:b/>
                <w:bCs/>
                <w:color w:val="000000"/>
                <w:sz w:val="24"/>
                <w:szCs w:val="24"/>
              </w:rPr>
            </w:pPr>
          </w:p>
        </w:tc>
        <w:tc>
          <w:tcPr>
            <w:tcW w:w="2070" w:type="dxa"/>
            <w:tcBorders>
              <w:top w:val="threeDEmboss" w:sz="6" w:space="0" w:color="auto"/>
              <w:left w:val="threeDEmboss" w:sz="6" w:space="0" w:color="auto"/>
              <w:bottom w:val="threeDEmboss" w:sz="6" w:space="0" w:color="auto"/>
              <w:right w:val="threeDEmboss" w:sz="6" w:space="0" w:color="auto"/>
            </w:tcBorders>
            <w:shd w:val="clear" w:color="auto" w:fill="FFFFFF"/>
          </w:tcPr>
          <w:p w14:paraId="4575E1FC" w14:textId="77777777" w:rsidR="00D0371A" w:rsidRDefault="00D0371A">
            <w:pPr>
              <w:keepNext/>
              <w:keepLines/>
              <w:autoSpaceDE w:val="0"/>
              <w:autoSpaceDN w:val="0"/>
              <w:adjustRightInd w:val="0"/>
              <w:spacing w:after="0" w:line="240" w:lineRule="auto"/>
              <w:ind w:left="30"/>
              <w:jc w:val="center"/>
              <w:rPr>
                <w:rFonts w:ascii="Garamond" w:hAnsi="Garamond" w:cs="Garamond"/>
                <w:b/>
                <w:bCs/>
                <w:color w:val="000000"/>
                <w:sz w:val="24"/>
                <w:szCs w:val="24"/>
              </w:rPr>
            </w:pPr>
            <w:r>
              <w:rPr>
                <w:rFonts w:ascii="Garamond" w:hAnsi="Garamond" w:cs="Garamond"/>
                <w:b/>
                <w:bCs/>
                <w:color w:val="000000"/>
                <w:sz w:val="24"/>
                <w:szCs w:val="24"/>
              </w:rPr>
              <w:t>255,089,984</w:t>
            </w:r>
          </w:p>
        </w:tc>
        <w:tc>
          <w:tcPr>
            <w:tcW w:w="2494" w:type="dxa"/>
            <w:tcBorders>
              <w:top w:val="threeDEmboss" w:sz="6" w:space="0" w:color="auto"/>
              <w:left w:val="threeDEmboss" w:sz="6" w:space="0" w:color="auto"/>
              <w:bottom w:val="threeDEmboss" w:sz="6" w:space="0" w:color="auto"/>
              <w:right w:val="threeDEmboss" w:sz="6" w:space="0" w:color="auto"/>
            </w:tcBorders>
          </w:tcPr>
          <w:p w14:paraId="566B53CB" w14:textId="77777777" w:rsidR="00D0371A" w:rsidRDefault="00D0371A">
            <w:pPr>
              <w:keepNext/>
              <w:keepLines/>
              <w:autoSpaceDE w:val="0"/>
              <w:autoSpaceDN w:val="0"/>
              <w:adjustRightInd w:val="0"/>
              <w:spacing w:after="0" w:line="240" w:lineRule="auto"/>
              <w:ind w:left="30"/>
              <w:rPr>
                <w:rFonts w:ascii="Garamond" w:hAnsi="Garamond" w:cs="Garamond"/>
                <w:b/>
                <w:bCs/>
                <w:color w:val="000000"/>
                <w:sz w:val="24"/>
                <w:szCs w:val="24"/>
              </w:rPr>
            </w:pPr>
          </w:p>
        </w:tc>
      </w:tr>
    </w:tbl>
    <w:p w14:paraId="68823539" w14:textId="77777777" w:rsidR="00064809" w:rsidRDefault="00064809" w:rsidP="00A644D5">
      <w:pPr>
        <w:pStyle w:val="ListParagraph"/>
        <w:spacing w:line="240" w:lineRule="auto"/>
        <w:ind w:left="0"/>
        <w:contextualSpacing w:val="0"/>
        <w:jc w:val="both"/>
        <w:rPr>
          <w:rFonts w:ascii="Times New Roman" w:hAnsi="Times New Roman" w:cs="Times New Roman"/>
          <w:sz w:val="20"/>
          <w:szCs w:val="20"/>
        </w:rPr>
      </w:pPr>
    </w:p>
    <w:p w14:paraId="6640C5C3" w14:textId="77777777" w:rsidR="00064809" w:rsidRDefault="00064809" w:rsidP="00A644D5">
      <w:pPr>
        <w:pStyle w:val="ListParagraph"/>
        <w:spacing w:line="240" w:lineRule="auto"/>
        <w:ind w:left="0"/>
        <w:contextualSpacing w:val="0"/>
        <w:jc w:val="both"/>
        <w:rPr>
          <w:rFonts w:ascii="Times New Roman" w:hAnsi="Times New Roman" w:cs="Times New Roman"/>
          <w:sz w:val="20"/>
          <w:szCs w:val="20"/>
        </w:rPr>
      </w:pPr>
    </w:p>
    <w:p w14:paraId="5DEFC5EB" w14:textId="77777777" w:rsidR="00064809" w:rsidRDefault="00064809" w:rsidP="00A644D5">
      <w:pPr>
        <w:pStyle w:val="ListParagraph"/>
        <w:spacing w:line="240" w:lineRule="auto"/>
        <w:ind w:left="0"/>
        <w:contextualSpacing w:val="0"/>
        <w:jc w:val="both"/>
        <w:rPr>
          <w:rFonts w:ascii="Times New Roman" w:hAnsi="Times New Roman" w:cs="Times New Roman"/>
          <w:sz w:val="20"/>
          <w:szCs w:val="20"/>
        </w:rPr>
      </w:pPr>
    </w:p>
    <w:p w14:paraId="5288C0C8" w14:textId="77777777" w:rsidR="00064809" w:rsidRDefault="00064809" w:rsidP="00A644D5">
      <w:pPr>
        <w:pStyle w:val="ListParagraph"/>
        <w:spacing w:line="240" w:lineRule="auto"/>
        <w:ind w:left="0"/>
        <w:contextualSpacing w:val="0"/>
        <w:jc w:val="both"/>
        <w:rPr>
          <w:rFonts w:ascii="Times New Roman" w:hAnsi="Times New Roman" w:cs="Times New Roman"/>
          <w:sz w:val="20"/>
          <w:szCs w:val="20"/>
        </w:rPr>
      </w:pPr>
    </w:p>
    <w:p w14:paraId="63588E86" w14:textId="77777777" w:rsidR="00A644D5" w:rsidRDefault="00A644D5" w:rsidP="00A644D5">
      <w:pPr>
        <w:pStyle w:val="ListParagraph"/>
        <w:spacing w:line="240" w:lineRule="auto"/>
        <w:ind w:left="0"/>
        <w:contextualSpacing w:val="0"/>
        <w:jc w:val="both"/>
        <w:rPr>
          <w:rFonts w:ascii="Times New Roman" w:hAnsi="Times New Roman" w:cs="Times New Roman"/>
          <w:sz w:val="20"/>
          <w:szCs w:val="20"/>
        </w:rPr>
      </w:pPr>
    </w:p>
    <w:p w14:paraId="57608AA9" w14:textId="77777777" w:rsidR="00A644D5" w:rsidRDefault="00A644D5" w:rsidP="00A644D5">
      <w:pPr>
        <w:pStyle w:val="ListParagraph"/>
        <w:spacing w:line="240" w:lineRule="auto"/>
        <w:ind w:left="0"/>
        <w:contextualSpacing w:val="0"/>
        <w:jc w:val="both"/>
        <w:rPr>
          <w:rFonts w:ascii="Times New Roman" w:hAnsi="Times New Roman" w:cs="Times New Roman"/>
          <w:sz w:val="20"/>
          <w:szCs w:val="20"/>
        </w:rPr>
      </w:pPr>
    </w:p>
    <w:p w14:paraId="2DB46963" w14:textId="77777777" w:rsidR="00A644D5" w:rsidRDefault="00A644D5" w:rsidP="002B69A8">
      <w:pPr>
        <w:pStyle w:val="ListParagraph"/>
        <w:spacing w:line="240" w:lineRule="auto"/>
        <w:ind w:left="0"/>
        <w:contextualSpacing w:val="0"/>
        <w:jc w:val="both"/>
        <w:rPr>
          <w:rFonts w:ascii="Times New Roman" w:hAnsi="Times New Roman" w:cs="Times New Roman"/>
          <w:sz w:val="24"/>
          <w:szCs w:val="24"/>
        </w:rPr>
        <w:sectPr w:rsidR="00A644D5" w:rsidSect="00F96822">
          <w:endnotePr>
            <w:numFmt w:val="decimal"/>
          </w:endnotePr>
          <w:pgSz w:w="12240" w:h="15840"/>
          <w:pgMar w:top="1166" w:right="1800" w:bottom="1267" w:left="720" w:header="720" w:footer="720" w:gutter="0"/>
          <w:cols w:space="720"/>
          <w:docGrid w:linePitch="360"/>
        </w:sectPr>
      </w:pPr>
    </w:p>
    <w:p w14:paraId="7D3BB555"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6" w:name="_Toc387342567"/>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6</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Trust Funds</w:t>
      </w:r>
      <w:bookmarkEnd w:id="6"/>
    </w:p>
    <w:tbl>
      <w:tblPr>
        <w:tblW w:w="9280" w:type="dxa"/>
        <w:jc w:val="center"/>
        <w:tblLook w:val="04A0" w:firstRow="1" w:lastRow="0" w:firstColumn="1" w:lastColumn="0" w:noHBand="0" w:noVBand="1"/>
      </w:tblPr>
      <w:tblGrid>
        <w:gridCol w:w="3820"/>
        <w:gridCol w:w="1120"/>
        <w:gridCol w:w="1120"/>
        <w:gridCol w:w="980"/>
        <w:gridCol w:w="1120"/>
        <w:gridCol w:w="1120"/>
      </w:tblGrid>
      <w:tr w:rsidR="00064809" w:rsidRPr="007B5CDB" w14:paraId="6D39DDC8" w14:textId="77777777" w:rsidTr="00B56C1B">
        <w:trPr>
          <w:trHeight w:val="480"/>
          <w:jc w:val="center"/>
        </w:trPr>
        <w:tc>
          <w:tcPr>
            <w:tcW w:w="3820" w:type="dxa"/>
            <w:tcBorders>
              <w:top w:val="single" w:sz="8" w:space="0" w:color="auto"/>
              <w:left w:val="single" w:sz="8" w:space="0" w:color="auto"/>
              <w:bottom w:val="nil"/>
              <w:right w:val="single" w:sz="4" w:space="0" w:color="000000"/>
            </w:tcBorders>
            <w:shd w:val="clear" w:color="000000" w:fill="F2DCDB"/>
            <w:vAlign w:val="center"/>
            <w:hideMark/>
          </w:tcPr>
          <w:p w14:paraId="76A86AD2"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Trust Fund Name</w:t>
            </w:r>
          </w:p>
        </w:tc>
        <w:tc>
          <w:tcPr>
            <w:tcW w:w="1120" w:type="dxa"/>
            <w:tcBorders>
              <w:top w:val="single" w:sz="8" w:space="0" w:color="auto"/>
              <w:left w:val="nil"/>
              <w:bottom w:val="nil"/>
              <w:right w:val="single" w:sz="4" w:space="0" w:color="000000"/>
            </w:tcBorders>
            <w:shd w:val="clear" w:color="000000" w:fill="F2DCDB"/>
            <w:vAlign w:val="center"/>
            <w:hideMark/>
          </w:tcPr>
          <w:p w14:paraId="3616FEB0"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Approved ($,000)</w:t>
            </w:r>
          </w:p>
        </w:tc>
        <w:tc>
          <w:tcPr>
            <w:tcW w:w="1120" w:type="dxa"/>
            <w:tcBorders>
              <w:top w:val="single" w:sz="8" w:space="0" w:color="auto"/>
              <w:left w:val="nil"/>
              <w:bottom w:val="nil"/>
              <w:right w:val="single" w:sz="4" w:space="0" w:color="000000"/>
            </w:tcBorders>
            <w:shd w:val="clear" w:color="000000" w:fill="F2DCDB"/>
            <w:vAlign w:val="center"/>
            <w:hideMark/>
          </w:tcPr>
          <w:p w14:paraId="2B357E48"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Available ($,000)</w:t>
            </w:r>
          </w:p>
        </w:tc>
        <w:tc>
          <w:tcPr>
            <w:tcW w:w="980" w:type="dxa"/>
            <w:tcBorders>
              <w:top w:val="single" w:sz="8" w:space="0" w:color="auto"/>
              <w:left w:val="nil"/>
              <w:bottom w:val="nil"/>
              <w:right w:val="single" w:sz="4" w:space="0" w:color="000000"/>
            </w:tcBorders>
            <w:shd w:val="clear" w:color="000000" w:fill="F2DCDB"/>
            <w:vAlign w:val="center"/>
            <w:hideMark/>
          </w:tcPr>
          <w:p w14:paraId="3E3A498D"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Program Source</w:t>
            </w:r>
          </w:p>
        </w:tc>
        <w:tc>
          <w:tcPr>
            <w:tcW w:w="1120" w:type="dxa"/>
            <w:tcBorders>
              <w:top w:val="single" w:sz="8" w:space="0" w:color="auto"/>
              <w:left w:val="nil"/>
              <w:bottom w:val="nil"/>
              <w:right w:val="single" w:sz="4" w:space="0" w:color="000000"/>
            </w:tcBorders>
            <w:shd w:val="clear" w:color="000000" w:fill="F2DCDB"/>
            <w:vAlign w:val="center"/>
            <w:hideMark/>
          </w:tcPr>
          <w:p w14:paraId="5D24854E"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Signing Date</w:t>
            </w:r>
          </w:p>
        </w:tc>
        <w:tc>
          <w:tcPr>
            <w:tcW w:w="1120" w:type="dxa"/>
            <w:tcBorders>
              <w:top w:val="single" w:sz="8" w:space="0" w:color="auto"/>
              <w:left w:val="nil"/>
              <w:bottom w:val="nil"/>
              <w:right w:val="single" w:sz="8" w:space="0" w:color="auto"/>
            </w:tcBorders>
            <w:shd w:val="clear" w:color="000000" w:fill="F2DCDB"/>
            <w:vAlign w:val="center"/>
            <w:hideMark/>
          </w:tcPr>
          <w:p w14:paraId="5D1AEE6E"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Closing Date</w:t>
            </w:r>
          </w:p>
        </w:tc>
      </w:tr>
      <w:tr w:rsidR="00064809" w:rsidRPr="007B5CDB" w14:paraId="34A22FBE" w14:textId="77777777" w:rsidTr="00B56C1B">
        <w:trPr>
          <w:trHeight w:val="300"/>
          <w:jc w:val="center"/>
        </w:trPr>
        <w:tc>
          <w:tcPr>
            <w:tcW w:w="9280" w:type="dxa"/>
            <w:gridSpan w:val="6"/>
            <w:tcBorders>
              <w:top w:val="single" w:sz="4" w:space="0" w:color="000000"/>
              <w:left w:val="single" w:sz="8" w:space="0" w:color="auto"/>
              <w:bottom w:val="nil"/>
              <w:right w:val="single" w:sz="8" w:space="0" w:color="000000"/>
            </w:tcBorders>
            <w:shd w:val="clear" w:color="000000" w:fill="F2DCDB"/>
            <w:vAlign w:val="center"/>
            <w:hideMark/>
          </w:tcPr>
          <w:p w14:paraId="5FFE2A1B" w14:textId="77777777" w:rsidR="00064809" w:rsidRPr="007B5CDB" w:rsidRDefault="00064809" w:rsidP="00985F1A">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Bank Executed</w:t>
            </w:r>
            <w:r w:rsidRPr="007B5CDB">
              <w:rPr>
                <w:rFonts w:ascii="Times New Roman" w:eastAsia="Times New Roman" w:hAnsi="Times New Roman" w:cs="Times New Roman"/>
                <w:b/>
                <w:bCs/>
                <w:color w:val="000000"/>
                <w:sz w:val="18"/>
                <w:szCs w:val="18"/>
              </w:rPr>
              <w:t xml:space="preserve"> TF's</w:t>
            </w:r>
          </w:p>
        </w:tc>
      </w:tr>
      <w:tr w:rsidR="00064809" w:rsidRPr="007B5CDB" w14:paraId="491C5B76" w14:textId="77777777" w:rsidTr="00B56C1B">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D0E4F0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National Reg Reform (Kenya SNICP)</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8F9E86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65587B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0.56</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A45531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090CB9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1/24/2013</w:t>
            </w:r>
          </w:p>
        </w:tc>
        <w:tc>
          <w:tcPr>
            <w:tcW w:w="1120" w:type="dxa"/>
            <w:tcBorders>
              <w:top w:val="single" w:sz="4" w:space="0" w:color="auto"/>
              <w:left w:val="nil"/>
              <w:bottom w:val="single" w:sz="4" w:space="0" w:color="auto"/>
              <w:right w:val="single" w:sz="8" w:space="0" w:color="auto"/>
            </w:tcBorders>
            <w:shd w:val="clear" w:color="auto" w:fill="auto"/>
            <w:vAlign w:val="bottom"/>
            <w:hideMark/>
          </w:tcPr>
          <w:p w14:paraId="5DDED84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12/31/2015</w:t>
            </w:r>
          </w:p>
        </w:tc>
      </w:tr>
      <w:tr w:rsidR="00064809" w:rsidRPr="007B5CDB" w14:paraId="35422C11" w14:textId="77777777" w:rsidTr="00B56C1B">
        <w:trPr>
          <w:trHeight w:val="300"/>
          <w:jc w:val="center"/>
        </w:trPr>
        <w:tc>
          <w:tcPr>
            <w:tcW w:w="3820" w:type="dxa"/>
            <w:tcBorders>
              <w:top w:val="nil"/>
              <w:left w:val="single" w:sz="8" w:space="0" w:color="auto"/>
              <w:bottom w:val="single" w:sz="4" w:space="0" w:color="auto"/>
              <w:right w:val="single" w:sz="4" w:space="0" w:color="auto"/>
            </w:tcBorders>
            <w:shd w:val="clear" w:color="auto" w:fill="auto"/>
            <w:vAlign w:val="bottom"/>
            <w:hideMark/>
          </w:tcPr>
          <w:p w14:paraId="5FED89C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Sub-National Reg Reform (Kenya SNICP)</w:t>
            </w:r>
          </w:p>
        </w:tc>
        <w:tc>
          <w:tcPr>
            <w:tcW w:w="1120" w:type="dxa"/>
            <w:tcBorders>
              <w:top w:val="nil"/>
              <w:left w:val="nil"/>
              <w:bottom w:val="single" w:sz="4" w:space="0" w:color="auto"/>
              <w:right w:val="single" w:sz="4" w:space="0" w:color="auto"/>
            </w:tcBorders>
            <w:shd w:val="clear" w:color="auto" w:fill="auto"/>
            <w:vAlign w:val="bottom"/>
            <w:hideMark/>
          </w:tcPr>
          <w:p w14:paraId="36CB247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1,219.99</w:t>
            </w:r>
          </w:p>
        </w:tc>
        <w:tc>
          <w:tcPr>
            <w:tcW w:w="1120" w:type="dxa"/>
            <w:tcBorders>
              <w:top w:val="nil"/>
              <w:left w:val="nil"/>
              <w:bottom w:val="single" w:sz="4" w:space="0" w:color="auto"/>
              <w:right w:val="single" w:sz="4" w:space="0" w:color="auto"/>
            </w:tcBorders>
            <w:shd w:val="clear" w:color="auto" w:fill="auto"/>
            <w:vAlign w:val="bottom"/>
            <w:hideMark/>
          </w:tcPr>
          <w:p w14:paraId="2A435B5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430.09</w:t>
            </w:r>
          </w:p>
        </w:tc>
        <w:tc>
          <w:tcPr>
            <w:tcW w:w="980" w:type="dxa"/>
            <w:tcBorders>
              <w:top w:val="nil"/>
              <w:left w:val="nil"/>
              <w:bottom w:val="single" w:sz="4" w:space="0" w:color="auto"/>
              <w:right w:val="single" w:sz="4" w:space="0" w:color="auto"/>
            </w:tcBorders>
            <w:shd w:val="clear" w:color="auto" w:fill="auto"/>
            <w:vAlign w:val="bottom"/>
            <w:hideMark/>
          </w:tcPr>
          <w:p w14:paraId="7513546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auto"/>
              <w:right w:val="single" w:sz="4" w:space="0" w:color="auto"/>
            </w:tcBorders>
            <w:shd w:val="clear" w:color="auto" w:fill="auto"/>
            <w:vAlign w:val="bottom"/>
            <w:hideMark/>
          </w:tcPr>
          <w:p w14:paraId="019A81D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1/24/2013</w:t>
            </w:r>
          </w:p>
        </w:tc>
        <w:tc>
          <w:tcPr>
            <w:tcW w:w="1120" w:type="dxa"/>
            <w:tcBorders>
              <w:top w:val="nil"/>
              <w:left w:val="nil"/>
              <w:bottom w:val="single" w:sz="4" w:space="0" w:color="auto"/>
              <w:right w:val="single" w:sz="8" w:space="0" w:color="auto"/>
            </w:tcBorders>
            <w:shd w:val="clear" w:color="auto" w:fill="auto"/>
            <w:vAlign w:val="bottom"/>
            <w:hideMark/>
          </w:tcPr>
          <w:p w14:paraId="1F73B70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12/31/2015</w:t>
            </w:r>
          </w:p>
        </w:tc>
      </w:tr>
      <w:tr w:rsidR="00064809" w:rsidRPr="007B5CDB" w14:paraId="329D6177"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6A14BF3"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 Water and Sanitation Impact Evaluation</w:t>
            </w:r>
          </w:p>
        </w:tc>
        <w:tc>
          <w:tcPr>
            <w:tcW w:w="1120" w:type="dxa"/>
            <w:tcBorders>
              <w:top w:val="nil"/>
              <w:left w:val="nil"/>
              <w:bottom w:val="single" w:sz="4" w:space="0" w:color="000000"/>
              <w:right w:val="single" w:sz="4" w:space="0" w:color="000000"/>
            </w:tcBorders>
            <w:shd w:val="clear" w:color="auto" w:fill="auto"/>
            <w:vAlign w:val="bottom"/>
            <w:hideMark/>
          </w:tcPr>
          <w:p w14:paraId="34EB7B3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353.66</w:t>
            </w:r>
          </w:p>
        </w:tc>
        <w:tc>
          <w:tcPr>
            <w:tcW w:w="1120" w:type="dxa"/>
            <w:tcBorders>
              <w:top w:val="nil"/>
              <w:left w:val="nil"/>
              <w:bottom w:val="single" w:sz="4" w:space="0" w:color="000000"/>
              <w:right w:val="single" w:sz="4" w:space="0" w:color="000000"/>
            </w:tcBorders>
            <w:shd w:val="clear" w:color="auto" w:fill="auto"/>
            <w:vAlign w:val="bottom"/>
            <w:hideMark/>
          </w:tcPr>
          <w:p w14:paraId="48E2A52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303.23</w:t>
            </w:r>
          </w:p>
        </w:tc>
        <w:tc>
          <w:tcPr>
            <w:tcW w:w="980" w:type="dxa"/>
            <w:tcBorders>
              <w:top w:val="nil"/>
              <w:left w:val="nil"/>
              <w:bottom w:val="single" w:sz="4" w:space="0" w:color="000000"/>
              <w:right w:val="single" w:sz="4" w:space="0" w:color="000000"/>
            </w:tcBorders>
            <w:shd w:val="clear" w:color="auto" w:fill="auto"/>
            <w:vAlign w:val="bottom"/>
            <w:hideMark/>
          </w:tcPr>
          <w:p w14:paraId="39E7920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SIEF</w:t>
            </w:r>
          </w:p>
        </w:tc>
        <w:tc>
          <w:tcPr>
            <w:tcW w:w="1120" w:type="dxa"/>
            <w:tcBorders>
              <w:top w:val="nil"/>
              <w:left w:val="nil"/>
              <w:bottom w:val="single" w:sz="4" w:space="0" w:color="000000"/>
              <w:right w:val="single" w:sz="4" w:space="0" w:color="000000"/>
            </w:tcBorders>
            <w:shd w:val="clear" w:color="auto" w:fill="auto"/>
            <w:vAlign w:val="bottom"/>
            <w:hideMark/>
          </w:tcPr>
          <w:p w14:paraId="03D9F8D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2/1/2013</w:t>
            </w:r>
          </w:p>
        </w:tc>
        <w:tc>
          <w:tcPr>
            <w:tcW w:w="1120" w:type="dxa"/>
            <w:tcBorders>
              <w:top w:val="nil"/>
              <w:left w:val="nil"/>
              <w:bottom w:val="single" w:sz="4" w:space="0" w:color="000000"/>
              <w:right w:val="single" w:sz="8" w:space="0" w:color="auto"/>
            </w:tcBorders>
            <w:shd w:val="clear" w:color="auto" w:fill="auto"/>
            <w:vAlign w:val="bottom"/>
            <w:hideMark/>
          </w:tcPr>
          <w:p w14:paraId="5C2C82A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12/31/2015</w:t>
            </w:r>
          </w:p>
        </w:tc>
      </w:tr>
      <w:tr w:rsidR="00064809" w:rsidRPr="007B5CDB" w14:paraId="3A010632"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AB0E46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Menengai Geothermal Community Engagement</w:t>
            </w:r>
          </w:p>
        </w:tc>
        <w:tc>
          <w:tcPr>
            <w:tcW w:w="1120" w:type="dxa"/>
            <w:tcBorders>
              <w:top w:val="nil"/>
              <w:left w:val="nil"/>
              <w:bottom w:val="single" w:sz="4" w:space="0" w:color="000000"/>
              <w:right w:val="single" w:sz="4" w:space="0" w:color="000000"/>
            </w:tcBorders>
            <w:shd w:val="clear" w:color="auto" w:fill="auto"/>
            <w:vAlign w:val="bottom"/>
            <w:hideMark/>
          </w:tcPr>
          <w:p w14:paraId="4F380D6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30.00</w:t>
            </w:r>
          </w:p>
        </w:tc>
        <w:tc>
          <w:tcPr>
            <w:tcW w:w="1120" w:type="dxa"/>
            <w:tcBorders>
              <w:top w:val="nil"/>
              <w:left w:val="nil"/>
              <w:bottom w:val="single" w:sz="4" w:space="0" w:color="000000"/>
              <w:right w:val="single" w:sz="4" w:space="0" w:color="000000"/>
            </w:tcBorders>
            <w:shd w:val="clear" w:color="auto" w:fill="auto"/>
            <w:vAlign w:val="bottom"/>
            <w:hideMark/>
          </w:tcPr>
          <w:p w14:paraId="3467002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1.94</w:t>
            </w:r>
          </w:p>
        </w:tc>
        <w:tc>
          <w:tcPr>
            <w:tcW w:w="980" w:type="dxa"/>
            <w:tcBorders>
              <w:top w:val="nil"/>
              <w:left w:val="nil"/>
              <w:bottom w:val="single" w:sz="4" w:space="0" w:color="000000"/>
              <w:right w:val="single" w:sz="4" w:space="0" w:color="000000"/>
            </w:tcBorders>
            <w:shd w:val="clear" w:color="auto" w:fill="auto"/>
            <w:vAlign w:val="bottom"/>
            <w:hideMark/>
          </w:tcPr>
          <w:p w14:paraId="6E7DF34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JSDF</w:t>
            </w:r>
          </w:p>
        </w:tc>
        <w:tc>
          <w:tcPr>
            <w:tcW w:w="1120" w:type="dxa"/>
            <w:tcBorders>
              <w:top w:val="nil"/>
              <w:left w:val="nil"/>
              <w:bottom w:val="single" w:sz="4" w:space="0" w:color="000000"/>
              <w:right w:val="single" w:sz="4" w:space="0" w:color="000000"/>
            </w:tcBorders>
            <w:shd w:val="clear" w:color="auto" w:fill="auto"/>
            <w:vAlign w:val="bottom"/>
            <w:hideMark/>
          </w:tcPr>
          <w:p w14:paraId="70EA77C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2/1/2013</w:t>
            </w:r>
          </w:p>
        </w:tc>
        <w:tc>
          <w:tcPr>
            <w:tcW w:w="1120" w:type="dxa"/>
            <w:tcBorders>
              <w:top w:val="nil"/>
              <w:left w:val="nil"/>
              <w:bottom w:val="single" w:sz="4" w:space="0" w:color="000000"/>
              <w:right w:val="single" w:sz="8" w:space="0" w:color="auto"/>
            </w:tcBorders>
            <w:shd w:val="clear" w:color="auto" w:fill="auto"/>
            <w:vAlign w:val="bottom"/>
            <w:hideMark/>
          </w:tcPr>
          <w:p w14:paraId="6E01114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12/31/2013</w:t>
            </w:r>
          </w:p>
        </w:tc>
      </w:tr>
      <w:tr w:rsidR="00064809" w:rsidRPr="007B5CDB" w14:paraId="5B8E5AE1"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4577C9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BENIN: Water Business Advisory Project</w:t>
            </w:r>
          </w:p>
        </w:tc>
        <w:tc>
          <w:tcPr>
            <w:tcW w:w="1120" w:type="dxa"/>
            <w:tcBorders>
              <w:top w:val="nil"/>
              <w:left w:val="nil"/>
              <w:bottom w:val="single" w:sz="4" w:space="0" w:color="000000"/>
              <w:right w:val="single" w:sz="4" w:space="0" w:color="000000"/>
            </w:tcBorders>
            <w:shd w:val="clear" w:color="auto" w:fill="auto"/>
            <w:vAlign w:val="bottom"/>
            <w:hideMark/>
          </w:tcPr>
          <w:p w14:paraId="3B52765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155.50</w:t>
            </w:r>
          </w:p>
        </w:tc>
        <w:tc>
          <w:tcPr>
            <w:tcW w:w="1120" w:type="dxa"/>
            <w:tcBorders>
              <w:top w:val="nil"/>
              <w:left w:val="nil"/>
              <w:bottom w:val="single" w:sz="4" w:space="0" w:color="000000"/>
              <w:right w:val="single" w:sz="4" w:space="0" w:color="000000"/>
            </w:tcBorders>
            <w:shd w:val="clear" w:color="auto" w:fill="auto"/>
            <w:vAlign w:val="bottom"/>
            <w:hideMark/>
          </w:tcPr>
          <w:p w14:paraId="6592626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6.15</w:t>
            </w:r>
          </w:p>
        </w:tc>
        <w:tc>
          <w:tcPr>
            <w:tcW w:w="980" w:type="dxa"/>
            <w:tcBorders>
              <w:top w:val="nil"/>
              <w:left w:val="nil"/>
              <w:bottom w:val="single" w:sz="4" w:space="0" w:color="000000"/>
              <w:right w:val="single" w:sz="4" w:space="0" w:color="000000"/>
            </w:tcBorders>
            <w:shd w:val="clear" w:color="auto" w:fill="auto"/>
            <w:vAlign w:val="bottom"/>
            <w:hideMark/>
          </w:tcPr>
          <w:p w14:paraId="3BD7281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PPIAF</w:t>
            </w:r>
          </w:p>
        </w:tc>
        <w:tc>
          <w:tcPr>
            <w:tcW w:w="1120" w:type="dxa"/>
            <w:tcBorders>
              <w:top w:val="nil"/>
              <w:left w:val="nil"/>
              <w:bottom w:val="single" w:sz="4" w:space="0" w:color="000000"/>
              <w:right w:val="single" w:sz="4" w:space="0" w:color="000000"/>
            </w:tcBorders>
            <w:shd w:val="clear" w:color="auto" w:fill="auto"/>
            <w:vAlign w:val="bottom"/>
            <w:hideMark/>
          </w:tcPr>
          <w:p w14:paraId="48291C0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2/17/2013</w:t>
            </w:r>
          </w:p>
        </w:tc>
        <w:tc>
          <w:tcPr>
            <w:tcW w:w="1120" w:type="dxa"/>
            <w:tcBorders>
              <w:top w:val="nil"/>
              <w:left w:val="nil"/>
              <w:bottom w:val="single" w:sz="4" w:space="0" w:color="000000"/>
              <w:right w:val="single" w:sz="8" w:space="0" w:color="auto"/>
            </w:tcBorders>
            <w:shd w:val="clear" w:color="auto" w:fill="auto"/>
            <w:vAlign w:val="bottom"/>
            <w:hideMark/>
          </w:tcPr>
          <w:p w14:paraId="6C24D1B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3/31/2014</w:t>
            </w:r>
          </w:p>
        </w:tc>
      </w:tr>
      <w:tr w:rsidR="00064809" w:rsidRPr="007B5CDB" w14:paraId="621BC76C"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F415E4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DFSP MC Sweden - Mathias Kruger</w:t>
            </w:r>
          </w:p>
        </w:tc>
        <w:tc>
          <w:tcPr>
            <w:tcW w:w="1120" w:type="dxa"/>
            <w:tcBorders>
              <w:top w:val="nil"/>
              <w:left w:val="nil"/>
              <w:bottom w:val="single" w:sz="4" w:space="0" w:color="000000"/>
              <w:right w:val="single" w:sz="4" w:space="0" w:color="000000"/>
            </w:tcBorders>
            <w:shd w:val="clear" w:color="auto" w:fill="auto"/>
            <w:vAlign w:val="bottom"/>
            <w:hideMark/>
          </w:tcPr>
          <w:p w14:paraId="09C9A86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582.92</w:t>
            </w:r>
          </w:p>
        </w:tc>
        <w:tc>
          <w:tcPr>
            <w:tcW w:w="1120" w:type="dxa"/>
            <w:tcBorders>
              <w:top w:val="nil"/>
              <w:left w:val="nil"/>
              <w:bottom w:val="single" w:sz="4" w:space="0" w:color="000000"/>
              <w:right w:val="single" w:sz="4" w:space="0" w:color="000000"/>
            </w:tcBorders>
            <w:shd w:val="clear" w:color="auto" w:fill="auto"/>
            <w:vAlign w:val="bottom"/>
            <w:hideMark/>
          </w:tcPr>
          <w:p w14:paraId="184E214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374.90</w:t>
            </w:r>
          </w:p>
        </w:tc>
        <w:tc>
          <w:tcPr>
            <w:tcW w:w="980" w:type="dxa"/>
            <w:tcBorders>
              <w:top w:val="nil"/>
              <w:left w:val="nil"/>
              <w:bottom w:val="single" w:sz="4" w:space="0" w:color="000000"/>
              <w:right w:val="single" w:sz="4" w:space="0" w:color="000000"/>
            </w:tcBorders>
            <w:shd w:val="clear" w:color="auto" w:fill="auto"/>
            <w:vAlign w:val="bottom"/>
            <w:hideMark/>
          </w:tcPr>
          <w:p w14:paraId="0860756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DFSP</w:t>
            </w:r>
          </w:p>
        </w:tc>
        <w:tc>
          <w:tcPr>
            <w:tcW w:w="1120" w:type="dxa"/>
            <w:tcBorders>
              <w:top w:val="nil"/>
              <w:left w:val="nil"/>
              <w:bottom w:val="single" w:sz="4" w:space="0" w:color="000000"/>
              <w:right w:val="single" w:sz="4" w:space="0" w:color="000000"/>
            </w:tcBorders>
            <w:shd w:val="clear" w:color="auto" w:fill="auto"/>
            <w:vAlign w:val="bottom"/>
            <w:hideMark/>
          </w:tcPr>
          <w:p w14:paraId="778559A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4/7/2013</w:t>
            </w:r>
          </w:p>
        </w:tc>
        <w:tc>
          <w:tcPr>
            <w:tcW w:w="1120" w:type="dxa"/>
            <w:tcBorders>
              <w:top w:val="nil"/>
              <w:left w:val="nil"/>
              <w:bottom w:val="single" w:sz="4" w:space="0" w:color="000000"/>
              <w:right w:val="single" w:sz="8" w:space="0" w:color="auto"/>
            </w:tcBorders>
            <w:shd w:val="clear" w:color="auto" w:fill="auto"/>
            <w:vAlign w:val="bottom"/>
            <w:hideMark/>
          </w:tcPr>
          <w:p w14:paraId="51CDE01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4/7/2015</w:t>
            </w:r>
          </w:p>
        </w:tc>
      </w:tr>
      <w:tr w:rsidR="00064809" w:rsidRPr="007B5CDB" w14:paraId="0FB90CD7"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EBE62F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Capital Market Development Support for Kenyan Sub-Nationals</w:t>
            </w:r>
          </w:p>
        </w:tc>
        <w:tc>
          <w:tcPr>
            <w:tcW w:w="1120" w:type="dxa"/>
            <w:tcBorders>
              <w:top w:val="nil"/>
              <w:left w:val="nil"/>
              <w:bottom w:val="single" w:sz="4" w:space="0" w:color="000000"/>
              <w:right w:val="single" w:sz="4" w:space="0" w:color="000000"/>
            </w:tcBorders>
            <w:shd w:val="clear" w:color="auto" w:fill="auto"/>
            <w:vAlign w:val="bottom"/>
            <w:hideMark/>
          </w:tcPr>
          <w:p w14:paraId="48E834D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500.00</w:t>
            </w:r>
          </w:p>
        </w:tc>
        <w:tc>
          <w:tcPr>
            <w:tcW w:w="1120" w:type="dxa"/>
            <w:tcBorders>
              <w:top w:val="nil"/>
              <w:left w:val="nil"/>
              <w:bottom w:val="single" w:sz="4" w:space="0" w:color="000000"/>
              <w:right w:val="single" w:sz="4" w:space="0" w:color="000000"/>
            </w:tcBorders>
            <w:shd w:val="clear" w:color="auto" w:fill="auto"/>
            <w:vAlign w:val="bottom"/>
            <w:hideMark/>
          </w:tcPr>
          <w:p w14:paraId="0F3FE70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140.80</w:t>
            </w:r>
          </w:p>
        </w:tc>
        <w:tc>
          <w:tcPr>
            <w:tcW w:w="980" w:type="dxa"/>
            <w:tcBorders>
              <w:top w:val="nil"/>
              <w:left w:val="nil"/>
              <w:bottom w:val="single" w:sz="4" w:space="0" w:color="000000"/>
              <w:right w:val="single" w:sz="4" w:space="0" w:color="000000"/>
            </w:tcBorders>
            <w:shd w:val="clear" w:color="auto" w:fill="auto"/>
            <w:vAlign w:val="bottom"/>
            <w:hideMark/>
          </w:tcPr>
          <w:p w14:paraId="218F1053"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PPIAF</w:t>
            </w:r>
          </w:p>
        </w:tc>
        <w:tc>
          <w:tcPr>
            <w:tcW w:w="1120" w:type="dxa"/>
            <w:tcBorders>
              <w:top w:val="nil"/>
              <w:left w:val="nil"/>
              <w:bottom w:val="single" w:sz="4" w:space="0" w:color="000000"/>
              <w:right w:val="single" w:sz="4" w:space="0" w:color="000000"/>
            </w:tcBorders>
            <w:shd w:val="clear" w:color="auto" w:fill="auto"/>
            <w:vAlign w:val="bottom"/>
            <w:hideMark/>
          </w:tcPr>
          <w:p w14:paraId="087201A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4/8/2013</w:t>
            </w:r>
          </w:p>
        </w:tc>
        <w:tc>
          <w:tcPr>
            <w:tcW w:w="1120" w:type="dxa"/>
            <w:tcBorders>
              <w:top w:val="nil"/>
              <w:left w:val="nil"/>
              <w:bottom w:val="single" w:sz="4" w:space="0" w:color="000000"/>
              <w:right w:val="single" w:sz="8" w:space="0" w:color="auto"/>
            </w:tcBorders>
            <w:shd w:val="clear" w:color="auto" w:fill="auto"/>
            <w:vAlign w:val="bottom"/>
            <w:hideMark/>
          </w:tcPr>
          <w:p w14:paraId="18B5C0F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12/31/2014</w:t>
            </w:r>
          </w:p>
        </w:tc>
      </w:tr>
      <w:tr w:rsidR="00064809" w:rsidRPr="007B5CDB" w14:paraId="31A33F31"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92E5BA9"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Finance Mobilization for Loss Reduction and Efficiency Investments for KPLC</w:t>
            </w:r>
          </w:p>
        </w:tc>
        <w:tc>
          <w:tcPr>
            <w:tcW w:w="1120" w:type="dxa"/>
            <w:tcBorders>
              <w:top w:val="nil"/>
              <w:left w:val="nil"/>
              <w:bottom w:val="single" w:sz="4" w:space="0" w:color="000000"/>
              <w:right w:val="single" w:sz="4" w:space="0" w:color="000000"/>
            </w:tcBorders>
            <w:shd w:val="clear" w:color="auto" w:fill="auto"/>
            <w:vAlign w:val="bottom"/>
            <w:hideMark/>
          </w:tcPr>
          <w:p w14:paraId="127F4E2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125.00</w:t>
            </w:r>
          </w:p>
        </w:tc>
        <w:tc>
          <w:tcPr>
            <w:tcW w:w="1120" w:type="dxa"/>
            <w:tcBorders>
              <w:top w:val="nil"/>
              <w:left w:val="nil"/>
              <w:bottom w:val="single" w:sz="4" w:space="0" w:color="000000"/>
              <w:right w:val="single" w:sz="4" w:space="0" w:color="000000"/>
            </w:tcBorders>
            <w:shd w:val="clear" w:color="auto" w:fill="auto"/>
            <w:vAlign w:val="bottom"/>
            <w:hideMark/>
          </w:tcPr>
          <w:p w14:paraId="38E59C9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1.21</w:t>
            </w:r>
          </w:p>
        </w:tc>
        <w:tc>
          <w:tcPr>
            <w:tcW w:w="980" w:type="dxa"/>
            <w:tcBorders>
              <w:top w:val="nil"/>
              <w:left w:val="nil"/>
              <w:bottom w:val="single" w:sz="4" w:space="0" w:color="000000"/>
              <w:right w:val="single" w:sz="4" w:space="0" w:color="000000"/>
            </w:tcBorders>
            <w:shd w:val="clear" w:color="auto" w:fill="auto"/>
            <w:vAlign w:val="bottom"/>
            <w:hideMark/>
          </w:tcPr>
          <w:p w14:paraId="5BB3FFD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PPIAF</w:t>
            </w:r>
          </w:p>
        </w:tc>
        <w:tc>
          <w:tcPr>
            <w:tcW w:w="1120" w:type="dxa"/>
            <w:tcBorders>
              <w:top w:val="nil"/>
              <w:left w:val="nil"/>
              <w:bottom w:val="single" w:sz="4" w:space="0" w:color="000000"/>
              <w:right w:val="single" w:sz="4" w:space="0" w:color="000000"/>
            </w:tcBorders>
            <w:shd w:val="clear" w:color="auto" w:fill="auto"/>
            <w:vAlign w:val="bottom"/>
            <w:hideMark/>
          </w:tcPr>
          <w:p w14:paraId="236B293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4/28/2013</w:t>
            </w:r>
          </w:p>
        </w:tc>
        <w:tc>
          <w:tcPr>
            <w:tcW w:w="1120" w:type="dxa"/>
            <w:tcBorders>
              <w:top w:val="nil"/>
              <w:left w:val="nil"/>
              <w:bottom w:val="single" w:sz="4" w:space="0" w:color="000000"/>
              <w:right w:val="single" w:sz="8" w:space="0" w:color="auto"/>
            </w:tcBorders>
            <w:shd w:val="clear" w:color="auto" w:fill="auto"/>
            <w:vAlign w:val="bottom"/>
            <w:hideMark/>
          </w:tcPr>
          <w:p w14:paraId="6119B0D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3/31/2014</w:t>
            </w:r>
          </w:p>
        </w:tc>
      </w:tr>
      <w:tr w:rsidR="00064809" w:rsidRPr="007B5CDB" w14:paraId="1DAEA129"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EBC0F0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Urban Commercial Financing for Water &amp; Sanitation</w:t>
            </w:r>
          </w:p>
        </w:tc>
        <w:tc>
          <w:tcPr>
            <w:tcW w:w="1120" w:type="dxa"/>
            <w:tcBorders>
              <w:top w:val="nil"/>
              <w:left w:val="nil"/>
              <w:bottom w:val="single" w:sz="4" w:space="0" w:color="000000"/>
              <w:right w:val="single" w:sz="4" w:space="0" w:color="000000"/>
            </w:tcBorders>
            <w:shd w:val="clear" w:color="auto" w:fill="auto"/>
            <w:vAlign w:val="bottom"/>
            <w:hideMark/>
          </w:tcPr>
          <w:p w14:paraId="6F9912F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600.00</w:t>
            </w:r>
          </w:p>
        </w:tc>
        <w:tc>
          <w:tcPr>
            <w:tcW w:w="1120" w:type="dxa"/>
            <w:tcBorders>
              <w:top w:val="nil"/>
              <w:left w:val="nil"/>
              <w:bottom w:val="single" w:sz="4" w:space="0" w:color="000000"/>
              <w:right w:val="single" w:sz="4" w:space="0" w:color="000000"/>
            </w:tcBorders>
            <w:shd w:val="clear" w:color="auto" w:fill="auto"/>
            <w:vAlign w:val="bottom"/>
            <w:hideMark/>
          </w:tcPr>
          <w:p w14:paraId="5E78CFD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306.95</w:t>
            </w:r>
          </w:p>
        </w:tc>
        <w:tc>
          <w:tcPr>
            <w:tcW w:w="980" w:type="dxa"/>
            <w:tcBorders>
              <w:top w:val="nil"/>
              <w:left w:val="nil"/>
              <w:bottom w:val="single" w:sz="4" w:space="0" w:color="000000"/>
              <w:right w:val="single" w:sz="4" w:space="0" w:color="000000"/>
            </w:tcBorders>
            <w:shd w:val="clear" w:color="auto" w:fill="auto"/>
            <w:vAlign w:val="bottom"/>
            <w:hideMark/>
          </w:tcPr>
          <w:p w14:paraId="5BCA43B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WSP</w:t>
            </w:r>
          </w:p>
        </w:tc>
        <w:tc>
          <w:tcPr>
            <w:tcW w:w="1120" w:type="dxa"/>
            <w:tcBorders>
              <w:top w:val="nil"/>
              <w:left w:val="nil"/>
              <w:bottom w:val="single" w:sz="4" w:space="0" w:color="000000"/>
              <w:right w:val="single" w:sz="4" w:space="0" w:color="000000"/>
            </w:tcBorders>
            <w:shd w:val="clear" w:color="auto" w:fill="auto"/>
            <w:vAlign w:val="bottom"/>
            <w:hideMark/>
          </w:tcPr>
          <w:p w14:paraId="7995CBA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5/6/2013</w:t>
            </w:r>
          </w:p>
        </w:tc>
        <w:tc>
          <w:tcPr>
            <w:tcW w:w="1120" w:type="dxa"/>
            <w:tcBorders>
              <w:top w:val="nil"/>
              <w:left w:val="nil"/>
              <w:bottom w:val="single" w:sz="4" w:space="0" w:color="000000"/>
              <w:right w:val="single" w:sz="8" w:space="0" w:color="auto"/>
            </w:tcBorders>
            <w:shd w:val="clear" w:color="auto" w:fill="auto"/>
            <w:vAlign w:val="bottom"/>
            <w:hideMark/>
          </w:tcPr>
          <w:p w14:paraId="02B2BAA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1A37A133"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F69603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PEAACHIS Client Contributions</w:t>
            </w:r>
          </w:p>
        </w:tc>
        <w:tc>
          <w:tcPr>
            <w:tcW w:w="1120" w:type="dxa"/>
            <w:tcBorders>
              <w:top w:val="nil"/>
              <w:left w:val="nil"/>
              <w:bottom w:val="single" w:sz="4" w:space="0" w:color="000000"/>
              <w:right w:val="single" w:sz="4" w:space="0" w:color="000000"/>
            </w:tcBorders>
            <w:shd w:val="clear" w:color="auto" w:fill="auto"/>
            <w:vAlign w:val="bottom"/>
            <w:hideMark/>
          </w:tcPr>
          <w:p w14:paraId="189DD37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68.60</w:t>
            </w:r>
          </w:p>
        </w:tc>
        <w:tc>
          <w:tcPr>
            <w:tcW w:w="1120" w:type="dxa"/>
            <w:tcBorders>
              <w:top w:val="nil"/>
              <w:left w:val="nil"/>
              <w:bottom w:val="single" w:sz="4" w:space="0" w:color="000000"/>
              <w:right w:val="single" w:sz="4" w:space="0" w:color="000000"/>
            </w:tcBorders>
            <w:shd w:val="clear" w:color="auto" w:fill="auto"/>
            <w:vAlign w:val="bottom"/>
            <w:hideMark/>
          </w:tcPr>
          <w:p w14:paraId="79C529E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14.96</w:t>
            </w:r>
          </w:p>
        </w:tc>
        <w:tc>
          <w:tcPr>
            <w:tcW w:w="980" w:type="dxa"/>
            <w:tcBorders>
              <w:top w:val="nil"/>
              <w:left w:val="nil"/>
              <w:bottom w:val="single" w:sz="4" w:space="0" w:color="000000"/>
              <w:right w:val="single" w:sz="4" w:space="0" w:color="000000"/>
            </w:tcBorders>
            <w:shd w:val="clear" w:color="auto" w:fill="auto"/>
            <w:vAlign w:val="bottom"/>
            <w:hideMark/>
          </w:tcPr>
          <w:p w14:paraId="1BE5884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IFCTFI</w:t>
            </w:r>
          </w:p>
        </w:tc>
        <w:tc>
          <w:tcPr>
            <w:tcW w:w="1120" w:type="dxa"/>
            <w:tcBorders>
              <w:top w:val="nil"/>
              <w:left w:val="nil"/>
              <w:bottom w:val="single" w:sz="4" w:space="0" w:color="000000"/>
              <w:right w:val="single" w:sz="4" w:space="0" w:color="000000"/>
            </w:tcBorders>
            <w:shd w:val="clear" w:color="auto" w:fill="auto"/>
            <w:vAlign w:val="bottom"/>
            <w:hideMark/>
          </w:tcPr>
          <w:p w14:paraId="4FAA650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6/3/2013</w:t>
            </w:r>
          </w:p>
        </w:tc>
        <w:tc>
          <w:tcPr>
            <w:tcW w:w="1120" w:type="dxa"/>
            <w:tcBorders>
              <w:top w:val="nil"/>
              <w:left w:val="nil"/>
              <w:bottom w:val="single" w:sz="4" w:space="0" w:color="000000"/>
              <w:right w:val="single" w:sz="8" w:space="0" w:color="auto"/>
            </w:tcBorders>
            <w:shd w:val="clear" w:color="auto" w:fill="auto"/>
            <w:vAlign w:val="bottom"/>
            <w:hideMark/>
          </w:tcPr>
          <w:p w14:paraId="56F1EDA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3D7B7CFA"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32FE07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Utility Efficiency Program in Africa Client Contributions</w:t>
            </w:r>
          </w:p>
        </w:tc>
        <w:tc>
          <w:tcPr>
            <w:tcW w:w="1120" w:type="dxa"/>
            <w:tcBorders>
              <w:top w:val="nil"/>
              <w:left w:val="nil"/>
              <w:bottom w:val="single" w:sz="4" w:space="0" w:color="000000"/>
              <w:right w:val="single" w:sz="4" w:space="0" w:color="000000"/>
            </w:tcBorders>
            <w:shd w:val="clear" w:color="auto" w:fill="auto"/>
            <w:vAlign w:val="bottom"/>
            <w:hideMark/>
          </w:tcPr>
          <w:p w14:paraId="3EC3254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350.00</w:t>
            </w:r>
          </w:p>
        </w:tc>
        <w:tc>
          <w:tcPr>
            <w:tcW w:w="1120" w:type="dxa"/>
            <w:tcBorders>
              <w:top w:val="nil"/>
              <w:left w:val="nil"/>
              <w:bottom w:val="single" w:sz="4" w:space="0" w:color="000000"/>
              <w:right w:val="single" w:sz="4" w:space="0" w:color="000000"/>
            </w:tcBorders>
            <w:shd w:val="clear" w:color="auto" w:fill="auto"/>
            <w:vAlign w:val="bottom"/>
            <w:hideMark/>
          </w:tcPr>
          <w:p w14:paraId="5F78D0E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215.22</w:t>
            </w:r>
          </w:p>
        </w:tc>
        <w:tc>
          <w:tcPr>
            <w:tcW w:w="980" w:type="dxa"/>
            <w:tcBorders>
              <w:top w:val="nil"/>
              <w:left w:val="nil"/>
              <w:bottom w:val="single" w:sz="4" w:space="0" w:color="000000"/>
              <w:right w:val="single" w:sz="4" w:space="0" w:color="000000"/>
            </w:tcBorders>
            <w:shd w:val="clear" w:color="auto" w:fill="auto"/>
            <w:vAlign w:val="bottom"/>
            <w:hideMark/>
          </w:tcPr>
          <w:p w14:paraId="38F41BA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IFCTFI</w:t>
            </w:r>
          </w:p>
        </w:tc>
        <w:tc>
          <w:tcPr>
            <w:tcW w:w="1120" w:type="dxa"/>
            <w:tcBorders>
              <w:top w:val="nil"/>
              <w:left w:val="nil"/>
              <w:bottom w:val="single" w:sz="4" w:space="0" w:color="000000"/>
              <w:right w:val="single" w:sz="4" w:space="0" w:color="000000"/>
            </w:tcBorders>
            <w:shd w:val="clear" w:color="auto" w:fill="auto"/>
            <w:vAlign w:val="bottom"/>
            <w:hideMark/>
          </w:tcPr>
          <w:p w14:paraId="07D552F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6/18/2013</w:t>
            </w:r>
          </w:p>
        </w:tc>
        <w:tc>
          <w:tcPr>
            <w:tcW w:w="1120" w:type="dxa"/>
            <w:tcBorders>
              <w:top w:val="nil"/>
              <w:left w:val="nil"/>
              <w:bottom w:val="single" w:sz="4" w:space="0" w:color="000000"/>
              <w:right w:val="single" w:sz="8" w:space="0" w:color="auto"/>
            </w:tcBorders>
            <w:shd w:val="clear" w:color="auto" w:fill="auto"/>
            <w:vAlign w:val="bottom"/>
            <w:hideMark/>
          </w:tcPr>
          <w:p w14:paraId="1DDCDF9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1/31/2015</w:t>
            </w:r>
          </w:p>
        </w:tc>
      </w:tr>
      <w:tr w:rsidR="00064809" w:rsidRPr="007B5CDB" w14:paraId="0264C806"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5764EB9"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Support to Developing and Strengthening the Kenya Social Protection System</w:t>
            </w:r>
          </w:p>
        </w:tc>
        <w:tc>
          <w:tcPr>
            <w:tcW w:w="1120" w:type="dxa"/>
            <w:tcBorders>
              <w:top w:val="nil"/>
              <w:left w:val="nil"/>
              <w:bottom w:val="single" w:sz="4" w:space="0" w:color="000000"/>
              <w:right w:val="single" w:sz="4" w:space="0" w:color="000000"/>
            </w:tcBorders>
            <w:shd w:val="clear" w:color="auto" w:fill="auto"/>
            <w:vAlign w:val="bottom"/>
            <w:hideMark/>
          </w:tcPr>
          <w:p w14:paraId="66B6E91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415.25</w:t>
            </w:r>
          </w:p>
        </w:tc>
        <w:tc>
          <w:tcPr>
            <w:tcW w:w="1120" w:type="dxa"/>
            <w:tcBorders>
              <w:top w:val="nil"/>
              <w:left w:val="nil"/>
              <w:bottom w:val="single" w:sz="4" w:space="0" w:color="000000"/>
              <w:right w:val="single" w:sz="4" w:space="0" w:color="000000"/>
            </w:tcBorders>
            <w:shd w:val="clear" w:color="auto" w:fill="auto"/>
            <w:vAlign w:val="bottom"/>
            <w:hideMark/>
          </w:tcPr>
          <w:p w14:paraId="121A22E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415.25</w:t>
            </w:r>
          </w:p>
        </w:tc>
        <w:tc>
          <w:tcPr>
            <w:tcW w:w="980" w:type="dxa"/>
            <w:tcBorders>
              <w:top w:val="nil"/>
              <w:left w:val="nil"/>
              <w:bottom w:val="single" w:sz="4" w:space="0" w:color="000000"/>
              <w:right w:val="single" w:sz="4" w:space="0" w:color="000000"/>
            </w:tcBorders>
            <w:shd w:val="clear" w:color="auto" w:fill="auto"/>
            <w:vAlign w:val="bottom"/>
            <w:hideMark/>
          </w:tcPr>
          <w:p w14:paraId="0FB9CD3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RSR</w:t>
            </w:r>
          </w:p>
        </w:tc>
        <w:tc>
          <w:tcPr>
            <w:tcW w:w="1120" w:type="dxa"/>
            <w:tcBorders>
              <w:top w:val="nil"/>
              <w:left w:val="nil"/>
              <w:bottom w:val="single" w:sz="4" w:space="0" w:color="000000"/>
              <w:right w:val="single" w:sz="4" w:space="0" w:color="000000"/>
            </w:tcBorders>
            <w:shd w:val="clear" w:color="auto" w:fill="auto"/>
            <w:vAlign w:val="bottom"/>
            <w:hideMark/>
          </w:tcPr>
          <w:p w14:paraId="6601790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8/1/2013</w:t>
            </w:r>
          </w:p>
        </w:tc>
        <w:tc>
          <w:tcPr>
            <w:tcW w:w="1120" w:type="dxa"/>
            <w:tcBorders>
              <w:top w:val="nil"/>
              <w:left w:val="nil"/>
              <w:bottom w:val="single" w:sz="4" w:space="0" w:color="000000"/>
              <w:right w:val="single" w:sz="8" w:space="0" w:color="auto"/>
            </w:tcBorders>
            <w:shd w:val="clear" w:color="auto" w:fill="auto"/>
            <w:vAlign w:val="bottom"/>
            <w:hideMark/>
          </w:tcPr>
          <w:p w14:paraId="618D3CD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5/31/2015</w:t>
            </w:r>
          </w:p>
        </w:tc>
      </w:tr>
      <w:tr w:rsidR="00064809" w:rsidRPr="007B5CDB" w14:paraId="785E448E"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F5A4A9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Equity Bank Limited Client Contributions</w:t>
            </w:r>
          </w:p>
        </w:tc>
        <w:tc>
          <w:tcPr>
            <w:tcW w:w="1120" w:type="dxa"/>
            <w:tcBorders>
              <w:top w:val="nil"/>
              <w:left w:val="nil"/>
              <w:bottom w:val="single" w:sz="4" w:space="0" w:color="000000"/>
              <w:right w:val="single" w:sz="4" w:space="0" w:color="000000"/>
            </w:tcBorders>
            <w:shd w:val="clear" w:color="auto" w:fill="auto"/>
            <w:vAlign w:val="bottom"/>
            <w:hideMark/>
          </w:tcPr>
          <w:p w14:paraId="75EBAC5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250.00</w:t>
            </w:r>
          </w:p>
        </w:tc>
        <w:tc>
          <w:tcPr>
            <w:tcW w:w="1120" w:type="dxa"/>
            <w:tcBorders>
              <w:top w:val="nil"/>
              <w:left w:val="nil"/>
              <w:bottom w:val="single" w:sz="4" w:space="0" w:color="000000"/>
              <w:right w:val="single" w:sz="4" w:space="0" w:color="000000"/>
            </w:tcBorders>
            <w:shd w:val="clear" w:color="auto" w:fill="auto"/>
            <w:vAlign w:val="bottom"/>
            <w:hideMark/>
          </w:tcPr>
          <w:p w14:paraId="6D3E71C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0.00</w:t>
            </w:r>
          </w:p>
        </w:tc>
        <w:tc>
          <w:tcPr>
            <w:tcW w:w="980" w:type="dxa"/>
            <w:tcBorders>
              <w:top w:val="nil"/>
              <w:left w:val="nil"/>
              <w:bottom w:val="single" w:sz="4" w:space="0" w:color="000000"/>
              <w:right w:val="single" w:sz="4" w:space="0" w:color="000000"/>
            </w:tcBorders>
            <w:shd w:val="clear" w:color="auto" w:fill="auto"/>
            <w:vAlign w:val="bottom"/>
            <w:hideMark/>
          </w:tcPr>
          <w:p w14:paraId="0F9F8463"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IFCTFI</w:t>
            </w:r>
          </w:p>
        </w:tc>
        <w:tc>
          <w:tcPr>
            <w:tcW w:w="1120" w:type="dxa"/>
            <w:tcBorders>
              <w:top w:val="nil"/>
              <w:left w:val="nil"/>
              <w:bottom w:val="single" w:sz="4" w:space="0" w:color="000000"/>
              <w:right w:val="single" w:sz="4" w:space="0" w:color="000000"/>
            </w:tcBorders>
            <w:shd w:val="clear" w:color="auto" w:fill="auto"/>
            <w:vAlign w:val="bottom"/>
            <w:hideMark/>
          </w:tcPr>
          <w:p w14:paraId="75A67A2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7/30/2013</w:t>
            </w:r>
          </w:p>
        </w:tc>
        <w:tc>
          <w:tcPr>
            <w:tcW w:w="1120" w:type="dxa"/>
            <w:tcBorders>
              <w:top w:val="nil"/>
              <w:left w:val="nil"/>
              <w:bottom w:val="single" w:sz="4" w:space="0" w:color="000000"/>
              <w:right w:val="single" w:sz="8" w:space="0" w:color="auto"/>
            </w:tcBorders>
            <w:shd w:val="clear" w:color="auto" w:fill="auto"/>
            <w:vAlign w:val="bottom"/>
            <w:hideMark/>
          </w:tcPr>
          <w:p w14:paraId="0EA8AF6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5/30/2014</w:t>
            </w:r>
          </w:p>
        </w:tc>
      </w:tr>
      <w:tr w:rsidR="00064809" w:rsidRPr="007B5CDB" w14:paraId="19A46798"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378EDA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Kenya Health Sector Support Project Preparation </w:t>
            </w:r>
          </w:p>
        </w:tc>
        <w:tc>
          <w:tcPr>
            <w:tcW w:w="1120" w:type="dxa"/>
            <w:tcBorders>
              <w:top w:val="nil"/>
              <w:left w:val="nil"/>
              <w:bottom w:val="single" w:sz="4" w:space="0" w:color="000000"/>
              <w:right w:val="single" w:sz="4" w:space="0" w:color="000000"/>
            </w:tcBorders>
            <w:shd w:val="clear" w:color="auto" w:fill="auto"/>
            <w:vAlign w:val="bottom"/>
            <w:hideMark/>
          </w:tcPr>
          <w:p w14:paraId="6140FEA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250.00</w:t>
            </w:r>
          </w:p>
        </w:tc>
        <w:tc>
          <w:tcPr>
            <w:tcW w:w="1120" w:type="dxa"/>
            <w:tcBorders>
              <w:top w:val="nil"/>
              <w:left w:val="nil"/>
              <w:bottom w:val="single" w:sz="4" w:space="0" w:color="000000"/>
              <w:right w:val="single" w:sz="4" w:space="0" w:color="000000"/>
            </w:tcBorders>
            <w:shd w:val="clear" w:color="auto" w:fill="auto"/>
            <w:vAlign w:val="bottom"/>
            <w:hideMark/>
          </w:tcPr>
          <w:p w14:paraId="1575F2E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2.16</w:t>
            </w:r>
          </w:p>
        </w:tc>
        <w:tc>
          <w:tcPr>
            <w:tcW w:w="980" w:type="dxa"/>
            <w:tcBorders>
              <w:top w:val="nil"/>
              <w:left w:val="nil"/>
              <w:bottom w:val="single" w:sz="4" w:space="0" w:color="000000"/>
              <w:right w:val="single" w:sz="4" w:space="0" w:color="000000"/>
            </w:tcBorders>
            <w:shd w:val="clear" w:color="auto" w:fill="auto"/>
            <w:vAlign w:val="bottom"/>
            <w:hideMark/>
          </w:tcPr>
          <w:p w14:paraId="68F3940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HRBF</w:t>
            </w:r>
          </w:p>
        </w:tc>
        <w:tc>
          <w:tcPr>
            <w:tcW w:w="1120" w:type="dxa"/>
            <w:tcBorders>
              <w:top w:val="nil"/>
              <w:left w:val="nil"/>
              <w:bottom w:val="single" w:sz="4" w:space="0" w:color="000000"/>
              <w:right w:val="single" w:sz="4" w:space="0" w:color="000000"/>
            </w:tcBorders>
            <w:shd w:val="clear" w:color="auto" w:fill="auto"/>
            <w:vAlign w:val="bottom"/>
            <w:hideMark/>
          </w:tcPr>
          <w:p w14:paraId="6381C44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8/28/2013</w:t>
            </w:r>
          </w:p>
        </w:tc>
        <w:tc>
          <w:tcPr>
            <w:tcW w:w="1120" w:type="dxa"/>
            <w:tcBorders>
              <w:top w:val="nil"/>
              <w:left w:val="nil"/>
              <w:bottom w:val="single" w:sz="4" w:space="0" w:color="000000"/>
              <w:right w:val="single" w:sz="8" w:space="0" w:color="auto"/>
            </w:tcBorders>
            <w:shd w:val="clear" w:color="auto" w:fill="auto"/>
            <w:vAlign w:val="bottom"/>
            <w:hideMark/>
          </w:tcPr>
          <w:p w14:paraId="0453B07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1E11CE8B"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32700D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Support for the Finalization and Appraisal of the Kenya National Education Sector Support </w:t>
            </w:r>
          </w:p>
        </w:tc>
        <w:tc>
          <w:tcPr>
            <w:tcW w:w="1120" w:type="dxa"/>
            <w:tcBorders>
              <w:top w:val="nil"/>
              <w:left w:val="nil"/>
              <w:bottom w:val="single" w:sz="4" w:space="0" w:color="000000"/>
              <w:right w:val="single" w:sz="4" w:space="0" w:color="000000"/>
            </w:tcBorders>
            <w:shd w:val="clear" w:color="auto" w:fill="auto"/>
            <w:vAlign w:val="bottom"/>
            <w:hideMark/>
          </w:tcPr>
          <w:p w14:paraId="1A57408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250.00</w:t>
            </w:r>
          </w:p>
        </w:tc>
        <w:tc>
          <w:tcPr>
            <w:tcW w:w="1120" w:type="dxa"/>
            <w:tcBorders>
              <w:top w:val="nil"/>
              <w:left w:val="nil"/>
              <w:bottom w:val="single" w:sz="4" w:space="0" w:color="000000"/>
              <w:right w:val="single" w:sz="4" w:space="0" w:color="000000"/>
            </w:tcBorders>
            <w:shd w:val="clear" w:color="auto" w:fill="auto"/>
            <w:vAlign w:val="bottom"/>
            <w:hideMark/>
          </w:tcPr>
          <w:p w14:paraId="20530C0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7.25</w:t>
            </w:r>
          </w:p>
        </w:tc>
        <w:tc>
          <w:tcPr>
            <w:tcW w:w="980" w:type="dxa"/>
            <w:tcBorders>
              <w:top w:val="nil"/>
              <w:left w:val="nil"/>
              <w:bottom w:val="single" w:sz="4" w:space="0" w:color="000000"/>
              <w:right w:val="single" w:sz="4" w:space="0" w:color="000000"/>
            </w:tcBorders>
            <w:shd w:val="clear" w:color="auto" w:fill="auto"/>
            <w:vAlign w:val="bottom"/>
            <w:hideMark/>
          </w:tcPr>
          <w:p w14:paraId="2D02317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EFASE</w:t>
            </w:r>
          </w:p>
        </w:tc>
        <w:tc>
          <w:tcPr>
            <w:tcW w:w="1120" w:type="dxa"/>
            <w:tcBorders>
              <w:top w:val="nil"/>
              <w:left w:val="nil"/>
              <w:bottom w:val="single" w:sz="4" w:space="0" w:color="000000"/>
              <w:right w:val="single" w:sz="4" w:space="0" w:color="000000"/>
            </w:tcBorders>
            <w:shd w:val="clear" w:color="auto" w:fill="auto"/>
            <w:vAlign w:val="bottom"/>
            <w:hideMark/>
          </w:tcPr>
          <w:p w14:paraId="4830FE9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8/22/2013</w:t>
            </w:r>
          </w:p>
        </w:tc>
        <w:tc>
          <w:tcPr>
            <w:tcW w:w="1120" w:type="dxa"/>
            <w:tcBorders>
              <w:top w:val="nil"/>
              <w:left w:val="nil"/>
              <w:bottom w:val="single" w:sz="4" w:space="0" w:color="000000"/>
              <w:right w:val="single" w:sz="8" w:space="0" w:color="auto"/>
            </w:tcBorders>
            <w:shd w:val="clear" w:color="auto" w:fill="auto"/>
            <w:vAlign w:val="bottom"/>
            <w:hideMark/>
          </w:tcPr>
          <w:p w14:paraId="1AA3EEE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3/31/2014</w:t>
            </w:r>
          </w:p>
        </w:tc>
      </w:tr>
      <w:tr w:rsidR="00064809" w:rsidRPr="007B5CDB" w14:paraId="1D6ABD73"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C2D792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Clean Cooking - Gender</w:t>
            </w:r>
          </w:p>
        </w:tc>
        <w:tc>
          <w:tcPr>
            <w:tcW w:w="1120" w:type="dxa"/>
            <w:tcBorders>
              <w:top w:val="nil"/>
              <w:left w:val="nil"/>
              <w:bottom w:val="single" w:sz="4" w:space="0" w:color="000000"/>
              <w:right w:val="single" w:sz="4" w:space="0" w:color="000000"/>
            </w:tcBorders>
            <w:shd w:val="clear" w:color="auto" w:fill="auto"/>
            <w:vAlign w:val="bottom"/>
            <w:hideMark/>
          </w:tcPr>
          <w:p w14:paraId="678E5C2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190.00</w:t>
            </w:r>
          </w:p>
        </w:tc>
        <w:tc>
          <w:tcPr>
            <w:tcW w:w="1120" w:type="dxa"/>
            <w:tcBorders>
              <w:top w:val="nil"/>
              <w:left w:val="nil"/>
              <w:bottom w:val="single" w:sz="4" w:space="0" w:color="000000"/>
              <w:right w:val="single" w:sz="4" w:space="0" w:color="000000"/>
            </w:tcBorders>
            <w:shd w:val="clear" w:color="auto" w:fill="auto"/>
            <w:vAlign w:val="bottom"/>
            <w:hideMark/>
          </w:tcPr>
          <w:p w14:paraId="5B7350B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175.34</w:t>
            </w:r>
          </w:p>
        </w:tc>
        <w:tc>
          <w:tcPr>
            <w:tcW w:w="980" w:type="dxa"/>
            <w:tcBorders>
              <w:top w:val="nil"/>
              <w:left w:val="nil"/>
              <w:bottom w:val="single" w:sz="4" w:space="0" w:color="000000"/>
              <w:right w:val="single" w:sz="4" w:space="0" w:color="000000"/>
            </w:tcBorders>
            <w:shd w:val="clear" w:color="auto" w:fill="auto"/>
            <w:vAlign w:val="bottom"/>
            <w:hideMark/>
          </w:tcPr>
          <w:p w14:paraId="71EB531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BDE98E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10/10/2013</w:t>
            </w:r>
          </w:p>
        </w:tc>
        <w:tc>
          <w:tcPr>
            <w:tcW w:w="1120" w:type="dxa"/>
            <w:tcBorders>
              <w:top w:val="nil"/>
              <w:left w:val="nil"/>
              <w:bottom w:val="single" w:sz="4" w:space="0" w:color="000000"/>
              <w:right w:val="single" w:sz="8" w:space="0" w:color="auto"/>
            </w:tcBorders>
            <w:shd w:val="clear" w:color="auto" w:fill="auto"/>
            <w:vAlign w:val="bottom"/>
            <w:hideMark/>
          </w:tcPr>
          <w:p w14:paraId="559DAFB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74FD07BC" w14:textId="77777777" w:rsidTr="00B56C1B">
        <w:trPr>
          <w:trHeight w:val="73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2F2A09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AFR-Water, poverty, shared prosperity, and climate resilience in the coastal region of Kenya: exploring the linkages a nd pathways</w:t>
            </w:r>
          </w:p>
        </w:tc>
        <w:tc>
          <w:tcPr>
            <w:tcW w:w="1120" w:type="dxa"/>
            <w:tcBorders>
              <w:top w:val="nil"/>
              <w:left w:val="nil"/>
              <w:bottom w:val="single" w:sz="4" w:space="0" w:color="000000"/>
              <w:right w:val="single" w:sz="4" w:space="0" w:color="000000"/>
            </w:tcBorders>
            <w:shd w:val="clear" w:color="auto" w:fill="auto"/>
            <w:vAlign w:val="bottom"/>
            <w:hideMark/>
          </w:tcPr>
          <w:p w14:paraId="5106D8E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200.00</w:t>
            </w:r>
          </w:p>
        </w:tc>
        <w:tc>
          <w:tcPr>
            <w:tcW w:w="1120" w:type="dxa"/>
            <w:tcBorders>
              <w:top w:val="nil"/>
              <w:left w:val="nil"/>
              <w:bottom w:val="single" w:sz="4" w:space="0" w:color="000000"/>
              <w:right w:val="single" w:sz="4" w:space="0" w:color="000000"/>
            </w:tcBorders>
            <w:shd w:val="clear" w:color="auto" w:fill="auto"/>
            <w:vAlign w:val="bottom"/>
            <w:hideMark/>
          </w:tcPr>
          <w:p w14:paraId="0EBCFEC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85.00</w:t>
            </w:r>
          </w:p>
        </w:tc>
        <w:tc>
          <w:tcPr>
            <w:tcW w:w="980" w:type="dxa"/>
            <w:tcBorders>
              <w:top w:val="nil"/>
              <w:left w:val="nil"/>
              <w:bottom w:val="single" w:sz="4" w:space="0" w:color="000000"/>
              <w:right w:val="single" w:sz="4" w:space="0" w:color="000000"/>
            </w:tcBorders>
            <w:shd w:val="clear" w:color="auto" w:fill="auto"/>
            <w:vAlign w:val="bottom"/>
            <w:hideMark/>
          </w:tcPr>
          <w:p w14:paraId="0386C36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WPP</w:t>
            </w:r>
          </w:p>
        </w:tc>
        <w:tc>
          <w:tcPr>
            <w:tcW w:w="1120" w:type="dxa"/>
            <w:tcBorders>
              <w:top w:val="nil"/>
              <w:left w:val="nil"/>
              <w:bottom w:val="single" w:sz="4" w:space="0" w:color="000000"/>
              <w:right w:val="single" w:sz="4" w:space="0" w:color="000000"/>
            </w:tcBorders>
            <w:shd w:val="clear" w:color="auto" w:fill="auto"/>
            <w:vAlign w:val="bottom"/>
            <w:hideMark/>
          </w:tcPr>
          <w:p w14:paraId="640224B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12/9/2013</w:t>
            </w:r>
          </w:p>
        </w:tc>
        <w:tc>
          <w:tcPr>
            <w:tcW w:w="1120" w:type="dxa"/>
            <w:tcBorders>
              <w:top w:val="nil"/>
              <w:left w:val="nil"/>
              <w:bottom w:val="single" w:sz="4" w:space="0" w:color="000000"/>
              <w:right w:val="single" w:sz="8" w:space="0" w:color="auto"/>
            </w:tcBorders>
            <w:shd w:val="clear" w:color="auto" w:fill="auto"/>
            <w:vAlign w:val="bottom"/>
            <w:hideMark/>
          </w:tcPr>
          <w:p w14:paraId="4147A7C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3AD8D056"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A1EB43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AMSME GAB Kenya</w:t>
            </w:r>
          </w:p>
        </w:tc>
        <w:tc>
          <w:tcPr>
            <w:tcW w:w="1120" w:type="dxa"/>
            <w:tcBorders>
              <w:top w:val="nil"/>
              <w:left w:val="nil"/>
              <w:bottom w:val="single" w:sz="4" w:space="0" w:color="000000"/>
              <w:right w:val="single" w:sz="4" w:space="0" w:color="000000"/>
            </w:tcBorders>
            <w:shd w:val="clear" w:color="auto" w:fill="auto"/>
            <w:vAlign w:val="bottom"/>
            <w:hideMark/>
          </w:tcPr>
          <w:p w14:paraId="76F400E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260.00</w:t>
            </w:r>
          </w:p>
        </w:tc>
        <w:tc>
          <w:tcPr>
            <w:tcW w:w="1120" w:type="dxa"/>
            <w:tcBorders>
              <w:top w:val="nil"/>
              <w:left w:val="nil"/>
              <w:bottom w:val="single" w:sz="4" w:space="0" w:color="000000"/>
              <w:right w:val="single" w:sz="4" w:space="0" w:color="000000"/>
            </w:tcBorders>
            <w:shd w:val="clear" w:color="auto" w:fill="auto"/>
            <w:vAlign w:val="bottom"/>
            <w:hideMark/>
          </w:tcPr>
          <w:p w14:paraId="09D4CD0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260.00</w:t>
            </w:r>
          </w:p>
        </w:tc>
        <w:tc>
          <w:tcPr>
            <w:tcW w:w="980" w:type="dxa"/>
            <w:tcBorders>
              <w:top w:val="nil"/>
              <w:left w:val="nil"/>
              <w:bottom w:val="single" w:sz="4" w:space="0" w:color="000000"/>
              <w:right w:val="single" w:sz="4" w:space="0" w:color="000000"/>
            </w:tcBorders>
            <w:shd w:val="clear" w:color="auto" w:fill="auto"/>
            <w:vAlign w:val="bottom"/>
            <w:hideMark/>
          </w:tcPr>
          <w:p w14:paraId="43CB7238"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EE9A9E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1/27/2014</w:t>
            </w:r>
          </w:p>
        </w:tc>
        <w:tc>
          <w:tcPr>
            <w:tcW w:w="1120" w:type="dxa"/>
            <w:tcBorders>
              <w:top w:val="nil"/>
              <w:left w:val="nil"/>
              <w:bottom w:val="single" w:sz="4" w:space="0" w:color="000000"/>
              <w:right w:val="single" w:sz="8" w:space="0" w:color="auto"/>
            </w:tcBorders>
            <w:shd w:val="clear" w:color="auto" w:fill="auto"/>
            <w:vAlign w:val="bottom"/>
            <w:hideMark/>
          </w:tcPr>
          <w:p w14:paraId="152801C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11/30/2018</w:t>
            </w:r>
          </w:p>
        </w:tc>
      </w:tr>
      <w:tr w:rsidR="00064809" w:rsidRPr="007B5CDB" w14:paraId="6A25677B"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ABD510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Africa Leasing Facility II</w:t>
            </w:r>
          </w:p>
        </w:tc>
        <w:tc>
          <w:tcPr>
            <w:tcW w:w="1120" w:type="dxa"/>
            <w:tcBorders>
              <w:top w:val="nil"/>
              <w:left w:val="nil"/>
              <w:bottom w:val="single" w:sz="4" w:space="0" w:color="000000"/>
              <w:right w:val="single" w:sz="4" w:space="0" w:color="000000"/>
            </w:tcBorders>
            <w:shd w:val="clear" w:color="auto" w:fill="auto"/>
            <w:vAlign w:val="bottom"/>
            <w:hideMark/>
          </w:tcPr>
          <w:p w14:paraId="3BDB497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1,800.00</w:t>
            </w:r>
          </w:p>
        </w:tc>
        <w:tc>
          <w:tcPr>
            <w:tcW w:w="1120" w:type="dxa"/>
            <w:tcBorders>
              <w:top w:val="nil"/>
              <w:left w:val="nil"/>
              <w:bottom w:val="single" w:sz="4" w:space="0" w:color="000000"/>
              <w:right w:val="single" w:sz="4" w:space="0" w:color="000000"/>
            </w:tcBorders>
            <w:shd w:val="clear" w:color="auto" w:fill="auto"/>
            <w:vAlign w:val="bottom"/>
            <w:hideMark/>
          </w:tcPr>
          <w:p w14:paraId="669D7F9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1,800.00</w:t>
            </w:r>
          </w:p>
        </w:tc>
        <w:tc>
          <w:tcPr>
            <w:tcW w:w="980" w:type="dxa"/>
            <w:tcBorders>
              <w:top w:val="nil"/>
              <w:left w:val="nil"/>
              <w:bottom w:val="single" w:sz="4" w:space="0" w:color="000000"/>
              <w:right w:val="single" w:sz="4" w:space="0" w:color="000000"/>
            </w:tcBorders>
            <w:shd w:val="clear" w:color="auto" w:fill="auto"/>
            <w:vAlign w:val="bottom"/>
            <w:hideMark/>
          </w:tcPr>
          <w:p w14:paraId="4333BFC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3350466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1/22/2014</w:t>
            </w:r>
          </w:p>
        </w:tc>
        <w:tc>
          <w:tcPr>
            <w:tcW w:w="1120" w:type="dxa"/>
            <w:tcBorders>
              <w:top w:val="nil"/>
              <w:left w:val="nil"/>
              <w:bottom w:val="single" w:sz="4" w:space="0" w:color="000000"/>
              <w:right w:val="single" w:sz="8" w:space="0" w:color="auto"/>
            </w:tcBorders>
            <w:shd w:val="clear" w:color="auto" w:fill="auto"/>
            <w:vAlign w:val="bottom"/>
            <w:hideMark/>
          </w:tcPr>
          <w:p w14:paraId="29A9977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2E7EFA86"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37FFC80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IC Tax</w:t>
            </w:r>
          </w:p>
        </w:tc>
        <w:tc>
          <w:tcPr>
            <w:tcW w:w="1120" w:type="dxa"/>
            <w:tcBorders>
              <w:top w:val="nil"/>
              <w:left w:val="nil"/>
              <w:bottom w:val="single" w:sz="4" w:space="0" w:color="000000"/>
              <w:right w:val="single" w:sz="4" w:space="0" w:color="000000"/>
            </w:tcBorders>
            <w:shd w:val="clear" w:color="auto" w:fill="auto"/>
            <w:vAlign w:val="bottom"/>
            <w:hideMark/>
          </w:tcPr>
          <w:p w14:paraId="6AAA89E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100.00</w:t>
            </w:r>
          </w:p>
        </w:tc>
        <w:tc>
          <w:tcPr>
            <w:tcW w:w="1120" w:type="dxa"/>
            <w:tcBorders>
              <w:top w:val="nil"/>
              <w:left w:val="nil"/>
              <w:bottom w:val="single" w:sz="4" w:space="0" w:color="000000"/>
              <w:right w:val="single" w:sz="4" w:space="0" w:color="000000"/>
            </w:tcBorders>
            <w:shd w:val="clear" w:color="auto" w:fill="auto"/>
            <w:vAlign w:val="bottom"/>
            <w:hideMark/>
          </w:tcPr>
          <w:p w14:paraId="2B79C52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100.00</w:t>
            </w:r>
          </w:p>
        </w:tc>
        <w:tc>
          <w:tcPr>
            <w:tcW w:w="980" w:type="dxa"/>
            <w:tcBorders>
              <w:top w:val="nil"/>
              <w:left w:val="nil"/>
              <w:bottom w:val="single" w:sz="4" w:space="0" w:color="000000"/>
              <w:right w:val="single" w:sz="4" w:space="0" w:color="000000"/>
            </w:tcBorders>
            <w:shd w:val="clear" w:color="auto" w:fill="auto"/>
            <w:vAlign w:val="bottom"/>
            <w:hideMark/>
          </w:tcPr>
          <w:p w14:paraId="798C44C6"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15374C3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2/11/2014</w:t>
            </w:r>
          </w:p>
        </w:tc>
        <w:tc>
          <w:tcPr>
            <w:tcW w:w="1120" w:type="dxa"/>
            <w:tcBorders>
              <w:top w:val="nil"/>
              <w:left w:val="nil"/>
              <w:bottom w:val="single" w:sz="4" w:space="0" w:color="000000"/>
              <w:right w:val="single" w:sz="8" w:space="0" w:color="auto"/>
            </w:tcBorders>
            <w:shd w:val="clear" w:color="auto" w:fill="auto"/>
            <w:vAlign w:val="bottom"/>
            <w:hideMark/>
          </w:tcPr>
          <w:p w14:paraId="05732C8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12/31/2015</w:t>
            </w:r>
          </w:p>
        </w:tc>
      </w:tr>
      <w:tr w:rsidR="00064809" w:rsidRPr="007B5CDB" w14:paraId="0E2CE49F"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85DC038"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AMSME DTB - KENYA</w:t>
            </w:r>
          </w:p>
        </w:tc>
        <w:tc>
          <w:tcPr>
            <w:tcW w:w="1120" w:type="dxa"/>
            <w:tcBorders>
              <w:top w:val="nil"/>
              <w:left w:val="nil"/>
              <w:bottom w:val="single" w:sz="4" w:space="0" w:color="000000"/>
              <w:right w:val="single" w:sz="4" w:space="0" w:color="000000"/>
            </w:tcBorders>
            <w:shd w:val="clear" w:color="auto" w:fill="auto"/>
            <w:vAlign w:val="bottom"/>
            <w:hideMark/>
          </w:tcPr>
          <w:p w14:paraId="1FA4008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874.14</w:t>
            </w:r>
          </w:p>
        </w:tc>
        <w:tc>
          <w:tcPr>
            <w:tcW w:w="1120" w:type="dxa"/>
            <w:tcBorders>
              <w:top w:val="nil"/>
              <w:left w:val="nil"/>
              <w:bottom w:val="single" w:sz="4" w:space="0" w:color="000000"/>
              <w:right w:val="single" w:sz="4" w:space="0" w:color="000000"/>
            </w:tcBorders>
            <w:shd w:val="clear" w:color="auto" w:fill="auto"/>
            <w:vAlign w:val="bottom"/>
            <w:hideMark/>
          </w:tcPr>
          <w:p w14:paraId="71B43EB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4.00</w:t>
            </w:r>
          </w:p>
        </w:tc>
        <w:tc>
          <w:tcPr>
            <w:tcW w:w="980" w:type="dxa"/>
            <w:tcBorders>
              <w:top w:val="nil"/>
              <w:left w:val="nil"/>
              <w:bottom w:val="single" w:sz="4" w:space="0" w:color="000000"/>
              <w:right w:val="single" w:sz="4" w:space="0" w:color="000000"/>
            </w:tcBorders>
            <w:shd w:val="clear" w:color="auto" w:fill="auto"/>
            <w:vAlign w:val="bottom"/>
            <w:hideMark/>
          </w:tcPr>
          <w:p w14:paraId="2AD7A563"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2DF0A0C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7/1/2008</w:t>
            </w:r>
          </w:p>
        </w:tc>
        <w:tc>
          <w:tcPr>
            <w:tcW w:w="1120" w:type="dxa"/>
            <w:tcBorders>
              <w:top w:val="nil"/>
              <w:left w:val="nil"/>
              <w:bottom w:val="single" w:sz="4" w:space="0" w:color="000000"/>
              <w:right w:val="single" w:sz="8" w:space="0" w:color="auto"/>
            </w:tcBorders>
            <w:shd w:val="clear" w:color="auto" w:fill="auto"/>
            <w:vAlign w:val="bottom"/>
            <w:hideMark/>
          </w:tcPr>
          <w:p w14:paraId="0355D08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641200A1"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B4B4F9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Support to Community Based Farm Forestry Enterprises in Semi-Arid Areas in Kenya </w:t>
            </w:r>
          </w:p>
        </w:tc>
        <w:tc>
          <w:tcPr>
            <w:tcW w:w="1120" w:type="dxa"/>
            <w:tcBorders>
              <w:top w:val="nil"/>
              <w:left w:val="nil"/>
              <w:bottom w:val="single" w:sz="4" w:space="0" w:color="000000"/>
              <w:right w:val="single" w:sz="4" w:space="0" w:color="000000"/>
            </w:tcBorders>
            <w:shd w:val="clear" w:color="auto" w:fill="auto"/>
            <w:vAlign w:val="bottom"/>
            <w:hideMark/>
          </w:tcPr>
          <w:p w14:paraId="433A78E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56.50</w:t>
            </w:r>
          </w:p>
        </w:tc>
        <w:tc>
          <w:tcPr>
            <w:tcW w:w="1120" w:type="dxa"/>
            <w:tcBorders>
              <w:top w:val="nil"/>
              <w:left w:val="nil"/>
              <w:bottom w:val="single" w:sz="4" w:space="0" w:color="000000"/>
              <w:right w:val="single" w:sz="4" w:space="0" w:color="000000"/>
            </w:tcBorders>
            <w:shd w:val="clear" w:color="auto" w:fill="auto"/>
            <w:vAlign w:val="bottom"/>
            <w:hideMark/>
          </w:tcPr>
          <w:p w14:paraId="353C1BC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28.25</w:t>
            </w:r>
          </w:p>
        </w:tc>
        <w:tc>
          <w:tcPr>
            <w:tcW w:w="980" w:type="dxa"/>
            <w:tcBorders>
              <w:top w:val="nil"/>
              <w:left w:val="nil"/>
              <w:bottom w:val="single" w:sz="4" w:space="0" w:color="000000"/>
              <w:right w:val="single" w:sz="4" w:space="0" w:color="000000"/>
            </w:tcBorders>
            <w:shd w:val="clear" w:color="auto" w:fill="auto"/>
            <w:vAlign w:val="bottom"/>
            <w:hideMark/>
          </w:tcPr>
          <w:p w14:paraId="5E02FC3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JSDF</w:t>
            </w:r>
          </w:p>
        </w:tc>
        <w:tc>
          <w:tcPr>
            <w:tcW w:w="1120" w:type="dxa"/>
            <w:tcBorders>
              <w:top w:val="nil"/>
              <w:left w:val="nil"/>
              <w:bottom w:val="single" w:sz="4" w:space="0" w:color="000000"/>
              <w:right w:val="single" w:sz="4" w:space="0" w:color="000000"/>
            </w:tcBorders>
            <w:shd w:val="clear" w:color="auto" w:fill="auto"/>
            <w:vAlign w:val="bottom"/>
            <w:hideMark/>
          </w:tcPr>
          <w:p w14:paraId="33935A3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1/31/2009</w:t>
            </w:r>
          </w:p>
        </w:tc>
        <w:tc>
          <w:tcPr>
            <w:tcW w:w="1120" w:type="dxa"/>
            <w:tcBorders>
              <w:top w:val="nil"/>
              <w:left w:val="nil"/>
              <w:bottom w:val="single" w:sz="4" w:space="0" w:color="000000"/>
              <w:right w:val="single" w:sz="8" w:space="0" w:color="auto"/>
            </w:tcBorders>
            <w:shd w:val="clear" w:color="auto" w:fill="auto"/>
            <w:vAlign w:val="bottom"/>
            <w:hideMark/>
          </w:tcPr>
          <w:p w14:paraId="36F8062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3/31/2015</w:t>
            </w:r>
          </w:p>
        </w:tc>
      </w:tr>
      <w:tr w:rsidR="00064809" w:rsidRPr="007B5CDB" w14:paraId="07511F5E"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1AF0C3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CT-OVC Program Enhanced Supervision</w:t>
            </w:r>
          </w:p>
        </w:tc>
        <w:tc>
          <w:tcPr>
            <w:tcW w:w="1120" w:type="dxa"/>
            <w:tcBorders>
              <w:top w:val="nil"/>
              <w:left w:val="nil"/>
              <w:bottom w:val="single" w:sz="4" w:space="0" w:color="000000"/>
              <w:right w:val="single" w:sz="4" w:space="0" w:color="000000"/>
            </w:tcBorders>
            <w:shd w:val="clear" w:color="auto" w:fill="auto"/>
            <w:vAlign w:val="bottom"/>
            <w:hideMark/>
          </w:tcPr>
          <w:p w14:paraId="53753B4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743.24</w:t>
            </w:r>
          </w:p>
        </w:tc>
        <w:tc>
          <w:tcPr>
            <w:tcW w:w="1120" w:type="dxa"/>
            <w:tcBorders>
              <w:top w:val="nil"/>
              <w:left w:val="nil"/>
              <w:bottom w:val="single" w:sz="4" w:space="0" w:color="000000"/>
              <w:right w:val="single" w:sz="4" w:space="0" w:color="000000"/>
            </w:tcBorders>
            <w:shd w:val="clear" w:color="auto" w:fill="auto"/>
            <w:vAlign w:val="bottom"/>
            <w:hideMark/>
          </w:tcPr>
          <w:p w14:paraId="536FF8B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221.13</w:t>
            </w:r>
          </w:p>
        </w:tc>
        <w:tc>
          <w:tcPr>
            <w:tcW w:w="980" w:type="dxa"/>
            <w:tcBorders>
              <w:top w:val="nil"/>
              <w:left w:val="nil"/>
              <w:bottom w:val="single" w:sz="4" w:space="0" w:color="000000"/>
              <w:right w:val="single" w:sz="4" w:space="0" w:color="000000"/>
            </w:tcBorders>
            <w:shd w:val="clear" w:color="auto" w:fill="auto"/>
            <w:vAlign w:val="bottom"/>
            <w:hideMark/>
          </w:tcPr>
          <w:p w14:paraId="09A49FB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AFRHD</w:t>
            </w:r>
          </w:p>
        </w:tc>
        <w:tc>
          <w:tcPr>
            <w:tcW w:w="1120" w:type="dxa"/>
            <w:tcBorders>
              <w:top w:val="nil"/>
              <w:left w:val="nil"/>
              <w:bottom w:val="single" w:sz="4" w:space="0" w:color="000000"/>
              <w:right w:val="single" w:sz="4" w:space="0" w:color="000000"/>
            </w:tcBorders>
            <w:shd w:val="clear" w:color="auto" w:fill="auto"/>
            <w:vAlign w:val="bottom"/>
            <w:hideMark/>
          </w:tcPr>
          <w:p w14:paraId="0B8F8A7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7/9/2010</w:t>
            </w:r>
          </w:p>
        </w:tc>
        <w:tc>
          <w:tcPr>
            <w:tcW w:w="1120" w:type="dxa"/>
            <w:tcBorders>
              <w:top w:val="nil"/>
              <w:left w:val="nil"/>
              <w:bottom w:val="single" w:sz="4" w:space="0" w:color="000000"/>
              <w:right w:val="single" w:sz="8" w:space="0" w:color="auto"/>
            </w:tcBorders>
            <w:shd w:val="clear" w:color="auto" w:fill="auto"/>
            <w:vAlign w:val="bottom"/>
            <w:hideMark/>
          </w:tcPr>
          <w:p w14:paraId="1CBFDB6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12/31/2016</w:t>
            </w:r>
          </w:p>
        </w:tc>
      </w:tr>
      <w:tr w:rsidR="00064809" w:rsidRPr="007B5CDB" w14:paraId="5A6A50D8"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E2D12E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CT-OVC Program Program Management</w:t>
            </w:r>
          </w:p>
        </w:tc>
        <w:tc>
          <w:tcPr>
            <w:tcW w:w="1120" w:type="dxa"/>
            <w:tcBorders>
              <w:top w:val="nil"/>
              <w:left w:val="nil"/>
              <w:bottom w:val="single" w:sz="4" w:space="0" w:color="000000"/>
              <w:right w:val="single" w:sz="4" w:space="0" w:color="000000"/>
            </w:tcBorders>
            <w:shd w:val="clear" w:color="auto" w:fill="auto"/>
            <w:vAlign w:val="bottom"/>
            <w:hideMark/>
          </w:tcPr>
          <w:p w14:paraId="323B9CE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199.07</w:t>
            </w:r>
          </w:p>
        </w:tc>
        <w:tc>
          <w:tcPr>
            <w:tcW w:w="1120" w:type="dxa"/>
            <w:tcBorders>
              <w:top w:val="nil"/>
              <w:left w:val="nil"/>
              <w:bottom w:val="single" w:sz="4" w:space="0" w:color="000000"/>
              <w:right w:val="single" w:sz="4" w:space="0" w:color="000000"/>
            </w:tcBorders>
            <w:shd w:val="clear" w:color="auto" w:fill="auto"/>
            <w:vAlign w:val="bottom"/>
            <w:hideMark/>
          </w:tcPr>
          <w:p w14:paraId="3400555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139.00</w:t>
            </w:r>
          </w:p>
        </w:tc>
        <w:tc>
          <w:tcPr>
            <w:tcW w:w="980" w:type="dxa"/>
            <w:tcBorders>
              <w:top w:val="nil"/>
              <w:left w:val="nil"/>
              <w:bottom w:val="single" w:sz="4" w:space="0" w:color="000000"/>
              <w:right w:val="single" w:sz="4" w:space="0" w:color="000000"/>
            </w:tcBorders>
            <w:shd w:val="clear" w:color="auto" w:fill="auto"/>
            <w:vAlign w:val="bottom"/>
            <w:hideMark/>
          </w:tcPr>
          <w:p w14:paraId="0BD5CBC3"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AFRHD</w:t>
            </w:r>
          </w:p>
        </w:tc>
        <w:tc>
          <w:tcPr>
            <w:tcW w:w="1120" w:type="dxa"/>
            <w:tcBorders>
              <w:top w:val="nil"/>
              <w:left w:val="nil"/>
              <w:bottom w:val="single" w:sz="4" w:space="0" w:color="000000"/>
              <w:right w:val="single" w:sz="4" w:space="0" w:color="000000"/>
            </w:tcBorders>
            <w:shd w:val="clear" w:color="auto" w:fill="auto"/>
            <w:vAlign w:val="bottom"/>
            <w:hideMark/>
          </w:tcPr>
          <w:p w14:paraId="23F6A85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7/9/2010</w:t>
            </w:r>
          </w:p>
        </w:tc>
        <w:tc>
          <w:tcPr>
            <w:tcW w:w="1120" w:type="dxa"/>
            <w:tcBorders>
              <w:top w:val="nil"/>
              <w:left w:val="nil"/>
              <w:bottom w:val="single" w:sz="4" w:space="0" w:color="000000"/>
              <w:right w:val="single" w:sz="8" w:space="0" w:color="auto"/>
            </w:tcBorders>
            <w:shd w:val="clear" w:color="auto" w:fill="auto"/>
            <w:vAlign w:val="bottom"/>
            <w:hideMark/>
          </w:tcPr>
          <w:p w14:paraId="48A4194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12/31/2016</w:t>
            </w:r>
          </w:p>
        </w:tc>
      </w:tr>
      <w:tr w:rsidR="00064809" w:rsidRPr="007B5CDB" w14:paraId="7CE5CC4A"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3BAC541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CT-OVC Program Trust Fund Administration</w:t>
            </w:r>
          </w:p>
        </w:tc>
        <w:tc>
          <w:tcPr>
            <w:tcW w:w="1120" w:type="dxa"/>
            <w:tcBorders>
              <w:top w:val="nil"/>
              <w:left w:val="nil"/>
              <w:bottom w:val="single" w:sz="4" w:space="0" w:color="000000"/>
              <w:right w:val="single" w:sz="4" w:space="0" w:color="000000"/>
            </w:tcBorders>
            <w:shd w:val="clear" w:color="auto" w:fill="auto"/>
            <w:vAlign w:val="bottom"/>
            <w:hideMark/>
          </w:tcPr>
          <w:p w14:paraId="5D221C1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64.61</w:t>
            </w:r>
          </w:p>
        </w:tc>
        <w:tc>
          <w:tcPr>
            <w:tcW w:w="1120" w:type="dxa"/>
            <w:tcBorders>
              <w:top w:val="nil"/>
              <w:left w:val="nil"/>
              <w:bottom w:val="single" w:sz="4" w:space="0" w:color="000000"/>
              <w:right w:val="single" w:sz="4" w:space="0" w:color="000000"/>
            </w:tcBorders>
            <w:shd w:val="clear" w:color="auto" w:fill="auto"/>
            <w:vAlign w:val="bottom"/>
            <w:hideMark/>
          </w:tcPr>
          <w:p w14:paraId="009B96B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64.61</w:t>
            </w:r>
          </w:p>
        </w:tc>
        <w:tc>
          <w:tcPr>
            <w:tcW w:w="980" w:type="dxa"/>
            <w:tcBorders>
              <w:top w:val="nil"/>
              <w:left w:val="nil"/>
              <w:bottom w:val="single" w:sz="4" w:space="0" w:color="000000"/>
              <w:right w:val="single" w:sz="4" w:space="0" w:color="000000"/>
            </w:tcBorders>
            <w:shd w:val="clear" w:color="auto" w:fill="auto"/>
            <w:vAlign w:val="bottom"/>
            <w:hideMark/>
          </w:tcPr>
          <w:p w14:paraId="6BF28CF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AFRHD</w:t>
            </w:r>
          </w:p>
        </w:tc>
        <w:tc>
          <w:tcPr>
            <w:tcW w:w="1120" w:type="dxa"/>
            <w:tcBorders>
              <w:top w:val="nil"/>
              <w:left w:val="nil"/>
              <w:bottom w:val="single" w:sz="4" w:space="0" w:color="000000"/>
              <w:right w:val="single" w:sz="4" w:space="0" w:color="000000"/>
            </w:tcBorders>
            <w:shd w:val="clear" w:color="auto" w:fill="auto"/>
            <w:vAlign w:val="bottom"/>
            <w:hideMark/>
          </w:tcPr>
          <w:p w14:paraId="5317352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7/9/2010</w:t>
            </w:r>
          </w:p>
        </w:tc>
        <w:tc>
          <w:tcPr>
            <w:tcW w:w="1120" w:type="dxa"/>
            <w:tcBorders>
              <w:top w:val="nil"/>
              <w:left w:val="nil"/>
              <w:bottom w:val="single" w:sz="4" w:space="0" w:color="000000"/>
              <w:right w:val="single" w:sz="8" w:space="0" w:color="auto"/>
            </w:tcBorders>
            <w:shd w:val="clear" w:color="auto" w:fill="auto"/>
            <w:vAlign w:val="bottom"/>
            <w:hideMark/>
          </w:tcPr>
          <w:p w14:paraId="3C5DFDF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12/31/2016</w:t>
            </w:r>
          </w:p>
        </w:tc>
      </w:tr>
      <w:tr w:rsidR="00064809" w:rsidRPr="007B5CDB" w14:paraId="58DCDD18"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16DB3CF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UAP/SYNGENTA</w:t>
            </w:r>
          </w:p>
        </w:tc>
        <w:tc>
          <w:tcPr>
            <w:tcW w:w="1120" w:type="dxa"/>
            <w:tcBorders>
              <w:top w:val="nil"/>
              <w:left w:val="nil"/>
              <w:bottom w:val="single" w:sz="4" w:space="0" w:color="000000"/>
              <w:right w:val="single" w:sz="4" w:space="0" w:color="000000"/>
            </w:tcBorders>
            <w:shd w:val="clear" w:color="auto" w:fill="auto"/>
            <w:vAlign w:val="bottom"/>
            <w:hideMark/>
          </w:tcPr>
          <w:p w14:paraId="73BF13A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6,296.83</w:t>
            </w:r>
          </w:p>
        </w:tc>
        <w:tc>
          <w:tcPr>
            <w:tcW w:w="1120" w:type="dxa"/>
            <w:tcBorders>
              <w:top w:val="nil"/>
              <w:left w:val="nil"/>
              <w:bottom w:val="single" w:sz="4" w:space="0" w:color="000000"/>
              <w:right w:val="single" w:sz="4" w:space="0" w:color="000000"/>
            </w:tcBorders>
            <w:shd w:val="clear" w:color="auto" w:fill="auto"/>
            <w:vAlign w:val="bottom"/>
            <w:hideMark/>
          </w:tcPr>
          <w:p w14:paraId="0462609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3,863.18</w:t>
            </w:r>
          </w:p>
        </w:tc>
        <w:tc>
          <w:tcPr>
            <w:tcW w:w="980" w:type="dxa"/>
            <w:tcBorders>
              <w:top w:val="nil"/>
              <w:left w:val="nil"/>
              <w:bottom w:val="single" w:sz="4" w:space="0" w:color="000000"/>
              <w:right w:val="single" w:sz="4" w:space="0" w:color="000000"/>
            </w:tcBorders>
            <w:shd w:val="clear" w:color="auto" w:fill="auto"/>
            <w:vAlign w:val="bottom"/>
            <w:hideMark/>
          </w:tcPr>
          <w:p w14:paraId="4D202FD6"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6D7FA4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7/18/2010</w:t>
            </w:r>
          </w:p>
        </w:tc>
        <w:tc>
          <w:tcPr>
            <w:tcW w:w="1120" w:type="dxa"/>
            <w:tcBorders>
              <w:top w:val="nil"/>
              <w:left w:val="nil"/>
              <w:bottom w:val="single" w:sz="4" w:space="0" w:color="000000"/>
              <w:right w:val="single" w:sz="8" w:space="0" w:color="auto"/>
            </w:tcBorders>
            <w:shd w:val="clear" w:color="auto" w:fill="auto"/>
            <w:vAlign w:val="bottom"/>
            <w:hideMark/>
          </w:tcPr>
          <w:p w14:paraId="06AA932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9/17/2016</w:t>
            </w:r>
          </w:p>
        </w:tc>
      </w:tr>
      <w:tr w:rsidR="00064809" w:rsidRPr="007B5CDB" w14:paraId="35F49455"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C1AC0F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EC - Kenya Investment Climate</w:t>
            </w:r>
          </w:p>
        </w:tc>
        <w:tc>
          <w:tcPr>
            <w:tcW w:w="1120" w:type="dxa"/>
            <w:tcBorders>
              <w:top w:val="nil"/>
              <w:left w:val="nil"/>
              <w:bottom w:val="single" w:sz="4" w:space="0" w:color="000000"/>
              <w:right w:val="single" w:sz="4" w:space="0" w:color="000000"/>
            </w:tcBorders>
            <w:shd w:val="clear" w:color="auto" w:fill="auto"/>
            <w:vAlign w:val="bottom"/>
            <w:hideMark/>
          </w:tcPr>
          <w:p w14:paraId="1969255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2,000.00</w:t>
            </w:r>
          </w:p>
        </w:tc>
        <w:tc>
          <w:tcPr>
            <w:tcW w:w="1120" w:type="dxa"/>
            <w:tcBorders>
              <w:top w:val="nil"/>
              <w:left w:val="nil"/>
              <w:bottom w:val="single" w:sz="4" w:space="0" w:color="000000"/>
              <w:right w:val="single" w:sz="4" w:space="0" w:color="000000"/>
            </w:tcBorders>
            <w:shd w:val="clear" w:color="auto" w:fill="auto"/>
            <w:vAlign w:val="bottom"/>
            <w:hideMark/>
          </w:tcPr>
          <w:p w14:paraId="71C92B4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32.81</w:t>
            </w:r>
          </w:p>
        </w:tc>
        <w:tc>
          <w:tcPr>
            <w:tcW w:w="980" w:type="dxa"/>
            <w:tcBorders>
              <w:top w:val="nil"/>
              <w:left w:val="nil"/>
              <w:bottom w:val="single" w:sz="4" w:space="0" w:color="000000"/>
              <w:right w:val="single" w:sz="4" w:space="0" w:color="000000"/>
            </w:tcBorders>
            <w:shd w:val="clear" w:color="auto" w:fill="auto"/>
            <w:vAlign w:val="bottom"/>
            <w:hideMark/>
          </w:tcPr>
          <w:p w14:paraId="4D8E2BF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23A8A0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10/1/2010</w:t>
            </w:r>
          </w:p>
        </w:tc>
        <w:tc>
          <w:tcPr>
            <w:tcW w:w="1120" w:type="dxa"/>
            <w:tcBorders>
              <w:top w:val="nil"/>
              <w:left w:val="nil"/>
              <w:bottom w:val="single" w:sz="4" w:space="0" w:color="000000"/>
              <w:right w:val="single" w:sz="8" w:space="0" w:color="auto"/>
            </w:tcBorders>
            <w:shd w:val="clear" w:color="auto" w:fill="auto"/>
            <w:vAlign w:val="bottom"/>
            <w:hideMark/>
          </w:tcPr>
          <w:p w14:paraId="7ACD6DA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11/30/2013</w:t>
            </w:r>
          </w:p>
        </w:tc>
      </w:tr>
      <w:tr w:rsidR="00064809" w:rsidRPr="007B5CDB" w14:paraId="330203F2"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02EB53A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AMSMETA - BoA Kenya</w:t>
            </w:r>
          </w:p>
        </w:tc>
        <w:tc>
          <w:tcPr>
            <w:tcW w:w="1120" w:type="dxa"/>
            <w:tcBorders>
              <w:top w:val="nil"/>
              <w:left w:val="nil"/>
              <w:bottom w:val="single" w:sz="4" w:space="0" w:color="000000"/>
              <w:right w:val="single" w:sz="4" w:space="0" w:color="000000"/>
            </w:tcBorders>
            <w:shd w:val="clear" w:color="auto" w:fill="auto"/>
            <w:vAlign w:val="bottom"/>
            <w:hideMark/>
          </w:tcPr>
          <w:p w14:paraId="18F5E2A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850.00</w:t>
            </w:r>
          </w:p>
        </w:tc>
        <w:tc>
          <w:tcPr>
            <w:tcW w:w="1120" w:type="dxa"/>
            <w:tcBorders>
              <w:top w:val="nil"/>
              <w:left w:val="nil"/>
              <w:bottom w:val="single" w:sz="4" w:space="0" w:color="000000"/>
              <w:right w:val="single" w:sz="4" w:space="0" w:color="000000"/>
            </w:tcBorders>
            <w:shd w:val="clear" w:color="auto" w:fill="auto"/>
            <w:vAlign w:val="bottom"/>
            <w:hideMark/>
          </w:tcPr>
          <w:p w14:paraId="2C05BDA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-15.83</w:t>
            </w:r>
          </w:p>
        </w:tc>
        <w:tc>
          <w:tcPr>
            <w:tcW w:w="980" w:type="dxa"/>
            <w:tcBorders>
              <w:top w:val="nil"/>
              <w:left w:val="nil"/>
              <w:bottom w:val="single" w:sz="4" w:space="0" w:color="000000"/>
              <w:right w:val="single" w:sz="4" w:space="0" w:color="000000"/>
            </w:tcBorders>
            <w:shd w:val="clear" w:color="auto" w:fill="auto"/>
            <w:vAlign w:val="bottom"/>
            <w:hideMark/>
          </w:tcPr>
          <w:p w14:paraId="7348652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3B5CCA8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12/3/2010</w:t>
            </w:r>
          </w:p>
        </w:tc>
        <w:tc>
          <w:tcPr>
            <w:tcW w:w="1120" w:type="dxa"/>
            <w:tcBorders>
              <w:top w:val="nil"/>
              <w:left w:val="nil"/>
              <w:bottom w:val="single" w:sz="4" w:space="0" w:color="000000"/>
              <w:right w:val="single" w:sz="8" w:space="0" w:color="auto"/>
            </w:tcBorders>
            <w:shd w:val="clear" w:color="auto" w:fill="auto"/>
            <w:vAlign w:val="bottom"/>
            <w:hideMark/>
          </w:tcPr>
          <w:p w14:paraId="71D27C9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0947ABBF"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F5E2E28"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W1-The Empirics of Governance</w:t>
            </w:r>
          </w:p>
        </w:tc>
        <w:tc>
          <w:tcPr>
            <w:tcW w:w="1120" w:type="dxa"/>
            <w:tcBorders>
              <w:top w:val="nil"/>
              <w:left w:val="nil"/>
              <w:bottom w:val="single" w:sz="4" w:space="0" w:color="000000"/>
              <w:right w:val="single" w:sz="4" w:space="0" w:color="000000"/>
            </w:tcBorders>
            <w:shd w:val="clear" w:color="auto" w:fill="auto"/>
            <w:vAlign w:val="bottom"/>
            <w:hideMark/>
          </w:tcPr>
          <w:p w14:paraId="0B1DAD2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820.00</w:t>
            </w:r>
          </w:p>
        </w:tc>
        <w:tc>
          <w:tcPr>
            <w:tcW w:w="1120" w:type="dxa"/>
            <w:tcBorders>
              <w:top w:val="nil"/>
              <w:left w:val="nil"/>
              <w:bottom w:val="single" w:sz="4" w:space="0" w:color="000000"/>
              <w:right w:val="single" w:sz="4" w:space="0" w:color="000000"/>
            </w:tcBorders>
            <w:shd w:val="clear" w:color="auto" w:fill="auto"/>
            <w:vAlign w:val="bottom"/>
            <w:hideMark/>
          </w:tcPr>
          <w:p w14:paraId="0C890F2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1.85</w:t>
            </w:r>
          </w:p>
        </w:tc>
        <w:tc>
          <w:tcPr>
            <w:tcW w:w="980" w:type="dxa"/>
            <w:tcBorders>
              <w:top w:val="nil"/>
              <w:left w:val="nil"/>
              <w:bottom w:val="single" w:sz="4" w:space="0" w:color="000000"/>
              <w:right w:val="single" w:sz="4" w:space="0" w:color="000000"/>
            </w:tcBorders>
            <w:shd w:val="clear" w:color="auto" w:fill="auto"/>
            <w:vAlign w:val="bottom"/>
            <w:hideMark/>
          </w:tcPr>
          <w:p w14:paraId="01183946"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GPF</w:t>
            </w:r>
          </w:p>
        </w:tc>
        <w:tc>
          <w:tcPr>
            <w:tcW w:w="1120" w:type="dxa"/>
            <w:tcBorders>
              <w:top w:val="nil"/>
              <w:left w:val="nil"/>
              <w:bottom w:val="single" w:sz="4" w:space="0" w:color="000000"/>
              <w:right w:val="single" w:sz="4" w:space="0" w:color="000000"/>
            </w:tcBorders>
            <w:shd w:val="clear" w:color="auto" w:fill="auto"/>
            <w:vAlign w:val="bottom"/>
            <w:hideMark/>
          </w:tcPr>
          <w:p w14:paraId="1959D29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12/1/2010</w:t>
            </w:r>
          </w:p>
        </w:tc>
        <w:tc>
          <w:tcPr>
            <w:tcW w:w="1120" w:type="dxa"/>
            <w:tcBorders>
              <w:top w:val="nil"/>
              <w:left w:val="nil"/>
              <w:bottom w:val="single" w:sz="4" w:space="0" w:color="000000"/>
              <w:right w:val="single" w:sz="8" w:space="0" w:color="auto"/>
            </w:tcBorders>
            <w:shd w:val="clear" w:color="auto" w:fill="auto"/>
            <w:vAlign w:val="bottom"/>
            <w:hideMark/>
          </w:tcPr>
          <w:p w14:paraId="25F0285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4/30/2014</w:t>
            </w:r>
          </w:p>
        </w:tc>
      </w:tr>
      <w:tr w:rsidR="00064809" w:rsidRPr="007B5CDB" w14:paraId="433C2BC4" w14:textId="77777777" w:rsidTr="00B56C1B">
        <w:trPr>
          <w:trHeight w:val="36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1D9460F8"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Readiness mechanisms for climate smart agriculture</w:t>
            </w:r>
          </w:p>
        </w:tc>
        <w:tc>
          <w:tcPr>
            <w:tcW w:w="1120" w:type="dxa"/>
            <w:tcBorders>
              <w:top w:val="nil"/>
              <w:left w:val="nil"/>
              <w:bottom w:val="single" w:sz="4" w:space="0" w:color="000000"/>
              <w:right w:val="single" w:sz="4" w:space="0" w:color="000000"/>
            </w:tcBorders>
            <w:shd w:val="clear" w:color="auto" w:fill="auto"/>
            <w:vAlign w:val="bottom"/>
            <w:hideMark/>
          </w:tcPr>
          <w:p w14:paraId="6058CA1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970.00</w:t>
            </w:r>
          </w:p>
        </w:tc>
        <w:tc>
          <w:tcPr>
            <w:tcW w:w="1120" w:type="dxa"/>
            <w:tcBorders>
              <w:top w:val="nil"/>
              <w:left w:val="nil"/>
              <w:bottom w:val="single" w:sz="4" w:space="0" w:color="000000"/>
              <w:right w:val="single" w:sz="4" w:space="0" w:color="000000"/>
            </w:tcBorders>
            <w:shd w:val="clear" w:color="auto" w:fill="auto"/>
            <w:vAlign w:val="bottom"/>
            <w:hideMark/>
          </w:tcPr>
          <w:p w14:paraId="494ED60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67.53</w:t>
            </w:r>
          </w:p>
        </w:tc>
        <w:tc>
          <w:tcPr>
            <w:tcW w:w="980" w:type="dxa"/>
            <w:tcBorders>
              <w:top w:val="nil"/>
              <w:left w:val="nil"/>
              <w:bottom w:val="single" w:sz="4" w:space="0" w:color="000000"/>
              <w:right w:val="single" w:sz="4" w:space="0" w:color="000000"/>
            </w:tcBorders>
            <w:shd w:val="clear" w:color="auto" w:fill="auto"/>
            <w:vAlign w:val="bottom"/>
            <w:hideMark/>
          </w:tcPr>
          <w:p w14:paraId="7076772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ILWAC</w:t>
            </w:r>
          </w:p>
        </w:tc>
        <w:tc>
          <w:tcPr>
            <w:tcW w:w="1120" w:type="dxa"/>
            <w:tcBorders>
              <w:top w:val="nil"/>
              <w:left w:val="nil"/>
              <w:bottom w:val="single" w:sz="4" w:space="0" w:color="000000"/>
              <w:right w:val="single" w:sz="4" w:space="0" w:color="000000"/>
            </w:tcBorders>
            <w:shd w:val="clear" w:color="auto" w:fill="auto"/>
            <w:vAlign w:val="bottom"/>
            <w:hideMark/>
          </w:tcPr>
          <w:p w14:paraId="0BC6097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1/17/2011</w:t>
            </w:r>
          </w:p>
        </w:tc>
        <w:tc>
          <w:tcPr>
            <w:tcW w:w="1120" w:type="dxa"/>
            <w:tcBorders>
              <w:top w:val="nil"/>
              <w:left w:val="nil"/>
              <w:bottom w:val="single" w:sz="4" w:space="0" w:color="000000"/>
              <w:right w:val="single" w:sz="8" w:space="0" w:color="auto"/>
            </w:tcBorders>
            <w:shd w:val="clear" w:color="auto" w:fill="auto"/>
            <w:vAlign w:val="bottom"/>
            <w:hideMark/>
          </w:tcPr>
          <w:p w14:paraId="4766865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27B2A91C"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667E39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GPOBA (W3 Prep): Kenya Electricity Expansion </w:t>
            </w:r>
          </w:p>
        </w:tc>
        <w:tc>
          <w:tcPr>
            <w:tcW w:w="1120" w:type="dxa"/>
            <w:tcBorders>
              <w:top w:val="nil"/>
              <w:left w:val="nil"/>
              <w:bottom w:val="single" w:sz="4" w:space="0" w:color="000000"/>
              <w:right w:val="single" w:sz="4" w:space="0" w:color="000000"/>
            </w:tcBorders>
            <w:shd w:val="clear" w:color="auto" w:fill="auto"/>
            <w:vAlign w:val="bottom"/>
            <w:hideMark/>
          </w:tcPr>
          <w:p w14:paraId="0A929BC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183.77</w:t>
            </w:r>
          </w:p>
        </w:tc>
        <w:tc>
          <w:tcPr>
            <w:tcW w:w="1120" w:type="dxa"/>
            <w:tcBorders>
              <w:top w:val="nil"/>
              <w:left w:val="nil"/>
              <w:bottom w:val="single" w:sz="4" w:space="0" w:color="000000"/>
              <w:right w:val="single" w:sz="4" w:space="0" w:color="000000"/>
            </w:tcBorders>
            <w:shd w:val="clear" w:color="auto" w:fill="auto"/>
            <w:vAlign w:val="bottom"/>
            <w:hideMark/>
          </w:tcPr>
          <w:p w14:paraId="356DFFA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138.49</w:t>
            </w:r>
          </w:p>
        </w:tc>
        <w:tc>
          <w:tcPr>
            <w:tcW w:w="980" w:type="dxa"/>
            <w:tcBorders>
              <w:top w:val="nil"/>
              <w:left w:val="nil"/>
              <w:bottom w:val="single" w:sz="4" w:space="0" w:color="000000"/>
              <w:right w:val="single" w:sz="4" w:space="0" w:color="000000"/>
            </w:tcBorders>
            <w:shd w:val="clear" w:color="auto" w:fill="auto"/>
            <w:vAlign w:val="bottom"/>
            <w:hideMark/>
          </w:tcPr>
          <w:p w14:paraId="57F64B0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GPOBA</w:t>
            </w:r>
          </w:p>
        </w:tc>
        <w:tc>
          <w:tcPr>
            <w:tcW w:w="1120" w:type="dxa"/>
            <w:tcBorders>
              <w:top w:val="nil"/>
              <w:left w:val="nil"/>
              <w:bottom w:val="single" w:sz="4" w:space="0" w:color="000000"/>
              <w:right w:val="single" w:sz="4" w:space="0" w:color="000000"/>
            </w:tcBorders>
            <w:shd w:val="clear" w:color="auto" w:fill="auto"/>
            <w:vAlign w:val="bottom"/>
            <w:hideMark/>
          </w:tcPr>
          <w:p w14:paraId="1EA9AB8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2/23/2011</w:t>
            </w:r>
          </w:p>
        </w:tc>
        <w:tc>
          <w:tcPr>
            <w:tcW w:w="1120" w:type="dxa"/>
            <w:tcBorders>
              <w:top w:val="nil"/>
              <w:left w:val="nil"/>
              <w:bottom w:val="single" w:sz="4" w:space="0" w:color="000000"/>
              <w:right w:val="single" w:sz="8" w:space="0" w:color="auto"/>
            </w:tcBorders>
            <w:shd w:val="clear" w:color="auto" w:fill="auto"/>
            <w:vAlign w:val="bottom"/>
            <w:hideMark/>
          </w:tcPr>
          <w:p w14:paraId="6E254AC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5/30/2014</w:t>
            </w:r>
          </w:p>
        </w:tc>
      </w:tr>
    </w:tbl>
    <w:p w14:paraId="0C0E518B" w14:textId="77777777" w:rsidR="00064809" w:rsidRDefault="00064809" w:rsidP="00064809">
      <w:pPr>
        <w:spacing w:after="0" w:line="240" w:lineRule="auto"/>
        <w:jc w:val="center"/>
        <w:rPr>
          <w:rFonts w:ascii="Times New Roman" w:eastAsia="Times New Roman" w:hAnsi="Times New Roman" w:cs="Times New Roman"/>
          <w:b/>
          <w:bCs/>
          <w:color w:val="000000"/>
          <w:sz w:val="18"/>
          <w:szCs w:val="18"/>
        </w:rPr>
        <w:sectPr w:rsidR="00064809" w:rsidSect="00F96822">
          <w:endnotePr>
            <w:numFmt w:val="decimal"/>
          </w:endnotePr>
          <w:pgSz w:w="12240" w:h="15840"/>
          <w:pgMar w:top="1166" w:right="1440" w:bottom="1267" w:left="990" w:header="720" w:footer="720" w:gutter="0"/>
          <w:cols w:space="720"/>
          <w:docGrid w:linePitch="360"/>
        </w:sectPr>
      </w:pPr>
    </w:p>
    <w:tbl>
      <w:tblPr>
        <w:tblW w:w="9280" w:type="dxa"/>
        <w:jc w:val="center"/>
        <w:tblLook w:val="04A0" w:firstRow="1" w:lastRow="0" w:firstColumn="1" w:lastColumn="0" w:noHBand="0" w:noVBand="1"/>
      </w:tblPr>
      <w:tblGrid>
        <w:gridCol w:w="3820"/>
        <w:gridCol w:w="1120"/>
        <w:gridCol w:w="1120"/>
        <w:gridCol w:w="980"/>
        <w:gridCol w:w="1120"/>
        <w:gridCol w:w="1120"/>
      </w:tblGrid>
      <w:tr w:rsidR="00064809" w:rsidRPr="007B5CDB" w14:paraId="22C7AC07" w14:textId="77777777" w:rsidTr="00B56C1B">
        <w:trPr>
          <w:trHeight w:val="480"/>
          <w:jc w:val="center"/>
        </w:trPr>
        <w:tc>
          <w:tcPr>
            <w:tcW w:w="3820" w:type="dxa"/>
            <w:tcBorders>
              <w:top w:val="single" w:sz="8" w:space="0" w:color="auto"/>
              <w:left w:val="single" w:sz="8" w:space="0" w:color="auto"/>
              <w:bottom w:val="nil"/>
              <w:right w:val="single" w:sz="4" w:space="0" w:color="000000"/>
            </w:tcBorders>
            <w:shd w:val="clear" w:color="000000" w:fill="F2DCDB"/>
            <w:vAlign w:val="center"/>
            <w:hideMark/>
          </w:tcPr>
          <w:p w14:paraId="1C5B0815"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lastRenderedPageBreak/>
              <w:t>Trust Fund Name</w:t>
            </w:r>
          </w:p>
        </w:tc>
        <w:tc>
          <w:tcPr>
            <w:tcW w:w="1120" w:type="dxa"/>
            <w:tcBorders>
              <w:top w:val="single" w:sz="8" w:space="0" w:color="auto"/>
              <w:left w:val="nil"/>
              <w:bottom w:val="nil"/>
              <w:right w:val="single" w:sz="4" w:space="0" w:color="000000"/>
            </w:tcBorders>
            <w:shd w:val="clear" w:color="000000" w:fill="F2DCDB"/>
            <w:vAlign w:val="center"/>
            <w:hideMark/>
          </w:tcPr>
          <w:p w14:paraId="6B51C526"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Approved ($,000)</w:t>
            </w:r>
          </w:p>
        </w:tc>
        <w:tc>
          <w:tcPr>
            <w:tcW w:w="1120" w:type="dxa"/>
            <w:tcBorders>
              <w:top w:val="single" w:sz="8" w:space="0" w:color="auto"/>
              <w:left w:val="nil"/>
              <w:bottom w:val="nil"/>
              <w:right w:val="single" w:sz="4" w:space="0" w:color="000000"/>
            </w:tcBorders>
            <w:shd w:val="clear" w:color="000000" w:fill="F2DCDB"/>
            <w:vAlign w:val="center"/>
            <w:hideMark/>
          </w:tcPr>
          <w:p w14:paraId="3B05337F"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Available ($,000)</w:t>
            </w:r>
          </w:p>
        </w:tc>
        <w:tc>
          <w:tcPr>
            <w:tcW w:w="980" w:type="dxa"/>
            <w:tcBorders>
              <w:top w:val="single" w:sz="8" w:space="0" w:color="auto"/>
              <w:left w:val="nil"/>
              <w:bottom w:val="nil"/>
              <w:right w:val="single" w:sz="4" w:space="0" w:color="000000"/>
            </w:tcBorders>
            <w:shd w:val="clear" w:color="000000" w:fill="F2DCDB"/>
            <w:vAlign w:val="center"/>
            <w:hideMark/>
          </w:tcPr>
          <w:p w14:paraId="5195702B"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Program Source</w:t>
            </w:r>
          </w:p>
        </w:tc>
        <w:tc>
          <w:tcPr>
            <w:tcW w:w="1120" w:type="dxa"/>
            <w:tcBorders>
              <w:top w:val="single" w:sz="8" w:space="0" w:color="auto"/>
              <w:left w:val="nil"/>
              <w:bottom w:val="nil"/>
              <w:right w:val="single" w:sz="4" w:space="0" w:color="000000"/>
            </w:tcBorders>
            <w:shd w:val="clear" w:color="000000" w:fill="F2DCDB"/>
            <w:vAlign w:val="center"/>
            <w:hideMark/>
          </w:tcPr>
          <w:p w14:paraId="6CFD0413"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Signing Date</w:t>
            </w:r>
          </w:p>
        </w:tc>
        <w:tc>
          <w:tcPr>
            <w:tcW w:w="1120" w:type="dxa"/>
            <w:tcBorders>
              <w:top w:val="single" w:sz="8" w:space="0" w:color="auto"/>
              <w:left w:val="nil"/>
              <w:bottom w:val="nil"/>
              <w:right w:val="single" w:sz="8" w:space="0" w:color="auto"/>
            </w:tcBorders>
            <w:shd w:val="clear" w:color="000000" w:fill="F2DCDB"/>
            <w:vAlign w:val="center"/>
            <w:hideMark/>
          </w:tcPr>
          <w:p w14:paraId="419240AB" w14:textId="77777777" w:rsidR="00064809" w:rsidRPr="007B5CDB" w:rsidRDefault="00064809" w:rsidP="00985F1A">
            <w:pPr>
              <w:spacing w:after="0" w:line="240" w:lineRule="auto"/>
              <w:jc w:val="center"/>
              <w:rPr>
                <w:rFonts w:ascii="Times New Roman" w:eastAsia="Times New Roman" w:hAnsi="Times New Roman" w:cs="Times New Roman"/>
                <w:b/>
                <w:bCs/>
                <w:color w:val="000000"/>
                <w:sz w:val="18"/>
                <w:szCs w:val="18"/>
              </w:rPr>
            </w:pPr>
            <w:r w:rsidRPr="007B5CDB">
              <w:rPr>
                <w:rFonts w:ascii="Times New Roman" w:eastAsia="Times New Roman" w:hAnsi="Times New Roman" w:cs="Times New Roman"/>
                <w:b/>
                <w:bCs/>
                <w:color w:val="000000"/>
                <w:sz w:val="18"/>
                <w:szCs w:val="18"/>
              </w:rPr>
              <w:t>Closing Date</w:t>
            </w:r>
          </w:p>
        </w:tc>
      </w:tr>
      <w:tr w:rsidR="00064809" w:rsidRPr="007B5CDB" w14:paraId="06513D5D" w14:textId="77777777" w:rsidTr="00B56C1B">
        <w:trPr>
          <w:trHeight w:val="300"/>
          <w:jc w:val="center"/>
        </w:trPr>
        <w:tc>
          <w:tcPr>
            <w:tcW w:w="9280" w:type="dxa"/>
            <w:gridSpan w:val="6"/>
            <w:tcBorders>
              <w:top w:val="single" w:sz="4" w:space="0" w:color="000000"/>
              <w:left w:val="single" w:sz="8" w:space="0" w:color="auto"/>
              <w:bottom w:val="single" w:sz="4" w:space="0" w:color="000000"/>
              <w:right w:val="single" w:sz="8" w:space="0" w:color="000000"/>
            </w:tcBorders>
            <w:shd w:val="clear" w:color="000000" w:fill="F2DCDB"/>
            <w:vAlign w:val="center"/>
            <w:hideMark/>
          </w:tcPr>
          <w:p w14:paraId="611F3C18" w14:textId="77777777" w:rsidR="00064809" w:rsidRPr="007B5CDB" w:rsidRDefault="00064809" w:rsidP="00985F1A">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Bank Executed </w:t>
            </w:r>
            <w:r w:rsidRPr="007B5CDB">
              <w:rPr>
                <w:rFonts w:ascii="Times New Roman" w:eastAsia="Times New Roman" w:hAnsi="Times New Roman" w:cs="Times New Roman"/>
                <w:b/>
                <w:bCs/>
                <w:color w:val="000000"/>
                <w:sz w:val="18"/>
                <w:szCs w:val="18"/>
              </w:rPr>
              <w:t>TF's</w:t>
            </w:r>
          </w:p>
        </w:tc>
      </w:tr>
      <w:tr w:rsidR="00064809" w:rsidRPr="007B5CDB" w14:paraId="750E78BC" w14:textId="77777777" w:rsidTr="00B56C1B">
        <w:trPr>
          <w:trHeight w:val="46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5ABC7B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#10160 Strengthening Accounting &amp; Auditing Legal Framework</w:t>
            </w:r>
          </w:p>
        </w:tc>
        <w:tc>
          <w:tcPr>
            <w:tcW w:w="1120" w:type="dxa"/>
            <w:tcBorders>
              <w:top w:val="nil"/>
              <w:left w:val="nil"/>
              <w:bottom w:val="single" w:sz="4" w:space="0" w:color="000000"/>
              <w:right w:val="single" w:sz="4" w:space="0" w:color="000000"/>
            </w:tcBorders>
            <w:shd w:val="clear" w:color="auto" w:fill="auto"/>
            <w:vAlign w:val="bottom"/>
            <w:hideMark/>
          </w:tcPr>
          <w:p w14:paraId="5A189FE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106.25</w:t>
            </w:r>
          </w:p>
        </w:tc>
        <w:tc>
          <w:tcPr>
            <w:tcW w:w="1120" w:type="dxa"/>
            <w:tcBorders>
              <w:top w:val="nil"/>
              <w:left w:val="nil"/>
              <w:bottom w:val="single" w:sz="4" w:space="0" w:color="000000"/>
              <w:right w:val="single" w:sz="4" w:space="0" w:color="000000"/>
            </w:tcBorders>
            <w:shd w:val="clear" w:color="auto" w:fill="auto"/>
            <w:vAlign w:val="bottom"/>
            <w:hideMark/>
          </w:tcPr>
          <w:p w14:paraId="7DBB293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46.30</w:t>
            </w:r>
          </w:p>
        </w:tc>
        <w:tc>
          <w:tcPr>
            <w:tcW w:w="980" w:type="dxa"/>
            <w:tcBorders>
              <w:top w:val="nil"/>
              <w:left w:val="nil"/>
              <w:bottom w:val="single" w:sz="4" w:space="0" w:color="000000"/>
              <w:right w:val="single" w:sz="4" w:space="0" w:color="000000"/>
            </w:tcBorders>
            <w:shd w:val="clear" w:color="auto" w:fill="auto"/>
            <w:vAlign w:val="bottom"/>
            <w:hideMark/>
          </w:tcPr>
          <w:p w14:paraId="1029546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FIRST</w:t>
            </w:r>
          </w:p>
        </w:tc>
        <w:tc>
          <w:tcPr>
            <w:tcW w:w="1120" w:type="dxa"/>
            <w:tcBorders>
              <w:top w:val="nil"/>
              <w:left w:val="nil"/>
              <w:bottom w:val="single" w:sz="4" w:space="0" w:color="000000"/>
              <w:right w:val="single" w:sz="4" w:space="0" w:color="000000"/>
            </w:tcBorders>
            <w:shd w:val="clear" w:color="auto" w:fill="auto"/>
            <w:vAlign w:val="bottom"/>
            <w:hideMark/>
          </w:tcPr>
          <w:p w14:paraId="1C981EC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6/28/2011</w:t>
            </w:r>
          </w:p>
        </w:tc>
        <w:tc>
          <w:tcPr>
            <w:tcW w:w="1120" w:type="dxa"/>
            <w:tcBorders>
              <w:top w:val="nil"/>
              <w:left w:val="nil"/>
              <w:bottom w:val="single" w:sz="4" w:space="0" w:color="000000"/>
              <w:right w:val="single" w:sz="8" w:space="0" w:color="auto"/>
            </w:tcBorders>
            <w:shd w:val="clear" w:color="auto" w:fill="auto"/>
            <w:vAlign w:val="bottom"/>
            <w:hideMark/>
          </w:tcPr>
          <w:p w14:paraId="12E1A1F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2197C327"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73AAA8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Climate Innovation Center</w:t>
            </w:r>
          </w:p>
        </w:tc>
        <w:tc>
          <w:tcPr>
            <w:tcW w:w="1120" w:type="dxa"/>
            <w:tcBorders>
              <w:top w:val="nil"/>
              <w:left w:val="nil"/>
              <w:bottom w:val="single" w:sz="4" w:space="0" w:color="000000"/>
              <w:right w:val="single" w:sz="4" w:space="0" w:color="000000"/>
            </w:tcBorders>
            <w:shd w:val="clear" w:color="auto" w:fill="auto"/>
            <w:vAlign w:val="bottom"/>
            <w:hideMark/>
          </w:tcPr>
          <w:p w14:paraId="30ABC10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1,187.90</w:t>
            </w:r>
          </w:p>
        </w:tc>
        <w:tc>
          <w:tcPr>
            <w:tcW w:w="1120" w:type="dxa"/>
            <w:tcBorders>
              <w:top w:val="nil"/>
              <w:left w:val="nil"/>
              <w:bottom w:val="single" w:sz="4" w:space="0" w:color="000000"/>
              <w:right w:val="single" w:sz="4" w:space="0" w:color="000000"/>
            </w:tcBorders>
            <w:shd w:val="clear" w:color="auto" w:fill="auto"/>
            <w:vAlign w:val="bottom"/>
            <w:hideMark/>
          </w:tcPr>
          <w:p w14:paraId="4819CD5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0.26</w:t>
            </w:r>
          </w:p>
        </w:tc>
        <w:tc>
          <w:tcPr>
            <w:tcW w:w="980" w:type="dxa"/>
            <w:tcBorders>
              <w:top w:val="nil"/>
              <w:left w:val="nil"/>
              <w:bottom w:val="single" w:sz="4" w:space="0" w:color="000000"/>
              <w:right w:val="single" w:sz="4" w:space="0" w:color="000000"/>
            </w:tcBorders>
            <w:shd w:val="clear" w:color="auto" w:fill="auto"/>
            <w:vAlign w:val="bottom"/>
            <w:hideMark/>
          </w:tcPr>
          <w:p w14:paraId="20E65BB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INFOD</w:t>
            </w:r>
          </w:p>
        </w:tc>
        <w:tc>
          <w:tcPr>
            <w:tcW w:w="1120" w:type="dxa"/>
            <w:tcBorders>
              <w:top w:val="nil"/>
              <w:left w:val="nil"/>
              <w:bottom w:val="single" w:sz="4" w:space="0" w:color="000000"/>
              <w:right w:val="single" w:sz="4" w:space="0" w:color="000000"/>
            </w:tcBorders>
            <w:shd w:val="clear" w:color="auto" w:fill="auto"/>
            <w:vAlign w:val="bottom"/>
            <w:hideMark/>
          </w:tcPr>
          <w:p w14:paraId="405A4E2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9/22/2011</w:t>
            </w:r>
          </w:p>
        </w:tc>
        <w:tc>
          <w:tcPr>
            <w:tcW w:w="1120" w:type="dxa"/>
            <w:tcBorders>
              <w:top w:val="nil"/>
              <w:left w:val="nil"/>
              <w:bottom w:val="single" w:sz="4" w:space="0" w:color="000000"/>
              <w:right w:val="single" w:sz="8" w:space="0" w:color="auto"/>
            </w:tcBorders>
            <w:shd w:val="clear" w:color="auto" w:fill="auto"/>
            <w:vAlign w:val="bottom"/>
            <w:hideMark/>
          </w:tcPr>
          <w:p w14:paraId="63752EF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8/1/2016</w:t>
            </w:r>
          </w:p>
        </w:tc>
      </w:tr>
      <w:tr w:rsidR="00064809" w:rsidRPr="007B5CDB" w14:paraId="3CCB448E"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626679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StAR - Kenya Country Engagement</w:t>
            </w:r>
          </w:p>
        </w:tc>
        <w:tc>
          <w:tcPr>
            <w:tcW w:w="1120" w:type="dxa"/>
            <w:tcBorders>
              <w:top w:val="nil"/>
              <w:left w:val="nil"/>
              <w:bottom w:val="single" w:sz="4" w:space="0" w:color="000000"/>
              <w:right w:val="single" w:sz="4" w:space="0" w:color="000000"/>
            </w:tcBorders>
            <w:shd w:val="clear" w:color="auto" w:fill="auto"/>
            <w:vAlign w:val="bottom"/>
            <w:hideMark/>
          </w:tcPr>
          <w:p w14:paraId="1A60DD1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200.00</w:t>
            </w:r>
          </w:p>
        </w:tc>
        <w:tc>
          <w:tcPr>
            <w:tcW w:w="1120" w:type="dxa"/>
            <w:tcBorders>
              <w:top w:val="nil"/>
              <w:left w:val="nil"/>
              <w:bottom w:val="single" w:sz="4" w:space="0" w:color="000000"/>
              <w:right w:val="single" w:sz="4" w:space="0" w:color="000000"/>
            </w:tcBorders>
            <w:shd w:val="clear" w:color="auto" w:fill="auto"/>
            <w:vAlign w:val="bottom"/>
            <w:hideMark/>
          </w:tcPr>
          <w:p w14:paraId="110E1E3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85.09</w:t>
            </w:r>
          </w:p>
        </w:tc>
        <w:tc>
          <w:tcPr>
            <w:tcW w:w="980" w:type="dxa"/>
            <w:tcBorders>
              <w:top w:val="nil"/>
              <w:left w:val="nil"/>
              <w:bottom w:val="single" w:sz="4" w:space="0" w:color="000000"/>
              <w:right w:val="single" w:sz="4" w:space="0" w:color="000000"/>
            </w:tcBorders>
            <w:shd w:val="clear" w:color="auto" w:fill="auto"/>
            <w:vAlign w:val="bottom"/>
            <w:hideMark/>
          </w:tcPr>
          <w:p w14:paraId="65A9BE3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STAR</w:t>
            </w:r>
          </w:p>
        </w:tc>
        <w:tc>
          <w:tcPr>
            <w:tcW w:w="1120" w:type="dxa"/>
            <w:tcBorders>
              <w:top w:val="nil"/>
              <w:left w:val="nil"/>
              <w:bottom w:val="single" w:sz="4" w:space="0" w:color="000000"/>
              <w:right w:val="single" w:sz="4" w:space="0" w:color="000000"/>
            </w:tcBorders>
            <w:shd w:val="clear" w:color="auto" w:fill="auto"/>
            <w:vAlign w:val="bottom"/>
            <w:hideMark/>
          </w:tcPr>
          <w:p w14:paraId="3BF2C0C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10/17/2011</w:t>
            </w:r>
          </w:p>
        </w:tc>
        <w:tc>
          <w:tcPr>
            <w:tcW w:w="1120" w:type="dxa"/>
            <w:tcBorders>
              <w:top w:val="nil"/>
              <w:left w:val="nil"/>
              <w:bottom w:val="single" w:sz="4" w:space="0" w:color="000000"/>
              <w:right w:val="single" w:sz="8" w:space="0" w:color="auto"/>
            </w:tcBorders>
            <w:shd w:val="clear" w:color="auto" w:fill="auto"/>
            <w:vAlign w:val="bottom"/>
            <w:hideMark/>
          </w:tcPr>
          <w:p w14:paraId="6AD9B39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37C54DE9"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D11C4F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CleanCooking</w:t>
            </w:r>
          </w:p>
        </w:tc>
        <w:tc>
          <w:tcPr>
            <w:tcW w:w="1120" w:type="dxa"/>
            <w:tcBorders>
              <w:top w:val="nil"/>
              <w:left w:val="nil"/>
              <w:bottom w:val="single" w:sz="4" w:space="0" w:color="000000"/>
              <w:right w:val="single" w:sz="4" w:space="0" w:color="000000"/>
            </w:tcBorders>
            <w:shd w:val="clear" w:color="auto" w:fill="auto"/>
            <w:vAlign w:val="bottom"/>
            <w:hideMark/>
          </w:tcPr>
          <w:p w14:paraId="0DBD24B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50.00</w:t>
            </w:r>
          </w:p>
        </w:tc>
        <w:tc>
          <w:tcPr>
            <w:tcW w:w="1120" w:type="dxa"/>
            <w:tcBorders>
              <w:top w:val="nil"/>
              <w:left w:val="nil"/>
              <w:bottom w:val="single" w:sz="4" w:space="0" w:color="000000"/>
              <w:right w:val="single" w:sz="4" w:space="0" w:color="000000"/>
            </w:tcBorders>
            <w:shd w:val="clear" w:color="auto" w:fill="auto"/>
            <w:vAlign w:val="bottom"/>
            <w:hideMark/>
          </w:tcPr>
          <w:p w14:paraId="2C36988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0.50</w:t>
            </w:r>
          </w:p>
        </w:tc>
        <w:tc>
          <w:tcPr>
            <w:tcW w:w="980" w:type="dxa"/>
            <w:tcBorders>
              <w:top w:val="nil"/>
              <w:left w:val="nil"/>
              <w:bottom w:val="single" w:sz="4" w:space="0" w:color="000000"/>
              <w:right w:val="single" w:sz="4" w:space="0" w:color="000000"/>
            </w:tcBorders>
            <w:shd w:val="clear" w:color="auto" w:fill="auto"/>
            <w:vAlign w:val="bottom"/>
            <w:hideMark/>
          </w:tcPr>
          <w:p w14:paraId="4585A21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32A9528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11/7/2011</w:t>
            </w:r>
          </w:p>
        </w:tc>
        <w:tc>
          <w:tcPr>
            <w:tcW w:w="1120" w:type="dxa"/>
            <w:tcBorders>
              <w:top w:val="nil"/>
              <w:left w:val="nil"/>
              <w:bottom w:val="single" w:sz="4" w:space="0" w:color="000000"/>
              <w:right w:val="single" w:sz="8" w:space="0" w:color="auto"/>
            </w:tcBorders>
            <w:shd w:val="clear" w:color="auto" w:fill="auto"/>
            <w:vAlign w:val="bottom"/>
            <w:hideMark/>
          </w:tcPr>
          <w:p w14:paraId="24CF178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1C5E9CF1" w14:textId="77777777" w:rsidTr="00B56C1B">
        <w:trPr>
          <w:trHeight w:val="73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74AB74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BNPP-GROWTH AND EQUITY: Welfare and Services Monitoring Across Sub-Saharan Africa via Mobile Phone Surveys</w:t>
            </w:r>
          </w:p>
        </w:tc>
        <w:tc>
          <w:tcPr>
            <w:tcW w:w="1120" w:type="dxa"/>
            <w:tcBorders>
              <w:top w:val="nil"/>
              <w:left w:val="nil"/>
              <w:bottom w:val="single" w:sz="4" w:space="0" w:color="000000"/>
              <w:right w:val="single" w:sz="4" w:space="0" w:color="000000"/>
            </w:tcBorders>
            <w:shd w:val="clear" w:color="auto" w:fill="auto"/>
            <w:vAlign w:val="bottom"/>
            <w:hideMark/>
          </w:tcPr>
          <w:p w14:paraId="78657A7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675.00</w:t>
            </w:r>
          </w:p>
        </w:tc>
        <w:tc>
          <w:tcPr>
            <w:tcW w:w="1120" w:type="dxa"/>
            <w:tcBorders>
              <w:top w:val="nil"/>
              <w:left w:val="nil"/>
              <w:bottom w:val="single" w:sz="4" w:space="0" w:color="000000"/>
              <w:right w:val="single" w:sz="4" w:space="0" w:color="000000"/>
            </w:tcBorders>
            <w:shd w:val="clear" w:color="auto" w:fill="auto"/>
            <w:vAlign w:val="bottom"/>
            <w:hideMark/>
          </w:tcPr>
          <w:p w14:paraId="68178A4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39.31</w:t>
            </w:r>
          </w:p>
        </w:tc>
        <w:tc>
          <w:tcPr>
            <w:tcW w:w="980" w:type="dxa"/>
            <w:tcBorders>
              <w:top w:val="nil"/>
              <w:left w:val="nil"/>
              <w:bottom w:val="single" w:sz="4" w:space="0" w:color="000000"/>
              <w:right w:val="single" w:sz="4" w:space="0" w:color="000000"/>
            </w:tcBorders>
            <w:shd w:val="clear" w:color="auto" w:fill="auto"/>
            <w:vAlign w:val="bottom"/>
            <w:hideMark/>
          </w:tcPr>
          <w:p w14:paraId="6A21CE5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BNPPRF</w:t>
            </w:r>
          </w:p>
        </w:tc>
        <w:tc>
          <w:tcPr>
            <w:tcW w:w="1120" w:type="dxa"/>
            <w:tcBorders>
              <w:top w:val="nil"/>
              <w:left w:val="nil"/>
              <w:bottom w:val="single" w:sz="4" w:space="0" w:color="000000"/>
              <w:right w:val="single" w:sz="4" w:space="0" w:color="000000"/>
            </w:tcBorders>
            <w:shd w:val="clear" w:color="auto" w:fill="auto"/>
            <w:vAlign w:val="bottom"/>
            <w:hideMark/>
          </w:tcPr>
          <w:p w14:paraId="2DF5D10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11/28/2011</w:t>
            </w:r>
          </w:p>
        </w:tc>
        <w:tc>
          <w:tcPr>
            <w:tcW w:w="1120" w:type="dxa"/>
            <w:tcBorders>
              <w:top w:val="nil"/>
              <w:left w:val="nil"/>
              <w:bottom w:val="single" w:sz="4" w:space="0" w:color="000000"/>
              <w:right w:val="single" w:sz="8" w:space="0" w:color="auto"/>
            </w:tcBorders>
            <w:shd w:val="clear" w:color="auto" w:fill="auto"/>
            <w:vAlign w:val="bottom"/>
            <w:hideMark/>
          </w:tcPr>
          <w:p w14:paraId="4A61935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5/31/2014</w:t>
            </w:r>
          </w:p>
        </w:tc>
      </w:tr>
      <w:tr w:rsidR="00064809" w:rsidRPr="007B5CDB" w14:paraId="7DE18D7B"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4B79AB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UEFA Program</w:t>
            </w:r>
          </w:p>
        </w:tc>
        <w:tc>
          <w:tcPr>
            <w:tcW w:w="1120" w:type="dxa"/>
            <w:tcBorders>
              <w:top w:val="nil"/>
              <w:left w:val="nil"/>
              <w:bottom w:val="single" w:sz="4" w:space="0" w:color="000000"/>
              <w:right w:val="single" w:sz="4" w:space="0" w:color="000000"/>
            </w:tcBorders>
            <w:shd w:val="clear" w:color="auto" w:fill="auto"/>
            <w:vAlign w:val="bottom"/>
            <w:hideMark/>
          </w:tcPr>
          <w:p w14:paraId="42B6940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50.00</w:t>
            </w:r>
          </w:p>
        </w:tc>
        <w:tc>
          <w:tcPr>
            <w:tcW w:w="1120" w:type="dxa"/>
            <w:tcBorders>
              <w:top w:val="nil"/>
              <w:left w:val="nil"/>
              <w:bottom w:val="single" w:sz="4" w:space="0" w:color="000000"/>
              <w:right w:val="single" w:sz="4" w:space="0" w:color="000000"/>
            </w:tcBorders>
            <w:shd w:val="clear" w:color="auto" w:fill="auto"/>
            <w:vAlign w:val="bottom"/>
            <w:hideMark/>
          </w:tcPr>
          <w:p w14:paraId="7158AF3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0.08</w:t>
            </w:r>
          </w:p>
        </w:tc>
        <w:tc>
          <w:tcPr>
            <w:tcW w:w="980" w:type="dxa"/>
            <w:tcBorders>
              <w:top w:val="nil"/>
              <w:left w:val="nil"/>
              <w:bottom w:val="single" w:sz="4" w:space="0" w:color="000000"/>
              <w:right w:val="single" w:sz="4" w:space="0" w:color="000000"/>
            </w:tcBorders>
            <w:shd w:val="clear" w:color="auto" w:fill="auto"/>
            <w:vAlign w:val="bottom"/>
            <w:hideMark/>
          </w:tcPr>
          <w:p w14:paraId="7246F4C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27292C7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1/9/2012</w:t>
            </w:r>
          </w:p>
        </w:tc>
        <w:tc>
          <w:tcPr>
            <w:tcW w:w="1120" w:type="dxa"/>
            <w:tcBorders>
              <w:top w:val="nil"/>
              <w:left w:val="nil"/>
              <w:bottom w:val="single" w:sz="4" w:space="0" w:color="000000"/>
              <w:right w:val="single" w:sz="8" w:space="0" w:color="auto"/>
            </w:tcBorders>
            <w:shd w:val="clear" w:color="auto" w:fill="auto"/>
            <w:vAlign w:val="bottom"/>
            <w:hideMark/>
          </w:tcPr>
          <w:p w14:paraId="719BB7A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1C111BFF"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0FDA5C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Lighting Africa Client contribution</w:t>
            </w:r>
          </w:p>
        </w:tc>
        <w:tc>
          <w:tcPr>
            <w:tcW w:w="1120" w:type="dxa"/>
            <w:tcBorders>
              <w:top w:val="nil"/>
              <w:left w:val="nil"/>
              <w:bottom w:val="single" w:sz="4" w:space="0" w:color="000000"/>
              <w:right w:val="single" w:sz="4" w:space="0" w:color="000000"/>
            </w:tcBorders>
            <w:shd w:val="clear" w:color="auto" w:fill="auto"/>
            <w:vAlign w:val="bottom"/>
            <w:hideMark/>
          </w:tcPr>
          <w:p w14:paraId="2DCE04D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100.00</w:t>
            </w:r>
          </w:p>
        </w:tc>
        <w:tc>
          <w:tcPr>
            <w:tcW w:w="1120" w:type="dxa"/>
            <w:tcBorders>
              <w:top w:val="nil"/>
              <w:left w:val="nil"/>
              <w:bottom w:val="single" w:sz="4" w:space="0" w:color="000000"/>
              <w:right w:val="single" w:sz="4" w:space="0" w:color="000000"/>
            </w:tcBorders>
            <w:shd w:val="clear" w:color="auto" w:fill="auto"/>
            <w:vAlign w:val="bottom"/>
            <w:hideMark/>
          </w:tcPr>
          <w:p w14:paraId="539C400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110.03</w:t>
            </w:r>
          </w:p>
        </w:tc>
        <w:tc>
          <w:tcPr>
            <w:tcW w:w="980" w:type="dxa"/>
            <w:tcBorders>
              <w:top w:val="nil"/>
              <w:left w:val="nil"/>
              <w:bottom w:val="single" w:sz="4" w:space="0" w:color="000000"/>
              <w:right w:val="single" w:sz="4" w:space="0" w:color="000000"/>
            </w:tcBorders>
            <w:shd w:val="clear" w:color="auto" w:fill="auto"/>
            <w:vAlign w:val="bottom"/>
            <w:hideMark/>
          </w:tcPr>
          <w:p w14:paraId="2C517F4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IFCTFI</w:t>
            </w:r>
          </w:p>
        </w:tc>
        <w:tc>
          <w:tcPr>
            <w:tcW w:w="1120" w:type="dxa"/>
            <w:tcBorders>
              <w:top w:val="nil"/>
              <w:left w:val="nil"/>
              <w:bottom w:val="single" w:sz="4" w:space="0" w:color="000000"/>
              <w:right w:val="single" w:sz="4" w:space="0" w:color="000000"/>
            </w:tcBorders>
            <w:shd w:val="clear" w:color="auto" w:fill="auto"/>
            <w:vAlign w:val="bottom"/>
            <w:hideMark/>
          </w:tcPr>
          <w:p w14:paraId="4D8B75E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1/7/2012</w:t>
            </w:r>
          </w:p>
        </w:tc>
        <w:tc>
          <w:tcPr>
            <w:tcW w:w="1120" w:type="dxa"/>
            <w:tcBorders>
              <w:top w:val="nil"/>
              <w:left w:val="nil"/>
              <w:bottom w:val="single" w:sz="4" w:space="0" w:color="000000"/>
              <w:right w:val="single" w:sz="8" w:space="0" w:color="auto"/>
            </w:tcBorders>
            <w:shd w:val="clear" w:color="auto" w:fill="auto"/>
            <w:vAlign w:val="bottom"/>
            <w:hideMark/>
          </w:tcPr>
          <w:p w14:paraId="7A369C2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7B96E89F"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76BD67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ECOM FTC Kenya</w:t>
            </w:r>
          </w:p>
        </w:tc>
        <w:tc>
          <w:tcPr>
            <w:tcW w:w="1120" w:type="dxa"/>
            <w:tcBorders>
              <w:top w:val="nil"/>
              <w:left w:val="nil"/>
              <w:bottom w:val="single" w:sz="4" w:space="0" w:color="000000"/>
              <w:right w:val="single" w:sz="4" w:space="0" w:color="000000"/>
            </w:tcBorders>
            <w:shd w:val="clear" w:color="auto" w:fill="auto"/>
            <w:vAlign w:val="bottom"/>
            <w:hideMark/>
          </w:tcPr>
          <w:p w14:paraId="5F102C8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133.72</w:t>
            </w:r>
          </w:p>
        </w:tc>
        <w:tc>
          <w:tcPr>
            <w:tcW w:w="1120" w:type="dxa"/>
            <w:tcBorders>
              <w:top w:val="nil"/>
              <w:left w:val="nil"/>
              <w:bottom w:val="single" w:sz="4" w:space="0" w:color="000000"/>
              <w:right w:val="single" w:sz="4" w:space="0" w:color="000000"/>
            </w:tcBorders>
            <w:shd w:val="clear" w:color="auto" w:fill="auto"/>
            <w:vAlign w:val="bottom"/>
            <w:hideMark/>
          </w:tcPr>
          <w:p w14:paraId="0A8872C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0.00</w:t>
            </w:r>
          </w:p>
        </w:tc>
        <w:tc>
          <w:tcPr>
            <w:tcW w:w="980" w:type="dxa"/>
            <w:tcBorders>
              <w:top w:val="nil"/>
              <w:left w:val="nil"/>
              <w:bottom w:val="single" w:sz="4" w:space="0" w:color="000000"/>
              <w:right w:val="single" w:sz="4" w:space="0" w:color="000000"/>
            </w:tcBorders>
            <w:shd w:val="clear" w:color="auto" w:fill="auto"/>
            <w:vAlign w:val="bottom"/>
            <w:hideMark/>
          </w:tcPr>
          <w:p w14:paraId="2FA850A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72AE30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4/20/2012</w:t>
            </w:r>
          </w:p>
        </w:tc>
        <w:tc>
          <w:tcPr>
            <w:tcW w:w="1120" w:type="dxa"/>
            <w:tcBorders>
              <w:top w:val="nil"/>
              <w:left w:val="nil"/>
              <w:bottom w:val="single" w:sz="4" w:space="0" w:color="000000"/>
              <w:right w:val="single" w:sz="8" w:space="0" w:color="auto"/>
            </w:tcBorders>
            <w:shd w:val="clear" w:color="auto" w:fill="auto"/>
            <w:vAlign w:val="bottom"/>
            <w:hideMark/>
          </w:tcPr>
          <w:p w14:paraId="7354142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42E831A4"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76719B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SSAWA</w:t>
            </w:r>
          </w:p>
        </w:tc>
        <w:tc>
          <w:tcPr>
            <w:tcW w:w="1120" w:type="dxa"/>
            <w:tcBorders>
              <w:top w:val="nil"/>
              <w:left w:val="nil"/>
              <w:bottom w:val="single" w:sz="4" w:space="0" w:color="000000"/>
              <w:right w:val="single" w:sz="4" w:space="0" w:color="000000"/>
            </w:tcBorders>
            <w:shd w:val="clear" w:color="auto" w:fill="auto"/>
            <w:vAlign w:val="bottom"/>
            <w:hideMark/>
          </w:tcPr>
          <w:p w14:paraId="7952685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122.47</w:t>
            </w:r>
          </w:p>
        </w:tc>
        <w:tc>
          <w:tcPr>
            <w:tcW w:w="1120" w:type="dxa"/>
            <w:tcBorders>
              <w:top w:val="nil"/>
              <w:left w:val="nil"/>
              <w:bottom w:val="single" w:sz="4" w:space="0" w:color="000000"/>
              <w:right w:val="single" w:sz="4" w:space="0" w:color="000000"/>
            </w:tcBorders>
            <w:shd w:val="clear" w:color="auto" w:fill="auto"/>
            <w:vAlign w:val="bottom"/>
            <w:hideMark/>
          </w:tcPr>
          <w:p w14:paraId="697A53F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0.00</w:t>
            </w:r>
          </w:p>
        </w:tc>
        <w:tc>
          <w:tcPr>
            <w:tcW w:w="980" w:type="dxa"/>
            <w:tcBorders>
              <w:top w:val="nil"/>
              <w:left w:val="nil"/>
              <w:bottom w:val="single" w:sz="4" w:space="0" w:color="000000"/>
              <w:right w:val="single" w:sz="4" w:space="0" w:color="000000"/>
            </w:tcBorders>
            <w:shd w:val="clear" w:color="auto" w:fill="auto"/>
            <w:vAlign w:val="bottom"/>
            <w:hideMark/>
          </w:tcPr>
          <w:p w14:paraId="14F3C33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6695977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4/20/2012</w:t>
            </w:r>
          </w:p>
        </w:tc>
        <w:tc>
          <w:tcPr>
            <w:tcW w:w="1120" w:type="dxa"/>
            <w:tcBorders>
              <w:top w:val="nil"/>
              <w:left w:val="nil"/>
              <w:bottom w:val="single" w:sz="4" w:space="0" w:color="000000"/>
              <w:right w:val="single" w:sz="8" w:space="0" w:color="auto"/>
            </w:tcBorders>
            <w:shd w:val="clear" w:color="auto" w:fill="auto"/>
            <w:vAlign w:val="bottom"/>
            <w:hideMark/>
          </w:tcPr>
          <w:p w14:paraId="13E13CD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22D8935E" w14:textId="77777777" w:rsidTr="00B56C1B">
        <w:trPr>
          <w:trHeight w:val="36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0C52E2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Enhancing Municipal Revenue in Nairobi</w:t>
            </w:r>
          </w:p>
        </w:tc>
        <w:tc>
          <w:tcPr>
            <w:tcW w:w="1120" w:type="dxa"/>
            <w:tcBorders>
              <w:top w:val="nil"/>
              <w:left w:val="nil"/>
              <w:bottom w:val="single" w:sz="4" w:space="0" w:color="000000"/>
              <w:right w:val="single" w:sz="4" w:space="0" w:color="000000"/>
            </w:tcBorders>
            <w:shd w:val="clear" w:color="auto" w:fill="auto"/>
            <w:vAlign w:val="bottom"/>
            <w:hideMark/>
          </w:tcPr>
          <w:p w14:paraId="078781C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74.85</w:t>
            </w:r>
          </w:p>
        </w:tc>
        <w:tc>
          <w:tcPr>
            <w:tcW w:w="1120" w:type="dxa"/>
            <w:tcBorders>
              <w:top w:val="nil"/>
              <w:left w:val="nil"/>
              <w:bottom w:val="single" w:sz="4" w:space="0" w:color="000000"/>
              <w:right w:val="single" w:sz="4" w:space="0" w:color="000000"/>
            </w:tcBorders>
            <w:shd w:val="clear" w:color="auto" w:fill="auto"/>
            <w:vAlign w:val="bottom"/>
            <w:hideMark/>
          </w:tcPr>
          <w:p w14:paraId="748993D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2.29</w:t>
            </w:r>
          </w:p>
        </w:tc>
        <w:tc>
          <w:tcPr>
            <w:tcW w:w="980" w:type="dxa"/>
            <w:tcBorders>
              <w:top w:val="nil"/>
              <w:left w:val="nil"/>
              <w:bottom w:val="single" w:sz="4" w:space="0" w:color="000000"/>
              <w:right w:val="single" w:sz="4" w:space="0" w:color="000000"/>
            </w:tcBorders>
            <w:shd w:val="clear" w:color="auto" w:fill="auto"/>
            <w:vAlign w:val="bottom"/>
            <w:hideMark/>
          </w:tcPr>
          <w:p w14:paraId="5CF8966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PPIAF</w:t>
            </w:r>
          </w:p>
        </w:tc>
        <w:tc>
          <w:tcPr>
            <w:tcW w:w="1120" w:type="dxa"/>
            <w:tcBorders>
              <w:top w:val="nil"/>
              <w:left w:val="nil"/>
              <w:bottom w:val="single" w:sz="4" w:space="0" w:color="000000"/>
              <w:right w:val="single" w:sz="4" w:space="0" w:color="000000"/>
            </w:tcBorders>
            <w:shd w:val="clear" w:color="auto" w:fill="auto"/>
            <w:vAlign w:val="bottom"/>
            <w:hideMark/>
          </w:tcPr>
          <w:p w14:paraId="47B0148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7/18/2012</w:t>
            </w:r>
          </w:p>
        </w:tc>
        <w:tc>
          <w:tcPr>
            <w:tcW w:w="1120" w:type="dxa"/>
            <w:tcBorders>
              <w:top w:val="nil"/>
              <w:left w:val="nil"/>
              <w:bottom w:val="single" w:sz="4" w:space="0" w:color="000000"/>
              <w:right w:val="single" w:sz="8" w:space="0" w:color="auto"/>
            </w:tcBorders>
            <w:shd w:val="clear" w:color="auto" w:fill="auto"/>
            <w:vAlign w:val="bottom"/>
            <w:hideMark/>
          </w:tcPr>
          <w:p w14:paraId="4910C16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12/31/2013</w:t>
            </w:r>
          </w:p>
        </w:tc>
      </w:tr>
      <w:tr w:rsidR="00064809" w:rsidRPr="007B5CDB" w14:paraId="331B9287"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699A35C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 HRITF Program Assessment</w:t>
            </w:r>
          </w:p>
        </w:tc>
        <w:tc>
          <w:tcPr>
            <w:tcW w:w="1120" w:type="dxa"/>
            <w:tcBorders>
              <w:top w:val="nil"/>
              <w:left w:val="nil"/>
              <w:bottom w:val="single" w:sz="4" w:space="0" w:color="000000"/>
              <w:right w:val="single" w:sz="4" w:space="0" w:color="000000"/>
            </w:tcBorders>
            <w:shd w:val="clear" w:color="auto" w:fill="auto"/>
            <w:vAlign w:val="bottom"/>
            <w:hideMark/>
          </w:tcPr>
          <w:p w14:paraId="5C0E92D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45.00</w:t>
            </w:r>
          </w:p>
        </w:tc>
        <w:tc>
          <w:tcPr>
            <w:tcW w:w="1120" w:type="dxa"/>
            <w:tcBorders>
              <w:top w:val="nil"/>
              <w:left w:val="nil"/>
              <w:bottom w:val="single" w:sz="4" w:space="0" w:color="000000"/>
              <w:right w:val="single" w:sz="4" w:space="0" w:color="000000"/>
            </w:tcBorders>
            <w:shd w:val="clear" w:color="auto" w:fill="auto"/>
            <w:vAlign w:val="bottom"/>
            <w:hideMark/>
          </w:tcPr>
          <w:p w14:paraId="362564F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0.00</w:t>
            </w:r>
          </w:p>
        </w:tc>
        <w:tc>
          <w:tcPr>
            <w:tcW w:w="980" w:type="dxa"/>
            <w:tcBorders>
              <w:top w:val="nil"/>
              <w:left w:val="nil"/>
              <w:bottom w:val="single" w:sz="4" w:space="0" w:color="000000"/>
              <w:right w:val="single" w:sz="4" w:space="0" w:color="000000"/>
            </w:tcBorders>
            <w:shd w:val="clear" w:color="auto" w:fill="auto"/>
            <w:vAlign w:val="bottom"/>
            <w:hideMark/>
          </w:tcPr>
          <w:p w14:paraId="539ECCB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HRBF</w:t>
            </w:r>
          </w:p>
        </w:tc>
        <w:tc>
          <w:tcPr>
            <w:tcW w:w="1120" w:type="dxa"/>
            <w:tcBorders>
              <w:top w:val="nil"/>
              <w:left w:val="nil"/>
              <w:bottom w:val="single" w:sz="4" w:space="0" w:color="000000"/>
              <w:right w:val="single" w:sz="4" w:space="0" w:color="000000"/>
            </w:tcBorders>
            <w:shd w:val="clear" w:color="auto" w:fill="auto"/>
            <w:vAlign w:val="bottom"/>
            <w:hideMark/>
          </w:tcPr>
          <w:p w14:paraId="0E206DC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8/20/2012</w:t>
            </w:r>
          </w:p>
        </w:tc>
        <w:tc>
          <w:tcPr>
            <w:tcW w:w="1120" w:type="dxa"/>
            <w:tcBorders>
              <w:top w:val="nil"/>
              <w:left w:val="nil"/>
              <w:bottom w:val="single" w:sz="4" w:space="0" w:color="000000"/>
              <w:right w:val="single" w:sz="8" w:space="0" w:color="auto"/>
            </w:tcBorders>
            <w:shd w:val="clear" w:color="auto" w:fill="auto"/>
            <w:vAlign w:val="bottom"/>
            <w:hideMark/>
          </w:tcPr>
          <w:p w14:paraId="0D2081A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12/31/2013</w:t>
            </w:r>
          </w:p>
        </w:tc>
      </w:tr>
      <w:tr w:rsidR="00064809" w:rsidRPr="007B5CDB" w14:paraId="75B23B73"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43D1263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Kenya: Supervision of Oil and Gas Framework </w:t>
            </w:r>
          </w:p>
        </w:tc>
        <w:tc>
          <w:tcPr>
            <w:tcW w:w="1120" w:type="dxa"/>
            <w:tcBorders>
              <w:top w:val="nil"/>
              <w:left w:val="nil"/>
              <w:bottom w:val="single" w:sz="4" w:space="0" w:color="000000"/>
              <w:right w:val="single" w:sz="4" w:space="0" w:color="000000"/>
            </w:tcBorders>
            <w:shd w:val="clear" w:color="auto" w:fill="auto"/>
            <w:vAlign w:val="bottom"/>
            <w:hideMark/>
          </w:tcPr>
          <w:p w14:paraId="49B4491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50.00</w:t>
            </w:r>
          </w:p>
        </w:tc>
        <w:tc>
          <w:tcPr>
            <w:tcW w:w="1120" w:type="dxa"/>
            <w:tcBorders>
              <w:top w:val="nil"/>
              <w:left w:val="nil"/>
              <w:bottom w:val="single" w:sz="4" w:space="0" w:color="000000"/>
              <w:right w:val="single" w:sz="4" w:space="0" w:color="000000"/>
            </w:tcBorders>
            <w:shd w:val="clear" w:color="auto" w:fill="auto"/>
            <w:vAlign w:val="bottom"/>
            <w:hideMark/>
          </w:tcPr>
          <w:p w14:paraId="24652F9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0.01</w:t>
            </w:r>
          </w:p>
        </w:tc>
        <w:tc>
          <w:tcPr>
            <w:tcW w:w="980" w:type="dxa"/>
            <w:tcBorders>
              <w:top w:val="nil"/>
              <w:left w:val="nil"/>
              <w:bottom w:val="single" w:sz="4" w:space="0" w:color="000000"/>
              <w:right w:val="single" w:sz="4" w:space="0" w:color="000000"/>
            </w:tcBorders>
            <w:shd w:val="clear" w:color="auto" w:fill="auto"/>
            <w:vAlign w:val="bottom"/>
            <w:hideMark/>
          </w:tcPr>
          <w:p w14:paraId="58E019E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ETAF</w:t>
            </w:r>
          </w:p>
        </w:tc>
        <w:tc>
          <w:tcPr>
            <w:tcW w:w="1120" w:type="dxa"/>
            <w:tcBorders>
              <w:top w:val="nil"/>
              <w:left w:val="nil"/>
              <w:bottom w:val="single" w:sz="4" w:space="0" w:color="000000"/>
              <w:right w:val="single" w:sz="4" w:space="0" w:color="000000"/>
            </w:tcBorders>
            <w:shd w:val="clear" w:color="auto" w:fill="auto"/>
            <w:vAlign w:val="bottom"/>
            <w:hideMark/>
          </w:tcPr>
          <w:p w14:paraId="284DE55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8/23/2012</w:t>
            </w:r>
          </w:p>
        </w:tc>
        <w:tc>
          <w:tcPr>
            <w:tcW w:w="1120" w:type="dxa"/>
            <w:tcBorders>
              <w:top w:val="nil"/>
              <w:left w:val="nil"/>
              <w:bottom w:val="single" w:sz="4" w:space="0" w:color="000000"/>
              <w:right w:val="single" w:sz="8" w:space="0" w:color="auto"/>
            </w:tcBorders>
            <w:shd w:val="clear" w:color="auto" w:fill="auto"/>
            <w:vAlign w:val="bottom"/>
            <w:hideMark/>
          </w:tcPr>
          <w:p w14:paraId="4F65211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7/31/2014</w:t>
            </w:r>
          </w:p>
        </w:tc>
      </w:tr>
      <w:tr w:rsidR="00064809" w:rsidRPr="007B5CDB" w14:paraId="697A5150"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19FA669"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Clean Cooking</w:t>
            </w:r>
          </w:p>
        </w:tc>
        <w:tc>
          <w:tcPr>
            <w:tcW w:w="1120" w:type="dxa"/>
            <w:tcBorders>
              <w:top w:val="nil"/>
              <w:left w:val="nil"/>
              <w:bottom w:val="single" w:sz="4" w:space="0" w:color="000000"/>
              <w:right w:val="single" w:sz="4" w:space="0" w:color="000000"/>
            </w:tcBorders>
            <w:shd w:val="clear" w:color="auto" w:fill="auto"/>
            <w:vAlign w:val="bottom"/>
            <w:hideMark/>
          </w:tcPr>
          <w:p w14:paraId="74BFD8E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21.94</w:t>
            </w:r>
          </w:p>
        </w:tc>
        <w:tc>
          <w:tcPr>
            <w:tcW w:w="1120" w:type="dxa"/>
            <w:tcBorders>
              <w:top w:val="nil"/>
              <w:left w:val="nil"/>
              <w:bottom w:val="single" w:sz="4" w:space="0" w:color="000000"/>
              <w:right w:val="single" w:sz="4" w:space="0" w:color="000000"/>
            </w:tcBorders>
            <w:shd w:val="clear" w:color="auto" w:fill="auto"/>
            <w:vAlign w:val="bottom"/>
            <w:hideMark/>
          </w:tcPr>
          <w:p w14:paraId="7EF09F5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7.31</w:t>
            </w:r>
          </w:p>
        </w:tc>
        <w:tc>
          <w:tcPr>
            <w:tcW w:w="980" w:type="dxa"/>
            <w:tcBorders>
              <w:top w:val="nil"/>
              <w:left w:val="nil"/>
              <w:bottom w:val="single" w:sz="4" w:space="0" w:color="000000"/>
              <w:right w:val="single" w:sz="4" w:space="0" w:color="000000"/>
            </w:tcBorders>
            <w:shd w:val="clear" w:color="auto" w:fill="auto"/>
            <w:vAlign w:val="bottom"/>
            <w:hideMark/>
          </w:tcPr>
          <w:p w14:paraId="701E621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58A4F15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9/4/2012</w:t>
            </w:r>
          </w:p>
        </w:tc>
        <w:tc>
          <w:tcPr>
            <w:tcW w:w="1120" w:type="dxa"/>
            <w:tcBorders>
              <w:top w:val="nil"/>
              <w:left w:val="nil"/>
              <w:bottom w:val="single" w:sz="4" w:space="0" w:color="000000"/>
              <w:right w:val="single" w:sz="8" w:space="0" w:color="auto"/>
            </w:tcBorders>
            <w:shd w:val="clear" w:color="auto" w:fill="auto"/>
            <w:vAlign w:val="bottom"/>
            <w:hideMark/>
          </w:tcPr>
          <w:p w14:paraId="4ACB048C"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79F20F3E"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148E5DD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JSDF ROUND 33 - Accelerating Rural Women's Access To Agricultural Markets &amp; Trade</w:t>
            </w:r>
          </w:p>
        </w:tc>
        <w:tc>
          <w:tcPr>
            <w:tcW w:w="1120" w:type="dxa"/>
            <w:tcBorders>
              <w:top w:val="nil"/>
              <w:left w:val="nil"/>
              <w:bottom w:val="single" w:sz="4" w:space="0" w:color="000000"/>
              <w:right w:val="single" w:sz="4" w:space="0" w:color="000000"/>
            </w:tcBorders>
            <w:shd w:val="clear" w:color="auto" w:fill="auto"/>
            <w:vAlign w:val="bottom"/>
            <w:hideMark/>
          </w:tcPr>
          <w:p w14:paraId="34B259D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141.50</w:t>
            </w:r>
          </w:p>
        </w:tc>
        <w:tc>
          <w:tcPr>
            <w:tcW w:w="1120" w:type="dxa"/>
            <w:tcBorders>
              <w:top w:val="nil"/>
              <w:left w:val="nil"/>
              <w:bottom w:val="single" w:sz="4" w:space="0" w:color="000000"/>
              <w:right w:val="single" w:sz="4" w:space="0" w:color="000000"/>
            </w:tcBorders>
            <w:shd w:val="clear" w:color="auto" w:fill="auto"/>
            <w:vAlign w:val="bottom"/>
            <w:hideMark/>
          </w:tcPr>
          <w:p w14:paraId="392D866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93.42</w:t>
            </w:r>
          </w:p>
        </w:tc>
        <w:tc>
          <w:tcPr>
            <w:tcW w:w="980" w:type="dxa"/>
            <w:tcBorders>
              <w:top w:val="nil"/>
              <w:left w:val="nil"/>
              <w:bottom w:val="single" w:sz="4" w:space="0" w:color="000000"/>
              <w:right w:val="single" w:sz="4" w:space="0" w:color="000000"/>
            </w:tcBorders>
            <w:shd w:val="clear" w:color="auto" w:fill="auto"/>
            <w:vAlign w:val="bottom"/>
            <w:hideMark/>
          </w:tcPr>
          <w:p w14:paraId="228A6D4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JSDF</w:t>
            </w:r>
          </w:p>
        </w:tc>
        <w:tc>
          <w:tcPr>
            <w:tcW w:w="1120" w:type="dxa"/>
            <w:tcBorders>
              <w:top w:val="nil"/>
              <w:left w:val="nil"/>
              <w:bottom w:val="single" w:sz="4" w:space="0" w:color="000000"/>
              <w:right w:val="single" w:sz="4" w:space="0" w:color="000000"/>
            </w:tcBorders>
            <w:shd w:val="clear" w:color="auto" w:fill="auto"/>
            <w:vAlign w:val="bottom"/>
            <w:hideMark/>
          </w:tcPr>
          <w:p w14:paraId="338EC4F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5/30/2012</w:t>
            </w:r>
          </w:p>
        </w:tc>
        <w:tc>
          <w:tcPr>
            <w:tcW w:w="1120" w:type="dxa"/>
            <w:tcBorders>
              <w:top w:val="nil"/>
              <w:left w:val="nil"/>
              <w:bottom w:val="single" w:sz="4" w:space="0" w:color="000000"/>
              <w:right w:val="single" w:sz="8" w:space="0" w:color="auto"/>
            </w:tcBorders>
            <w:shd w:val="clear" w:color="auto" w:fill="auto"/>
            <w:vAlign w:val="bottom"/>
            <w:hideMark/>
          </w:tcPr>
          <w:p w14:paraId="0726E37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5/30/2016</w:t>
            </w:r>
          </w:p>
        </w:tc>
      </w:tr>
      <w:tr w:rsidR="00064809" w:rsidRPr="007B5CDB" w14:paraId="2618E349"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63FBFB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 Service Delivery Indicators (SDI) Survey</w:t>
            </w:r>
          </w:p>
        </w:tc>
        <w:tc>
          <w:tcPr>
            <w:tcW w:w="1120" w:type="dxa"/>
            <w:tcBorders>
              <w:top w:val="nil"/>
              <w:left w:val="nil"/>
              <w:bottom w:val="single" w:sz="4" w:space="0" w:color="000000"/>
              <w:right w:val="single" w:sz="4" w:space="0" w:color="000000"/>
            </w:tcBorders>
            <w:shd w:val="clear" w:color="auto" w:fill="auto"/>
            <w:vAlign w:val="bottom"/>
            <w:hideMark/>
          </w:tcPr>
          <w:p w14:paraId="66ABF6E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705.35</w:t>
            </w:r>
          </w:p>
        </w:tc>
        <w:tc>
          <w:tcPr>
            <w:tcW w:w="1120" w:type="dxa"/>
            <w:tcBorders>
              <w:top w:val="nil"/>
              <w:left w:val="nil"/>
              <w:bottom w:val="single" w:sz="4" w:space="0" w:color="000000"/>
              <w:right w:val="single" w:sz="4" w:space="0" w:color="000000"/>
            </w:tcBorders>
            <w:shd w:val="clear" w:color="auto" w:fill="auto"/>
            <w:vAlign w:val="bottom"/>
            <w:hideMark/>
          </w:tcPr>
          <w:p w14:paraId="6E2BC0B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113.33</w:t>
            </w:r>
          </w:p>
        </w:tc>
        <w:tc>
          <w:tcPr>
            <w:tcW w:w="980" w:type="dxa"/>
            <w:tcBorders>
              <w:top w:val="nil"/>
              <w:left w:val="nil"/>
              <w:bottom w:val="single" w:sz="4" w:space="0" w:color="000000"/>
              <w:right w:val="single" w:sz="4" w:space="0" w:color="000000"/>
            </w:tcBorders>
            <w:shd w:val="clear" w:color="auto" w:fill="auto"/>
            <w:vAlign w:val="bottom"/>
            <w:hideMark/>
          </w:tcPr>
          <w:p w14:paraId="1F8C897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SDI</w:t>
            </w:r>
          </w:p>
        </w:tc>
        <w:tc>
          <w:tcPr>
            <w:tcW w:w="1120" w:type="dxa"/>
            <w:tcBorders>
              <w:top w:val="nil"/>
              <w:left w:val="nil"/>
              <w:bottom w:val="single" w:sz="4" w:space="0" w:color="000000"/>
              <w:right w:val="single" w:sz="4" w:space="0" w:color="000000"/>
            </w:tcBorders>
            <w:shd w:val="clear" w:color="auto" w:fill="auto"/>
            <w:vAlign w:val="bottom"/>
            <w:hideMark/>
          </w:tcPr>
          <w:p w14:paraId="6D8360F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9/13/2012</w:t>
            </w:r>
          </w:p>
        </w:tc>
        <w:tc>
          <w:tcPr>
            <w:tcW w:w="1120" w:type="dxa"/>
            <w:tcBorders>
              <w:top w:val="nil"/>
              <w:left w:val="nil"/>
              <w:bottom w:val="single" w:sz="4" w:space="0" w:color="000000"/>
              <w:right w:val="single" w:sz="8" w:space="0" w:color="auto"/>
            </w:tcBorders>
            <w:shd w:val="clear" w:color="auto" w:fill="auto"/>
            <w:vAlign w:val="bottom"/>
            <w:hideMark/>
          </w:tcPr>
          <w:p w14:paraId="642CCF4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2/28/2018</w:t>
            </w:r>
          </w:p>
        </w:tc>
      </w:tr>
      <w:tr w:rsidR="00064809" w:rsidRPr="007B5CDB" w14:paraId="10DD48B7"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23D4311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KE Oil and Gas Legal and Contractual Framework </w:t>
            </w:r>
          </w:p>
        </w:tc>
        <w:tc>
          <w:tcPr>
            <w:tcW w:w="1120" w:type="dxa"/>
            <w:tcBorders>
              <w:top w:val="nil"/>
              <w:left w:val="nil"/>
              <w:bottom w:val="single" w:sz="4" w:space="0" w:color="000000"/>
              <w:right w:val="single" w:sz="4" w:space="0" w:color="000000"/>
            </w:tcBorders>
            <w:shd w:val="clear" w:color="auto" w:fill="auto"/>
            <w:vAlign w:val="bottom"/>
            <w:hideMark/>
          </w:tcPr>
          <w:p w14:paraId="1E6C742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600.00</w:t>
            </w:r>
          </w:p>
        </w:tc>
        <w:tc>
          <w:tcPr>
            <w:tcW w:w="1120" w:type="dxa"/>
            <w:tcBorders>
              <w:top w:val="nil"/>
              <w:left w:val="nil"/>
              <w:bottom w:val="single" w:sz="4" w:space="0" w:color="000000"/>
              <w:right w:val="single" w:sz="4" w:space="0" w:color="000000"/>
            </w:tcBorders>
            <w:shd w:val="clear" w:color="auto" w:fill="auto"/>
            <w:vAlign w:val="bottom"/>
            <w:hideMark/>
          </w:tcPr>
          <w:p w14:paraId="41B107D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1.50</w:t>
            </w:r>
          </w:p>
        </w:tc>
        <w:tc>
          <w:tcPr>
            <w:tcW w:w="980" w:type="dxa"/>
            <w:tcBorders>
              <w:top w:val="nil"/>
              <w:left w:val="nil"/>
              <w:bottom w:val="single" w:sz="4" w:space="0" w:color="000000"/>
              <w:right w:val="single" w:sz="4" w:space="0" w:color="000000"/>
            </w:tcBorders>
            <w:shd w:val="clear" w:color="auto" w:fill="auto"/>
            <w:vAlign w:val="bottom"/>
            <w:hideMark/>
          </w:tcPr>
          <w:p w14:paraId="3F866666"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ETAF</w:t>
            </w:r>
          </w:p>
        </w:tc>
        <w:tc>
          <w:tcPr>
            <w:tcW w:w="1120" w:type="dxa"/>
            <w:tcBorders>
              <w:top w:val="nil"/>
              <w:left w:val="nil"/>
              <w:bottom w:val="single" w:sz="4" w:space="0" w:color="000000"/>
              <w:right w:val="single" w:sz="4" w:space="0" w:color="000000"/>
            </w:tcBorders>
            <w:shd w:val="clear" w:color="auto" w:fill="auto"/>
            <w:vAlign w:val="bottom"/>
            <w:hideMark/>
          </w:tcPr>
          <w:p w14:paraId="22131FB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9/1/2012</w:t>
            </w:r>
          </w:p>
        </w:tc>
        <w:tc>
          <w:tcPr>
            <w:tcW w:w="1120" w:type="dxa"/>
            <w:tcBorders>
              <w:top w:val="nil"/>
              <w:left w:val="nil"/>
              <w:bottom w:val="single" w:sz="4" w:space="0" w:color="000000"/>
              <w:right w:val="single" w:sz="8" w:space="0" w:color="auto"/>
            </w:tcBorders>
            <w:shd w:val="clear" w:color="auto" w:fill="auto"/>
            <w:vAlign w:val="bottom"/>
            <w:hideMark/>
          </w:tcPr>
          <w:p w14:paraId="52B5507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7/31/2014</w:t>
            </w:r>
          </w:p>
        </w:tc>
      </w:tr>
      <w:tr w:rsidR="00064809" w:rsidRPr="007B5CDB" w14:paraId="657E439F"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143B59A4"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Menengai Geothermal (Phase A)</w:t>
            </w:r>
          </w:p>
        </w:tc>
        <w:tc>
          <w:tcPr>
            <w:tcW w:w="1120" w:type="dxa"/>
            <w:tcBorders>
              <w:top w:val="nil"/>
              <w:left w:val="nil"/>
              <w:bottom w:val="single" w:sz="4" w:space="0" w:color="000000"/>
              <w:right w:val="single" w:sz="4" w:space="0" w:color="000000"/>
            </w:tcBorders>
            <w:shd w:val="clear" w:color="auto" w:fill="auto"/>
            <w:vAlign w:val="bottom"/>
            <w:hideMark/>
          </w:tcPr>
          <w:p w14:paraId="43EAB52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175.00</w:t>
            </w:r>
          </w:p>
        </w:tc>
        <w:tc>
          <w:tcPr>
            <w:tcW w:w="1120" w:type="dxa"/>
            <w:tcBorders>
              <w:top w:val="nil"/>
              <w:left w:val="nil"/>
              <w:bottom w:val="single" w:sz="4" w:space="0" w:color="000000"/>
              <w:right w:val="single" w:sz="4" w:space="0" w:color="000000"/>
            </w:tcBorders>
            <w:shd w:val="clear" w:color="auto" w:fill="auto"/>
            <w:vAlign w:val="bottom"/>
            <w:hideMark/>
          </w:tcPr>
          <w:p w14:paraId="1E348B7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93.60</w:t>
            </w:r>
          </w:p>
        </w:tc>
        <w:tc>
          <w:tcPr>
            <w:tcW w:w="980" w:type="dxa"/>
            <w:tcBorders>
              <w:top w:val="nil"/>
              <w:left w:val="nil"/>
              <w:bottom w:val="single" w:sz="4" w:space="0" w:color="000000"/>
              <w:right w:val="single" w:sz="4" w:space="0" w:color="000000"/>
            </w:tcBorders>
            <w:shd w:val="clear" w:color="auto" w:fill="auto"/>
            <w:vAlign w:val="bottom"/>
            <w:hideMark/>
          </w:tcPr>
          <w:p w14:paraId="60D5FB3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CSCFIA</w:t>
            </w:r>
          </w:p>
        </w:tc>
        <w:tc>
          <w:tcPr>
            <w:tcW w:w="1120" w:type="dxa"/>
            <w:tcBorders>
              <w:top w:val="nil"/>
              <w:left w:val="nil"/>
              <w:bottom w:val="single" w:sz="4" w:space="0" w:color="000000"/>
              <w:right w:val="single" w:sz="4" w:space="0" w:color="000000"/>
            </w:tcBorders>
            <w:shd w:val="clear" w:color="auto" w:fill="auto"/>
            <w:vAlign w:val="bottom"/>
            <w:hideMark/>
          </w:tcPr>
          <w:p w14:paraId="0C142BC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10/1/2012</w:t>
            </w:r>
          </w:p>
        </w:tc>
        <w:tc>
          <w:tcPr>
            <w:tcW w:w="1120" w:type="dxa"/>
            <w:tcBorders>
              <w:top w:val="nil"/>
              <w:left w:val="nil"/>
              <w:bottom w:val="single" w:sz="4" w:space="0" w:color="000000"/>
              <w:right w:val="single" w:sz="8" w:space="0" w:color="auto"/>
            </w:tcBorders>
            <w:shd w:val="clear" w:color="auto" w:fill="auto"/>
            <w:vAlign w:val="bottom"/>
            <w:hideMark/>
          </w:tcPr>
          <w:p w14:paraId="7CE12CB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12/21/2019</w:t>
            </w:r>
          </w:p>
        </w:tc>
      </w:tr>
      <w:tr w:rsidR="00064809" w:rsidRPr="007B5CDB" w14:paraId="7B0B2617"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37F5196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Skills Measurement Study</w:t>
            </w:r>
          </w:p>
        </w:tc>
        <w:tc>
          <w:tcPr>
            <w:tcW w:w="1120" w:type="dxa"/>
            <w:tcBorders>
              <w:top w:val="nil"/>
              <w:left w:val="nil"/>
              <w:bottom w:val="single" w:sz="4" w:space="0" w:color="000000"/>
              <w:right w:val="single" w:sz="4" w:space="0" w:color="000000"/>
            </w:tcBorders>
            <w:shd w:val="clear" w:color="auto" w:fill="auto"/>
            <w:vAlign w:val="bottom"/>
            <w:hideMark/>
          </w:tcPr>
          <w:p w14:paraId="50DD75A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150.00</w:t>
            </w:r>
          </w:p>
        </w:tc>
        <w:tc>
          <w:tcPr>
            <w:tcW w:w="1120" w:type="dxa"/>
            <w:tcBorders>
              <w:top w:val="nil"/>
              <w:left w:val="nil"/>
              <w:bottom w:val="single" w:sz="4" w:space="0" w:color="000000"/>
              <w:right w:val="single" w:sz="4" w:space="0" w:color="000000"/>
            </w:tcBorders>
            <w:shd w:val="clear" w:color="auto" w:fill="auto"/>
            <w:vAlign w:val="bottom"/>
            <w:hideMark/>
          </w:tcPr>
          <w:p w14:paraId="5AF7D96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16.12</w:t>
            </w:r>
          </w:p>
        </w:tc>
        <w:tc>
          <w:tcPr>
            <w:tcW w:w="980" w:type="dxa"/>
            <w:tcBorders>
              <w:top w:val="nil"/>
              <w:left w:val="nil"/>
              <w:bottom w:val="single" w:sz="4" w:space="0" w:color="000000"/>
              <w:right w:val="single" w:sz="4" w:space="0" w:color="000000"/>
            </w:tcBorders>
            <w:shd w:val="clear" w:color="auto" w:fill="auto"/>
            <w:vAlign w:val="bottom"/>
            <w:hideMark/>
          </w:tcPr>
          <w:p w14:paraId="715BBAF9"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JOBCRT</w:t>
            </w:r>
          </w:p>
        </w:tc>
        <w:tc>
          <w:tcPr>
            <w:tcW w:w="1120" w:type="dxa"/>
            <w:tcBorders>
              <w:top w:val="nil"/>
              <w:left w:val="nil"/>
              <w:bottom w:val="single" w:sz="4" w:space="0" w:color="000000"/>
              <w:right w:val="single" w:sz="4" w:space="0" w:color="000000"/>
            </w:tcBorders>
            <w:shd w:val="clear" w:color="auto" w:fill="auto"/>
            <w:vAlign w:val="bottom"/>
            <w:hideMark/>
          </w:tcPr>
          <w:p w14:paraId="6720E70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9/19/2012</w:t>
            </w:r>
          </w:p>
        </w:tc>
        <w:tc>
          <w:tcPr>
            <w:tcW w:w="1120" w:type="dxa"/>
            <w:tcBorders>
              <w:top w:val="nil"/>
              <w:left w:val="nil"/>
              <w:bottom w:val="single" w:sz="4" w:space="0" w:color="000000"/>
              <w:right w:val="single" w:sz="8" w:space="0" w:color="auto"/>
            </w:tcBorders>
            <w:shd w:val="clear" w:color="auto" w:fill="auto"/>
            <w:vAlign w:val="bottom"/>
            <w:hideMark/>
          </w:tcPr>
          <w:p w14:paraId="744AF7A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2/24/2014</w:t>
            </w:r>
          </w:p>
        </w:tc>
      </w:tr>
      <w:tr w:rsidR="00064809" w:rsidRPr="007B5CDB" w14:paraId="73F78CB6"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5C1468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water and sanitation OBA fund for low income urban areas- Project Preparation</w:t>
            </w:r>
          </w:p>
        </w:tc>
        <w:tc>
          <w:tcPr>
            <w:tcW w:w="1120" w:type="dxa"/>
            <w:tcBorders>
              <w:top w:val="nil"/>
              <w:left w:val="nil"/>
              <w:bottom w:val="single" w:sz="4" w:space="0" w:color="000000"/>
              <w:right w:val="single" w:sz="4" w:space="0" w:color="000000"/>
            </w:tcBorders>
            <w:shd w:val="clear" w:color="auto" w:fill="auto"/>
            <w:vAlign w:val="bottom"/>
            <w:hideMark/>
          </w:tcPr>
          <w:p w14:paraId="12BC755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98.85</w:t>
            </w:r>
          </w:p>
        </w:tc>
        <w:tc>
          <w:tcPr>
            <w:tcW w:w="1120" w:type="dxa"/>
            <w:tcBorders>
              <w:top w:val="nil"/>
              <w:left w:val="nil"/>
              <w:bottom w:val="single" w:sz="4" w:space="0" w:color="000000"/>
              <w:right w:val="single" w:sz="4" w:space="0" w:color="000000"/>
            </w:tcBorders>
            <w:shd w:val="clear" w:color="auto" w:fill="auto"/>
            <w:vAlign w:val="bottom"/>
            <w:hideMark/>
          </w:tcPr>
          <w:p w14:paraId="62EEC75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39.38</w:t>
            </w:r>
          </w:p>
        </w:tc>
        <w:tc>
          <w:tcPr>
            <w:tcW w:w="980" w:type="dxa"/>
            <w:tcBorders>
              <w:top w:val="nil"/>
              <w:left w:val="nil"/>
              <w:bottom w:val="single" w:sz="4" w:space="0" w:color="000000"/>
              <w:right w:val="single" w:sz="4" w:space="0" w:color="000000"/>
            </w:tcBorders>
            <w:shd w:val="clear" w:color="auto" w:fill="auto"/>
            <w:vAlign w:val="bottom"/>
            <w:hideMark/>
          </w:tcPr>
          <w:p w14:paraId="7D62905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GPOBA</w:t>
            </w:r>
          </w:p>
        </w:tc>
        <w:tc>
          <w:tcPr>
            <w:tcW w:w="1120" w:type="dxa"/>
            <w:tcBorders>
              <w:top w:val="nil"/>
              <w:left w:val="nil"/>
              <w:bottom w:val="single" w:sz="4" w:space="0" w:color="000000"/>
              <w:right w:val="single" w:sz="4" w:space="0" w:color="000000"/>
            </w:tcBorders>
            <w:shd w:val="clear" w:color="auto" w:fill="auto"/>
            <w:vAlign w:val="bottom"/>
            <w:hideMark/>
          </w:tcPr>
          <w:p w14:paraId="4949940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9/10/2012</w:t>
            </w:r>
          </w:p>
        </w:tc>
        <w:tc>
          <w:tcPr>
            <w:tcW w:w="1120" w:type="dxa"/>
            <w:tcBorders>
              <w:top w:val="nil"/>
              <w:left w:val="nil"/>
              <w:bottom w:val="single" w:sz="4" w:space="0" w:color="000000"/>
              <w:right w:val="single" w:sz="8" w:space="0" w:color="auto"/>
            </w:tcBorders>
            <w:shd w:val="clear" w:color="auto" w:fill="auto"/>
            <w:vAlign w:val="bottom"/>
            <w:hideMark/>
          </w:tcPr>
          <w:p w14:paraId="26C1CD8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1839F8B3"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7ADE10EF"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W1 Kenya - Supporting Selected Public Financial Management and Public Sector Capacity Building</w:t>
            </w:r>
          </w:p>
        </w:tc>
        <w:tc>
          <w:tcPr>
            <w:tcW w:w="1120" w:type="dxa"/>
            <w:tcBorders>
              <w:top w:val="nil"/>
              <w:left w:val="nil"/>
              <w:bottom w:val="single" w:sz="4" w:space="0" w:color="000000"/>
              <w:right w:val="single" w:sz="4" w:space="0" w:color="000000"/>
            </w:tcBorders>
            <w:shd w:val="clear" w:color="auto" w:fill="auto"/>
            <w:vAlign w:val="bottom"/>
            <w:hideMark/>
          </w:tcPr>
          <w:p w14:paraId="343C938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712.93</w:t>
            </w:r>
          </w:p>
        </w:tc>
        <w:tc>
          <w:tcPr>
            <w:tcW w:w="1120" w:type="dxa"/>
            <w:tcBorders>
              <w:top w:val="nil"/>
              <w:left w:val="nil"/>
              <w:bottom w:val="single" w:sz="4" w:space="0" w:color="000000"/>
              <w:right w:val="single" w:sz="4" w:space="0" w:color="000000"/>
            </w:tcBorders>
            <w:shd w:val="clear" w:color="auto" w:fill="auto"/>
            <w:vAlign w:val="bottom"/>
            <w:hideMark/>
          </w:tcPr>
          <w:p w14:paraId="12F4F29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84.74</w:t>
            </w:r>
          </w:p>
        </w:tc>
        <w:tc>
          <w:tcPr>
            <w:tcW w:w="980" w:type="dxa"/>
            <w:tcBorders>
              <w:top w:val="nil"/>
              <w:left w:val="nil"/>
              <w:bottom w:val="single" w:sz="4" w:space="0" w:color="000000"/>
              <w:right w:val="single" w:sz="4" w:space="0" w:color="000000"/>
            </w:tcBorders>
            <w:shd w:val="clear" w:color="auto" w:fill="auto"/>
            <w:vAlign w:val="bottom"/>
            <w:hideMark/>
          </w:tcPr>
          <w:p w14:paraId="5A0A91E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GPF</w:t>
            </w:r>
          </w:p>
        </w:tc>
        <w:tc>
          <w:tcPr>
            <w:tcW w:w="1120" w:type="dxa"/>
            <w:tcBorders>
              <w:top w:val="nil"/>
              <w:left w:val="nil"/>
              <w:bottom w:val="single" w:sz="4" w:space="0" w:color="000000"/>
              <w:right w:val="single" w:sz="4" w:space="0" w:color="000000"/>
            </w:tcBorders>
            <w:shd w:val="clear" w:color="auto" w:fill="auto"/>
            <w:vAlign w:val="bottom"/>
            <w:hideMark/>
          </w:tcPr>
          <w:p w14:paraId="628CDE2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11/7/2012</w:t>
            </w:r>
          </w:p>
        </w:tc>
        <w:tc>
          <w:tcPr>
            <w:tcW w:w="1120" w:type="dxa"/>
            <w:tcBorders>
              <w:top w:val="nil"/>
              <w:left w:val="nil"/>
              <w:bottom w:val="single" w:sz="4" w:space="0" w:color="000000"/>
              <w:right w:val="single" w:sz="8" w:space="0" w:color="auto"/>
            </w:tcBorders>
            <w:shd w:val="clear" w:color="auto" w:fill="auto"/>
            <w:vAlign w:val="bottom"/>
            <w:hideMark/>
          </w:tcPr>
          <w:p w14:paraId="5132783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356C8999" w14:textId="77777777" w:rsidTr="00B56C1B">
        <w:trPr>
          <w:trHeight w:val="495"/>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0306990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W1 Kenya - Citizen Engagement in Devolved Service Delivery</w:t>
            </w:r>
          </w:p>
        </w:tc>
        <w:tc>
          <w:tcPr>
            <w:tcW w:w="1120" w:type="dxa"/>
            <w:tcBorders>
              <w:top w:val="nil"/>
              <w:left w:val="nil"/>
              <w:bottom w:val="single" w:sz="4" w:space="0" w:color="000000"/>
              <w:right w:val="single" w:sz="4" w:space="0" w:color="000000"/>
            </w:tcBorders>
            <w:shd w:val="clear" w:color="auto" w:fill="auto"/>
            <w:vAlign w:val="bottom"/>
            <w:hideMark/>
          </w:tcPr>
          <w:p w14:paraId="2F29B5FA"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1,521.68</w:t>
            </w:r>
          </w:p>
        </w:tc>
        <w:tc>
          <w:tcPr>
            <w:tcW w:w="1120" w:type="dxa"/>
            <w:tcBorders>
              <w:top w:val="nil"/>
              <w:left w:val="nil"/>
              <w:bottom w:val="single" w:sz="4" w:space="0" w:color="000000"/>
              <w:right w:val="single" w:sz="4" w:space="0" w:color="000000"/>
            </w:tcBorders>
            <w:shd w:val="clear" w:color="auto" w:fill="auto"/>
            <w:vAlign w:val="bottom"/>
            <w:hideMark/>
          </w:tcPr>
          <w:p w14:paraId="6E370B24"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542.28</w:t>
            </w:r>
          </w:p>
        </w:tc>
        <w:tc>
          <w:tcPr>
            <w:tcW w:w="980" w:type="dxa"/>
            <w:tcBorders>
              <w:top w:val="nil"/>
              <w:left w:val="nil"/>
              <w:bottom w:val="single" w:sz="4" w:space="0" w:color="000000"/>
              <w:right w:val="single" w:sz="4" w:space="0" w:color="000000"/>
            </w:tcBorders>
            <w:shd w:val="clear" w:color="auto" w:fill="auto"/>
            <w:vAlign w:val="bottom"/>
            <w:hideMark/>
          </w:tcPr>
          <w:p w14:paraId="50B35452"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GPF</w:t>
            </w:r>
          </w:p>
        </w:tc>
        <w:tc>
          <w:tcPr>
            <w:tcW w:w="1120" w:type="dxa"/>
            <w:tcBorders>
              <w:top w:val="nil"/>
              <w:left w:val="nil"/>
              <w:bottom w:val="single" w:sz="4" w:space="0" w:color="000000"/>
              <w:right w:val="single" w:sz="4" w:space="0" w:color="000000"/>
            </w:tcBorders>
            <w:shd w:val="clear" w:color="auto" w:fill="auto"/>
            <w:vAlign w:val="bottom"/>
            <w:hideMark/>
          </w:tcPr>
          <w:p w14:paraId="0AB6AB8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11/19/2012</w:t>
            </w:r>
          </w:p>
        </w:tc>
        <w:tc>
          <w:tcPr>
            <w:tcW w:w="1120" w:type="dxa"/>
            <w:tcBorders>
              <w:top w:val="nil"/>
              <w:left w:val="nil"/>
              <w:bottom w:val="single" w:sz="4" w:space="0" w:color="000000"/>
              <w:right w:val="single" w:sz="8" w:space="0" w:color="auto"/>
            </w:tcBorders>
            <w:shd w:val="clear" w:color="auto" w:fill="auto"/>
            <w:vAlign w:val="bottom"/>
            <w:hideMark/>
          </w:tcPr>
          <w:p w14:paraId="1CDF167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596CCFFA"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1FE7944A"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 xml:space="preserve">W1 Kenya - Fiscal Decentralization Knowledge </w:t>
            </w:r>
          </w:p>
        </w:tc>
        <w:tc>
          <w:tcPr>
            <w:tcW w:w="1120" w:type="dxa"/>
            <w:tcBorders>
              <w:top w:val="nil"/>
              <w:left w:val="nil"/>
              <w:bottom w:val="single" w:sz="4" w:space="0" w:color="000000"/>
              <w:right w:val="single" w:sz="4" w:space="0" w:color="000000"/>
            </w:tcBorders>
            <w:shd w:val="clear" w:color="auto" w:fill="auto"/>
            <w:vAlign w:val="bottom"/>
            <w:hideMark/>
          </w:tcPr>
          <w:p w14:paraId="1230AF5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1,694.80</w:t>
            </w:r>
          </w:p>
        </w:tc>
        <w:tc>
          <w:tcPr>
            <w:tcW w:w="1120" w:type="dxa"/>
            <w:tcBorders>
              <w:top w:val="nil"/>
              <w:left w:val="nil"/>
              <w:bottom w:val="single" w:sz="4" w:space="0" w:color="000000"/>
              <w:right w:val="single" w:sz="4" w:space="0" w:color="000000"/>
            </w:tcBorders>
            <w:shd w:val="clear" w:color="auto" w:fill="auto"/>
            <w:vAlign w:val="bottom"/>
            <w:hideMark/>
          </w:tcPr>
          <w:p w14:paraId="70C2F83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431.06</w:t>
            </w:r>
          </w:p>
        </w:tc>
        <w:tc>
          <w:tcPr>
            <w:tcW w:w="980" w:type="dxa"/>
            <w:tcBorders>
              <w:top w:val="nil"/>
              <w:left w:val="nil"/>
              <w:bottom w:val="single" w:sz="4" w:space="0" w:color="000000"/>
              <w:right w:val="single" w:sz="4" w:space="0" w:color="000000"/>
            </w:tcBorders>
            <w:shd w:val="clear" w:color="auto" w:fill="auto"/>
            <w:vAlign w:val="bottom"/>
            <w:hideMark/>
          </w:tcPr>
          <w:p w14:paraId="02B83F01"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GPF</w:t>
            </w:r>
          </w:p>
        </w:tc>
        <w:tc>
          <w:tcPr>
            <w:tcW w:w="1120" w:type="dxa"/>
            <w:tcBorders>
              <w:top w:val="nil"/>
              <w:left w:val="nil"/>
              <w:bottom w:val="single" w:sz="4" w:space="0" w:color="000000"/>
              <w:right w:val="single" w:sz="4" w:space="0" w:color="000000"/>
            </w:tcBorders>
            <w:shd w:val="clear" w:color="auto" w:fill="auto"/>
            <w:vAlign w:val="bottom"/>
            <w:hideMark/>
          </w:tcPr>
          <w:p w14:paraId="7155BCB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11/7/2012</w:t>
            </w:r>
          </w:p>
        </w:tc>
        <w:tc>
          <w:tcPr>
            <w:tcW w:w="1120" w:type="dxa"/>
            <w:tcBorders>
              <w:top w:val="nil"/>
              <w:left w:val="nil"/>
              <w:bottom w:val="single" w:sz="4" w:space="0" w:color="000000"/>
              <w:right w:val="single" w:sz="8" w:space="0" w:color="auto"/>
            </w:tcBorders>
            <w:shd w:val="clear" w:color="auto" w:fill="auto"/>
            <w:vAlign w:val="bottom"/>
            <w:hideMark/>
          </w:tcPr>
          <w:p w14:paraId="0134960B"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2/28/2015</w:t>
            </w:r>
          </w:p>
        </w:tc>
      </w:tr>
      <w:tr w:rsidR="00064809" w:rsidRPr="007B5CDB" w14:paraId="5A26F1FC"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3E739B90"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Kenya’s power sector</w:t>
            </w:r>
          </w:p>
        </w:tc>
        <w:tc>
          <w:tcPr>
            <w:tcW w:w="1120" w:type="dxa"/>
            <w:tcBorders>
              <w:top w:val="nil"/>
              <w:left w:val="nil"/>
              <w:bottom w:val="single" w:sz="4" w:space="0" w:color="000000"/>
              <w:right w:val="single" w:sz="4" w:space="0" w:color="000000"/>
            </w:tcBorders>
            <w:shd w:val="clear" w:color="auto" w:fill="auto"/>
            <w:vAlign w:val="bottom"/>
            <w:hideMark/>
          </w:tcPr>
          <w:p w14:paraId="7423BE46"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150.00</w:t>
            </w:r>
          </w:p>
        </w:tc>
        <w:tc>
          <w:tcPr>
            <w:tcW w:w="1120" w:type="dxa"/>
            <w:tcBorders>
              <w:top w:val="nil"/>
              <w:left w:val="nil"/>
              <w:bottom w:val="single" w:sz="4" w:space="0" w:color="000000"/>
              <w:right w:val="single" w:sz="4" w:space="0" w:color="000000"/>
            </w:tcBorders>
            <w:shd w:val="clear" w:color="auto" w:fill="auto"/>
            <w:vAlign w:val="bottom"/>
            <w:hideMark/>
          </w:tcPr>
          <w:p w14:paraId="1A4770E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34.95</w:t>
            </w:r>
          </w:p>
        </w:tc>
        <w:tc>
          <w:tcPr>
            <w:tcW w:w="980" w:type="dxa"/>
            <w:tcBorders>
              <w:top w:val="nil"/>
              <w:left w:val="nil"/>
              <w:bottom w:val="single" w:sz="4" w:space="0" w:color="000000"/>
              <w:right w:val="single" w:sz="4" w:space="0" w:color="000000"/>
            </w:tcBorders>
            <w:shd w:val="clear" w:color="auto" w:fill="auto"/>
            <w:vAlign w:val="bottom"/>
            <w:hideMark/>
          </w:tcPr>
          <w:p w14:paraId="41C30FE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ESMAP</w:t>
            </w:r>
          </w:p>
        </w:tc>
        <w:tc>
          <w:tcPr>
            <w:tcW w:w="1120" w:type="dxa"/>
            <w:tcBorders>
              <w:top w:val="nil"/>
              <w:left w:val="nil"/>
              <w:bottom w:val="single" w:sz="4" w:space="0" w:color="000000"/>
              <w:right w:val="single" w:sz="4" w:space="0" w:color="000000"/>
            </w:tcBorders>
            <w:shd w:val="clear" w:color="auto" w:fill="auto"/>
            <w:vAlign w:val="bottom"/>
            <w:hideMark/>
          </w:tcPr>
          <w:p w14:paraId="7346F84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11/5/2012</w:t>
            </w:r>
          </w:p>
        </w:tc>
        <w:tc>
          <w:tcPr>
            <w:tcW w:w="1120" w:type="dxa"/>
            <w:tcBorders>
              <w:top w:val="nil"/>
              <w:left w:val="nil"/>
              <w:bottom w:val="single" w:sz="4" w:space="0" w:color="000000"/>
              <w:right w:val="single" w:sz="8" w:space="0" w:color="auto"/>
            </w:tcBorders>
            <w:shd w:val="clear" w:color="auto" w:fill="auto"/>
            <w:vAlign w:val="bottom"/>
            <w:hideMark/>
          </w:tcPr>
          <w:p w14:paraId="04AF74F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4/30/2014</w:t>
            </w:r>
          </w:p>
        </w:tc>
      </w:tr>
      <w:tr w:rsidR="00064809" w:rsidRPr="007B5CDB" w14:paraId="76E2DC60" w14:textId="77777777" w:rsidTr="00B56C1B">
        <w:trPr>
          <w:trHeight w:val="495"/>
          <w:jc w:val="center"/>
        </w:trPr>
        <w:tc>
          <w:tcPr>
            <w:tcW w:w="3820" w:type="dxa"/>
            <w:tcBorders>
              <w:top w:val="nil"/>
              <w:left w:val="single" w:sz="8" w:space="0" w:color="auto"/>
              <w:bottom w:val="nil"/>
              <w:right w:val="single" w:sz="4" w:space="0" w:color="000000"/>
            </w:tcBorders>
            <w:shd w:val="clear" w:color="auto" w:fill="auto"/>
            <w:vAlign w:val="bottom"/>
            <w:hideMark/>
          </w:tcPr>
          <w:p w14:paraId="231E2A9D"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Kenya DPSP Support to Innovation in Scaling Up Access to WSS for the Urban Poor (P132015)</w:t>
            </w:r>
          </w:p>
        </w:tc>
        <w:tc>
          <w:tcPr>
            <w:tcW w:w="1120" w:type="dxa"/>
            <w:tcBorders>
              <w:top w:val="nil"/>
              <w:left w:val="nil"/>
              <w:bottom w:val="nil"/>
              <w:right w:val="single" w:sz="4" w:space="0" w:color="000000"/>
            </w:tcBorders>
            <w:shd w:val="clear" w:color="auto" w:fill="auto"/>
            <w:vAlign w:val="bottom"/>
            <w:hideMark/>
          </w:tcPr>
          <w:p w14:paraId="5755893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150.00</w:t>
            </w:r>
          </w:p>
        </w:tc>
        <w:tc>
          <w:tcPr>
            <w:tcW w:w="1120" w:type="dxa"/>
            <w:tcBorders>
              <w:top w:val="nil"/>
              <w:left w:val="nil"/>
              <w:bottom w:val="nil"/>
              <w:right w:val="single" w:sz="4" w:space="0" w:color="000000"/>
            </w:tcBorders>
            <w:shd w:val="clear" w:color="auto" w:fill="auto"/>
            <w:vAlign w:val="bottom"/>
            <w:hideMark/>
          </w:tcPr>
          <w:p w14:paraId="077F2948"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30.74</w:t>
            </w:r>
          </w:p>
        </w:tc>
        <w:tc>
          <w:tcPr>
            <w:tcW w:w="980" w:type="dxa"/>
            <w:tcBorders>
              <w:top w:val="nil"/>
              <w:left w:val="nil"/>
              <w:bottom w:val="nil"/>
              <w:right w:val="single" w:sz="4" w:space="0" w:color="000000"/>
            </w:tcBorders>
            <w:shd w:val="clear" w:color="auto" w:fill="auto"/>
            <w:vAlign w:val="bottom"/>
            <w:hideMark/>
          </w:tcPr>
          <w:p w14:paraId="345F5825"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WSP</w:t>
            </w:r>
          </w:p>
        </w:tc>
        <w:tc>
          <w:tcPr>
            <w:tcW w:w="1120" w:type="dxa"/>
            <w:tcBorders>
              <w:top w:val="nil"/>
              <w:left w:val="nil"/>
              <w:bottom w:val="nil"/>
              <w:right w:val="single" w:sz="4" w:space="0" w:color="000000"/>
            </w:tcBorders>
            <w:shd w:val="clear" w:color="auto" w:fill="auto"/>
            <w:vAlign w:val="bottom"/>
            <w:hideMark/>
          </w:tcPr>
          <w:p w14:paraId="48C544A1"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12/7/2012</w:t>
            </w:r>
          </w:p>
        </w:tc>
        <w:tc>
          <w:tcPr>
            <w:tcW w:w="1120" w:type="dxa"/>
            <w:tcBorders>
              <w:top w:val="nil"/>
              <w:left w:val="nil"/>
              <w:bottom w:val="nil"/>
              <w:right w:val="single" w:sz="8" w:space="0" w:color="auto"/>
            </w:tcBorders>
            <w:shd w:val="clear" w:color="auto" w:fill="auto"/>
            <w:vAlign w:val="bottom"/>
            <w:hideMark/>
          </w:tcPr>
          <w:p w14:paraId="52E6AF6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3/31/2015</w:t>
            </w:r>
          </w:p>
        </w:tc>
      </w:tr>
      <w:tr w:rsidR="00064809" w:rsidRPr="007B5CDB" w14:paraId="22D142E7" w14:textId="77777777" w:rsidTr="00B56C1B">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82D3B4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ECOM FTC Kenya</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7A48A627"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610.00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01B146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5.31</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9E9FB4C"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05A6A9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5/2/2011</w:t>
            </w:r>
          </w:p>
        </w:tc>
        <w:tc>
          <w:tcPr>
            <w:tcW w:w="1120" w:type="dxa"/>
            <w:tcBorders>
              <w:top w:val="single" w:sz="4" w:space="0" w:color="auto"/>
              <w:left w:val="nil"/>
              <w:bottom w:val="single" w:sz="4" w:space="0" w:color="auto"/>
              <w:right w:val="single" w:sz="8" w:space="0" w:color="auto"/>
            </w:tcBorders>
            <w:shd w:val="clear" w:color="auto" w:fill="auto"/>
            <w:vAlign w:val="bottom"/>
            <w:hideMark/>
          </w:tcPr>
          <w:p w14:paraId="07B76CB0"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6/30/2014</w:t>
            </w:r>
          </w:p>
        </w:tc>
      </w:tr>
      <w:tr w:rsidR="00064809" w:rsidRPr="007B5CDB" w14:paraId="04639919" w14:textId="77777777" w:rsidTr="00B56C1B">
        <w:trPr>
          <w:trHeight w:val="300"/>
          <w:jc w:val="center"/>
        </w:trPr>
        <w:tc>
          <w:tcPr>
            <w:tcW w:w="3820" w:type="dxa"/>
            <w:tcBorders>
              <w:top w:val="nil"/>
              <w:left w:val="single" w:sz="8" w:space="0" w:color="auto"/>
              <w:bottom w:val="single" w:sz="4" w:space="0" w:color="000000"/>
              <w:right w:val="single" w:sz="4" w:space="0" w:color="000000"/>
            </w:tcBorders>
            <w:shd w:val="clear" w:color="auto" w:fill="auto"/>
            <w:vAlign w:val="bottom"/>
            <w:hideMark/>
          </w:tcPr>
          <w:p w14:paraId="51005CC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CIPA Kenya</w:t>
            </w:r>
          </w:p>
        </w:tc>
        <w:tc>
          <w:tcPr>
            <w:tcW w:w="1120" w:type="dxa"/>
            <w:tcBorders>
              <w:top w:val="nil"/>
              <w:left w:val="nil"/>
              <w:bottom w:val="single" w:sz="4" w:space="0" w:color="000000"/>
              <w:right w:val="single" w:sz="4" w:space="0" w:color="000000"/>
            </w:tcBorders>
            <w:shd w:val="clear" w:color="auto" w:fill="auto"/>
            <w:vAlign w:val="bottom"/>
            <w:hideMark/>
          </w:tcPr>
          <w:p w14:paraId="15F4155D"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33.97</w:t>
            </w:r>
          </w:p>
        </w:tc>
        <w:tc>
          <w:tcPr>
            <w:tcW w:w="1120" w:type="dxa"/>
            <w:tcBorders>
              <w:top w:val="nil"/>
              <w:left w:val="nil"/>
              <w:bottom w:val="single" w:sz="4" w:space="0" w:color="000000"/>
              <w:right w:val="single" w:sz="4" w:space="0" w:color="000000"/>
            </w:tcBorders>
            <w:shd w:val="clear" w:color="auto" w:fill="auto"/>
            <w:vAlign w:val="bottom"/>
            <w:hideMark/>
          </w:tcPr>
          <w:p w14:paraId="4FE446CF"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0.00</w:t>
            </w:r>
          </w:p>
        </w:tc>
        <w:tc>
          <w:tcPr>
            <w:tcW w:w="980" w:type="dxa"/>
            <w:tcBorders>
              <w:top w:val="nil"/>
              <w:left w:val="nil"/>
              <w:bottom w:val="single" w:sz="4" w:space="0" w:color="000000"/>
              <w:right w:val="single" w:sz="4" w:space="0" w:color="000000"/>
            </w:tcBorders>
            <w:shd w:val="clear" w:color="auto" w:fill="auto"/>
            <w:vAlign w:val="bottom"/>
            <w:hideMark/>
          </w:tcPr>
          <w:p w14:paraId="037D4B9E"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4" w:space="0" w:color="000000"/>
              <w:right w:val="single" w:sz="4" w:space="0" w:color="000000"/>
            </w:tcBorders>
            <w:shd w:val="clear" w:color="auto" w:fill="auto"/>
            <w:vAlign w:val="bottom"/>
            <w:hideMark/>
          </w:tcPr>
          <w:p w14:paraId="78CAACC2"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1/2/2013</w:t>
            </w:r>
          </w:p>
        </w:tc>
        <w:tc>
          <w:tcPr>
            <w:tcW w:w="1120" w:type="dxa"/>
            <w:tcBorders>
              <w:top w:val="nil"/>
              <w:left w:val="nil"/>
              <w:bottom w:val="single" w:sz="4" w:space="0" w:color="000000"/>
              <w:right w:val="single" w:sz="8" w:space="0" w:color="auto"/>
            </w:tcBorders>
            <w:shd w:val="clear" w:color="auto" w:fill="auto"/>
            <w:vAlign w:val="bottom"/>
            <w:hideMark/>
          </w:tcPr>
          <w:p w14:paraId="12528FCE"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6/30/2015</w:t>
            </w:r>
          </w:p>
        </w:tc>
      </w:tr>
      <w:tr w:rsidR="00064809" w:rsidRPr="007B5CDB" w14:paraId="7242E630" w14:textId="77777777" w:rsidTr="00B56C1B">
        <w:trPr>
          <w:trHeight w:val="315"/>
          <w:jc w:val="center"/>
        </w:trPr>
        <w:tc>
          <w:tcPr>
            <w:tcW w:w="3820" w:type="dxa"/>
            <w:tcBorders>
              <w:top w:val="nil"/>
              <w:left w:val="single" w:sz="8" w:space="0" w:color="auto"/>
              <w:bottom w:val="single" w:sz="8" w:space="0" w:color="auto"/>
              <w:right w:val="single" w:sz="4" w:space="0" w:color="000000"/>
            </w:tcBorders>
            <w:shd w:val="clear" w:color="auto" w:fill="auto"/>
            <w:vAlign w:val="bottom"/>
            <w:hideMark/>
          </w:tcPr>
          <w:p w14:paraId="7BF4FD97"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Competition Policy (Kenya SNICP)</w:t>
            </w:r>
          </w:p>
        </w:tc>
        <w:tc>
          <w:tcPr>
            <w:tcW w:w="1120" w:type="dxa"/>
            <w:tcBorders>
              <w:top w:val="nil"/>
              <w:left w:val="nil"/>
              <w:bottom w:val="single" w:sz="8" w:space="0" w:color="auto"/>
              <w:right w:val="single" w:sz="4" w:space="0" w:color="000000"/>
            </w:tcBorders>
            <w:shd w:val="clear" w:color="auto" w:fill="auto"/>
            <w:vAlign w:val="bottom"/>
            <w:hideMark/>
          </w:tcPr>
          <w:p w14:paraId="00B17BD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446.00</w:t>
            </w:r>
          </w:p>
        </w:tc>
        <w:tc>
          <w:tcPr>
            <w:tcW w:w="1120" w:type="dxa"/>
            <w:tcBorders>
              <w:top w:val="nil"/>
              <w:left w:val="nil"/>
              <w:bottom w:val="single" w:sz="8" w:space="0" w:color="auto"/>
              <w:right w:val="single" w:sz="4" w:space="0" w:color="000000"/>
            </w:tcBorders>
            <w:shd w:val="clear" w:color="auto" w:fill="auto"/>
            <w:vAlign w:val="bottom"/>
            <w:hideMark/>
          </w:tcPr>
          <w:p w14:paraId="33E80BC5"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240.23</w:t>
            </w:r>
          </w:p>
        </w:tc>
        <w:tc>
          <w:tcPr>
            <w:tcW w:w="980" w:type="dxa"/>
            <w:tcBorders>
              <w:top w:val="nil"/>
              <w:left w:val="nil"/>
              <w:bottom w:val="single" w:sz="8" w:space="0" w:color="auto"/>
              <w:right w:val="single" w:sz="4" w:space="0" w:color="000000"/>
            </w:tcBorders>
            <w:shd w:val="clear" w:color="auto" w:fill="auto"/>
            <w:vAlign w:val="bottom"/>
            <w:hideMark/>
          </w:tcPr>
          <w:p w14:paraId="68184E4B" w14:textId="77777777" w:rsidR="00064809" w:rsidRPr="007B5CDB" w:rsidRDefault="00064809" w:rsidP="00985F1A">
            <w:pPr>
              <w:spacing w:after="0" w:line="240" w:lineRule="auto"/>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IFC</w:t>
            </w:r>
          </w:p>
        </w:tc>
        <w:tc>
          <w:tcPr>
            <w:tcW w:w="1120" w:type="dxa"/>
            <w:tcBorders>
              <w:top w:val="nil"/>
              <w:left w:val="nil"/>
              <w:bottom w:val="single" w:sz="8" w:space="0" w:color="auto"/>
              <w:right w:val="single" w:sz="4" w:space="0" w:color="000000"/>
            </w:tcBorders>
            <w:shd w:val="clear" w:color="auto" w:fill="auto"/>
            <w:vAlign w:val="bottom"/>
            <w:hideMark/>
          </w:tcPr>
          <w:p w14:paraId="078094C3"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1/24/2013</w:t>
            </w:r>
          </w:p>
        </w:tc>
        <w:tc>
          <w:tcPr>
            <w:tcW w:w="1120" w:type="dxa"/>
            <w:tcBorders>
              <w:top w:val="nil"/>
              <w:left w:val="nil"/>
              <w:bottom w:val="single" w:sz="8" w:space="0" w:color="auto"/>
              <w:right w:val="single" w:sz="8" w:space="0" w:color="auto"/>
            </w:tcBorders>
            <w:shd w:val="clear" w:color="auto" w:fill="auto"/>
            <w:vAlign w:val="bottom"/>
            <w:hideMark/>
          </w:tcPr>
          <w:p w14:paraId="6AD7C239" w14:textId="77777777" w:rsidR="00064809" w:rsidRPr="007B5CDB" w:rsidRDefault="00064809" w:rsidP="00985F1A">
            <w:pPr>
              <w:spacing w:after="0" w:line="240" w:lineRule="auto"/>
              <w:jc w:val="right"/>
              <w:rPr>
                <w:rFonts w:ascii="Times New Roman" w:eastAsia="Times New Roman" w:hAnsi="Times New Roman" w:cs="Times New Roman"/>
                <w:color w:val="000000"/>
                <w:sz w:val="18"/>
                <w:szCs w:val="18"/>
              </w:rPr>
            </w:pPr>
            <w:r w:rsidRPr="007B5CDB">
              <w:rPr>
                <w:rFonts w:ascii="Times New Roman" w:eastAsia="Times New Roman" w:hAnsi="Times New Roman" w:cs="Times New Roman"/>
                <w:color w:val="000000"/>
                <w:sz w:val="18"/>
                <w:szCs w:val="18"/>
              </w:rPr>
              <w:t>12/31/2015</w:t>
            </w:r>
          </w:p>
        </w:tc>
      </w:tr>
    </w:tbl>
    <w:p w14:paraId="0B85A56B" w14:textId="77777777" w:rsidR="00064809" w:rsidRDefault="00064809" w:rsidP="00064809"/>
    <w:p w14:paraId="2127B597" w14:textId="77777777" w:rsidR="00064809" w:rsidRDefault="00064809" w:rsidP="00064809">
      <w:pPr>
        <w:sectPr w:rsidR="00064809" w:rsidSect="00F96822">
          <w:endnotePr>
            <w:numFmt w:val="decimal"/>
          </w:endnotePr>
          <w:pgSz w:w="12240" w:h="15840"/>
          <w:pgMar w:top="1166" w:right="1440" w:bottom="1267" w:left="990" w:header="720" w:footer="720" w:gutter="0"/>
          <w:cols w:space="720"/>
          <w:docGrid w:linePitch="360"/>
        </w:sectPr>
      </w:pPr>
    </w:p>
    <w:tbl>
      <w:tblPr>
        <w:tblW w:w="9300" w:type="dxa"/>
        <w:tblInd w:w="93" w:type="dxa"/>
        <w:tblLook w:val="04A0" w:firstRow="1" w:lastRow="0" w:firstColumn="1" w:lastColumn="0" w:noHBand="0" w:noVBand="1"/>
      </w:tblPr>
      <w:tblGrid>
        <w:gridCol w:w="3840"/>
        <w:gridCol w:w="1120"/>
        <w:gridCol w:w="1120"/>
        <w:gridCol w:w="980"/>
        <w:gridCol w:w="1120"/>
        <w:gridCol w:w="1120"/>
      </w:tblGrid>
      <w:tr w:rsidR="00064809" w:rsidRPr="002F6E9F" w14:paraId="6D329423" w14:textId="77777777" w:rsidTr="00985F1A">
        <w:trPr>
          <w:trHeight w:val="480"/>
        </w:trPr>
        <w:tc>
          <w:tcPr>
            <w:tcW w:w="3840" w:type="dxa"/>
            <w:tcBorders>
              <w:top w:val="single" w:sz="8" w:space="0" w:color="auto"/>
              <w:left w:val="single" w:sz="8" w:space="0" w:color="auto"/>
              <w:bottom w:val="single" w:sz="4" w:space="0" w:color="auto"/>
              <w:right w:val="single" w:sz="4" w:space="0" w:color="auto"/>
            </w:tcBorders>
            <w:shd w:val="clear" w:color="000000" w:fill="F2DCDB"/>
            <w:vAlign w:val="center"/>
            <w:hideMark/>
          </w:tcPr>
          <w:p w14:paraId="0B6E32C8"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lastRenderedPageBreak/>
              <w:t>Trust Fund Name</w:t>
            </w:r>
          </w:p>
        </w:tc>
        <w:tc>
          <w:tcPr>
            <w:tcW w:w="1120" w:type="dxa"/>
            <w:tcBorders>
              <w:top w:val="single" w:sz="8" w:space="0" w:color="auto"/>
              <w:left w:val="nil"/>
              <w:bottom w:val="single" w:sz="4" w:space="0" w:color="auto"/>
              <w:right w:val="single" w:sz="4" w:space="0" w:color="auto"/>
            </w:tcBorders>
            <w:shd w:val="clear" w:color="000000" w:fill="F2DCDB"/>
            <w:vAlign w:val="center"/>
            <w:hideMark/>
          </w:tcPr>
          <w:p w14:paraId="1D9EDCBA"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Approved ($,000)</w:t>
            </w:r>
          </w:p>
        </w:tc>
        <w:tc>
          <w:tcPr>
            <w:tcW w:w="1120" w:type="dxa"/>
            <w:tcBorders>
              <w:top w:val="single" w:sz="8" w:space="0" w:color="auto"/>
              <w:left w:val="nil"/>
              <w:bottom w:val="single" w:sz="4" w:space="0" w:color="auto"/>
              <w:right w:val="single" w:sz="4" w:space="0" w:color="auto"/>
            </w:tcBorders>
            <w:shd w:val="clear" w:color="000000" w:fill="F2DCDB"/>
            <w:vAlign w:val="center"/>
            <w:hideMark/>
          </w:tcPr>
          <w:p w14:paraId="72869CA4"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Available ($,000)</w:t>
            </w:r>
          </w:p>
        </w:tc>
        <w:tc>
          <w:tcPr>
            <w:tcW w:w="980" w:type="dxa"/>
            <w:tcBorders>
              <w:top w:val="single" w:sz="8" w:space="0" w:color="auto"/>
              <w:left w:val="nil"/>
              <w:bottom w:val="single" w:sz="4" w:space="0" w:color="auto"/>
              <w:right w:val="single" w:sz="4" w:space="0" w:color="auto"/>
            </w:tcBorders>
            <w:shd w:val="clear" w:color="000000" w:fill="F2DCDB"/>
            <w:vAlign w:val="center"/>
            <w:hideMark/>
          </w:tcPr>
          <w:p w14:paraId="31342DF3"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Program Source</w:t>
            </w:r>
          </w:p>
        </w:tc>
        <w:tc>
          <w:tcPr>
            <w:tcW w:w="1120" w:type="dxa"/>
            <w:tcBorders>
              <w:top w:val="single" w:sz="8" w:space="0" w:color="auto"/>
              <w:left w:val="nil"/>
              <w:bottom w:val="single" w:sz="4" w:space="0" w:color="auto"/>
              <w:right w:val="single" w:sz="4" w:space="0" w:color="auto"/>
            </w:tcBorders>
            <w:shd w:val="clear" w:color="000000" w:fill="F2DCDB"/>
            <w:vAlign w:val="center"/>
            <w:hideMark/>
          </w:tcPr>
          <w:p w14:paraId="39D38C2F"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Signing Date</w:t>
            </w:r>
          </w:p>
        </w:tc>
        <w:tc>
          <w:tcPr>
            <w:tcW w:w="1120" w:type="dxa"/>
            <w:tcBorders>
              <w:top w:val="single" w:sz="8" w:space="0" w:color="auto"/>
              <w:left w:val="nil"/>
              <w:bottom w:val="single" w:sz="4" w:space="0" w:color="auto"/>
              <w:right w:val="single" w:sz="8" w:space="0" w:color="auto"/>
            </w:tcBorders>
            <w:shd w:val="clear" w:color="000000" w:fill="F2DCDB"/>
            <w:vAlign w:val="center"/>
            <w:hideMark/>
          </w:tcPr>
          <w:p w14:paraId="03B5B6CD" w14:textId="77777777" w:rsidR="00064809" w:rsidRPr="002F6E9F" w:rsidRDefault="00064809" w:rsidP="00985F1A">
            <w:pPr>
              <w:spacing w:after="0" w:line="240" w:lineRule="auto"/>
              <w:jc w:val="center"/>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Closing Date</w:t>
            </w:r>
          </w:p>
        </w:tc>
      </w:tr>
      <w:tr w:rsidR="00064809" w:rsidRPr="002F6E9F" w14:paraId="231084F3" w14:textId="77777777" w:rsidTr="00985F1A">
        <w:trPr>
          <w:trHeight w:val="300"/>
        </w:trPr>
        <w:tc>
          <w:tcPr>
            <w:tcW w:w="9300" w:type="dxa"/>
            <w:gridSpan w:val="6"/>
            <w:tcBorders>
              <w:top w:val="single" w:sz="4" w:space="0" w:color="auto"/>
              <w:left w:val="single" w:sz="8" w:space="0" w:color="auto"/>
              <w:bottom w:val="single" w:sz="4" w:space="0" w:color="auto"/>
              <w:right w:val="single" w:sz="8" w:space="0" w:color="000000"/>
            </w:tcBorders>
            <w:shd w:val="clear" w:color="000000" w:fill="F2DCDB"/>
            <w:vAlign w:val="center"/>
            <w:hideMark/>
          </w:tcPr>
          <w:p w14:paraId="4869EF5C" w14:textId="77777777" w:rsidR="00064809" w:rsidRPr="002F6E9F" w:rsidRDefault="00064809" w:rsidP="00985F1A">
            <w:pPr>
              <w:spacing w:after="0" w:line="240" w:lineRule="auto"/>
              <w:rPr>
                <w:rFonts w:ascii="Times New Roman" w:eastAsia="Times New Roman" w:hAnsi="Times New Roman" w:cs="Times New Roman"/>
                <w:b/>
                <w:bCs/>
                <w:color w:val="000000"/>
                <w:sz w:val="18"/>
                <w:szCs w:val="18"/>
              </w:rPr>
            </w:pPr>
            <w:r w:rsidRPr="002F6E9F">
              <w:rPr>
                <w:rFonts w:ascii="Times New Roman" w:eastAsia="Times New Roman" w:hAnsi="Times New Roman" w:cs="Times New Roman"/>
                <w:b/>
                <w:bCs/>
                <w:color w:val="000000"/>
                <w:sz w:val="18"/>
                <w:szCs w:val="18"/>
              </w:rPr>
              <w:t>Recipient Executed TF's</w:t>
            </w:r>
          </w:p>
        </w:tc>
      </w:tr>
      <w:tr w:rsidR="00064809" w:rsidRPr="002F6E9F" w14:paraId="2348F2D5"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BC920AA"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Electricity Expansion Project</w:t>
            </w:r>
          </w:p>
        </w:tc>
        <w:tc>
          <w:tcPr>
            <w:tcW w:w="1120" w:type="dxa"/>
            <w:tcBorders>
              <w:top w:val="nil"/>
              <w:left w:val="nil"/>
              <w:bottom w:val="single" w:sz="4" w:space="0" w:color="auto"/>
              <w:right w:val="single" w:sz="4" w:space="0" w:color="auto"/>
            </w:tcBorders>
            <w:shd w:val="clear" w:color="auto" w:fill="auto"/>
            <w:vAlign w:val="bottom"/>
            <w:hideMark/>
          </w:tcPr>
          <w:p w14:paraId="7DF6F10C"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5,150.00</w:t>
            </w:r>
          </w:p>
        </w:tc>
        <w:tc>
          <w:tcPr>
            <w:tcW w:w="1120" w:type="dxa"/>
            <w:tcBorders>
              <w:top w:val="nil"/>
              <w:left w:val="nil"/>
              <w:bottom w:val="single" w:sz="4" w:space="0" w:color="auto"/>
              <w:right w:val="single" w:sz="4" w:space="0" w:color="auto"/>
            </w:tcBorders>
            <w:shd w:val="clear" w:color="auto" w:fill="auto"/>
            <w:vAlign w:val="bottom"/>
            <w:hideMark/>
          </w:tcPr>
          <w:p w14:paraId="058A4AA8"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5,072.10</w:t>
            </w:r>
          </w:p>
        </w:tc>
        <w:tc>
          <w:tcPr>
            <w:tcW w:w="980" w:type="dxa"/>
            <w:tcBorders>
              <w:top w:val="nil"/>
              <w:left w:val="nil"/>
              <w:bottom w:val="single" w:sz="4" w:space="0" w:color="auto"/>
              <w:right w:val="single" w:sz="4" w:space="0" w:color="auto"/>
            </w:tcBorders>
            <w:shd w:val="clear" w:color="auto" w:fill="auto"/>
            <w:vAlign w:val="bottom"/>
            <w:hideMark/>
          </w:tcPr>
          <w:p w14:paraId="255EB4B9"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GPOBA</w:t>
            </w:r>
          </w:p>
        </w:tc>
        <w:tc>
          <w:tcPr>
            <w:tcW w:w="1120" w:type="dxa"/>
            <w:tcBorders>
              <w:top w:val="nil"/>
              <w:left w:val="nil"/>
              <w:bottom w:val="single" w:sz="4" w:space="0" w:color="auto"/>
              <w:right w:val="single" w:sz="4" w:space="0" w:color="auto"/>
            </w:tcBorders>
            <w:shd w:val="clear" w:color="auto" w:fill="auto"/>
            <w:vAlign w:val="bottom"/>
            <w:hideMark/>
          </w:tcPr>
          <w:p w14:paraId="3D47DEB2"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2/20/2012</w:t>
            </w:r>
          </w:p>
        </w:tc>
        <w:tc>
          <w:tcPr>
            <w:tcW w:w="1120" w:type="dxa"/>
            <w:tcBorders>
              <w:top w:val="nil"/>
              <w:left w:val="nil"/>
              <w:bottom w:val="single" w:sz="4" w:space="0" w:color="auto"/>
              <w:right w:val="single" w:sz="8" w:space="0" w:color="auto"/>
            </w:tcBorders>
            <w:shd w:val="clear" w:color="auto" w:fill="auto"/>
            <w:vAlign w:val="bottom"/>
            <w:hideMark/>
          </w:tcPr>
          <w:p w14:paraId="0937231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6/30/2014</w:t>
            </w:r>
          </w:p>
        </w:tc>
      </w:tr>
      <w:tr w:rsidR="00064809" w:rsidRPr="002F6E9F" w14:paraId="616A7F06" w14:textId="77777777" w:rsidTr="00985F1A">
        <w:trPr>
          <w:trHeight w:val="765"/>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0989CF0"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Reviewing and Updating the National Implementation Plan under the Stockholm Convention</w:t>
            </w:r>
          </w:p>
        </w:tc>
        <w:tc>
          <w:tcPr>
            <w:tcW w:w="1120" w:type="dxa"/>
            <w:tcBorders>
              <w:top w:val="nil"/>
              <w:left w:val="nil"/>
              <w:bottom w:val="single" w:sz="4" w:space="0" w:color="auto"/>
              <w:right w:val="single" w:sz="4" w:space="0" w:color="auto"/>
            </w:tcBorders>
            <w:shd w:val="clear" w:color="auto" w:fill="auto"/>
            <w:vAlign w:val="bottom"/>
            <w:hideMark/>
          </w:tcPr>
          <w:p w14:paraId="39C96892"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172.67</w:t>
            </w:r>
          </w:p>
        </w:tc>
        <w:tc>
          <w:tcPr>
            <w:tcW w:w="1120" w:type="dxa"/>
            <w:tcBorders>
              <w:top w:val="nil"/>
              <w:left w:val="nil"/>
              <w:bottom w:val="single" w:sz="4" w:space="0" w:color="auto"/>
              <w:right w:val="single" w:sz="4" w:space="0" w:color="auto"/>
            </w:tcBorders>
            <w:shd w:val="clear" w:color="auto" w:fill="auto"/>
            <w:vAlign w:val="bottom"/>
            <w:hideMark/>
          </w:tcPr>
          <w:p w14:paraId="7EBD8A84"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69.07</w:t>
            </w:r>
          </w:p>
        </w:tc>
        <w:tc>
          <w:tcPr>
            <w:tcW w:w="980" w:type="dxa"/>
            <w:tcBorders>
              <w:top w:val="nil"/>
              <w:left w:val="nil"/>
              <w:bottom w:val="single" w:sz="4" w:space="0" w:color="auto"/>
              <w:right w:val="single" w:sz="4" w:space="0" w:color="auto"/>
            </w:tcBorders>
            <w:shd w:val="clear" w:color="auto" w:fill="auto"/>
            <w:vAlign w:val="bottom"/>
            <w:hideMark/>
          </w:tcPr>
          <w:p w14:paraId="4877F638"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GEFSIA</w:t>
            </w:r>
          </w:p>
        </w:tc>
        <w:tc>
          <w:tcPr>
            <w:tcW w:w="1120" w:type="dxa"/>
            <w:tcBorders>
              <w:top w:val="nil"/>
              <w:left w:val="nil"/>
              <w:bottom w:val="single" w:sz="4" w:space="0" w:color="auto"/>
              <w:right w:val="single" w:sz="4" w:space="0" w:color="auto"/>
            </w:tcBorders>
            <w:shd w:val="clear" w:color="auto" w:fill="auto"/>
            <w:vAlign w:val="bottom"/>
            <w:hideMark/>
          </w:tcPr>
          <w:p w14:paraId="3D2D9D62"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5/17/2012</w:t>
            </w:r>
          </w:p>
        </w:tc>
        <w:tc>
          <w:tcPr>
            <w:tcW w:w="1120" w:type="dxa"/>
            <w:tcBorders>
              <w:top w:val="nil"/>
              <w:left w:val="nil"/>
              <w:bottom w:val="single" w:sz="4" w:space="0" w:color="auto"/>
              <w:right w:val="single" w:sz="8" w:space="0" w:color="auto"/>
            </w:tcBorders>
            <w:shd w:val="clear" w:color="auto" w:fill="auto"/>
            <w:vAlign w:val="bottom"/>
            <w:hideMark/>
          </w:tcPr>
          <w:p w14:paraId="19FB86A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2/28/2014</w:t>
            </w:r>
          </w:p>
        </w:tc>
      </w:tr>
      <w:tr w:rsidR="00064809" w:rsidRPr="002F6E9F" w14:paraId="3021473C"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D9803C3"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Climate Innovation Center (RE)</w:t>
            </w:r>
          </w:p>
        </w:tc>
        <w:tc>
          <w:tcPr>
            <w:tcW w:w="1120" w:type="dxa"/>
            <w:tcBorders>
              <w:top w:val="nil"/>
              <w:left w:val="nil"/>
              <w:bottom w:val="single" w:sz="4" w:space="0" w:color="auto"/>
              <w:right w:val="single" w:sz="4" w:space="0" w:color="auto"/>
            </w:tcBorders>
            <w:shd w:val="clear" w:color="auto" w:fill="auto"/>
            <w:vAlign w:val="bottom"/>
            <w:hideMark/>
          </w:tcPr>
          <w:p w14:paraId="5BD52FF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4,500.00</w:t>
            </w:r>
          </w:p>
        </w:tc>
        <w:tc>
          <w:tcPr>
            <w:tcW w:w="1120" w:type="dxa"/>
            <w:tcBorders>
              <w:top w:val="nil"/>
              <w:left w:val="nil"/>
              <w:bottom w:val="single" w:sz="4" w:space="0" w:color="auto"/>
              <w:right w:val="single" w:sz="4" w:space="0" w:color="auto"/>
            </w:tcBorders>
            <w:shd w:val="clear" w:color="auto" w:fill="auto"/>
            <w:vAlign w:val="bottom"/>
            <w:hideMark/>
          </w:tcPr>
          <w:p w14:paraId="1C9E3F0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2,520.86</w:t>
            </w:r>
          </w:p>
        </w:tc>
        <w:tc>
          <w:tcPr>
            <w:tcW w:w="980" w:type="dxa"/>
            <w:tcBorders>
              <w:top w:val="nil"/>
              <w:left w:val="nil"/>
              <w:bottom w:val="single" w:sz="4" w:space="0" w:color="auto"/>
              <w:right w:val="single" w:sz="4" w:space="0" w:color="auto"/>
            </w:tcBorders>
            <w:shd w:val="clear" w:color="auto" w:fill="auto"/>
            <w:vAlign w:val="bottom"/>
            <w:hideMark/>
          </w:tcPr>
          <w:p w14:paraId="7DE47B4E"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INFOD</w:t>
            </w:r>
          </w:p>
        </w:tc>
        <w:tc>
          <w:tcPr>
            <w:tcW w:w="1120" w:type="dxa"/>
            <w:tcBorders>
              <w:top w:val="nil"/>
              <w:left w:val="nil"/>
              <w:bottom w:val="single" w:sz="4" w:space="0" w:color="auto"/>
              <w:right w:val="single" w:sz="4" w:space="0" w:color="auto"/>
            </w:tcBorders>
            <w:shd w:val="clear" w:color="auto" w:fill="auto"/>
            <w:vAlign w:val="bottom"/>
            <w:hideMark/>
          </w:tcPr>
          <w:p w14:paraId="415B4D08"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5/15/2012</w:t>
            </w:r>
          </w:p>
        </w:tc>
        <w:tc>
          <w:tcPr>
            <w:tcW w:w="1120" w:type="dxa"/>
            <w:tcBorders>
              <w:top w:val="nil"/>
              <w:left w:val="nil"/>
              <w:bottom w:val="single" w:sz="4" w:space="0" w:color="auto"/>
              <w:right w:val="single" w:sz="8" w:space="0" w:color="auto"/>
            </w:tcBorders>
            <w:shd w:val="clear" w:color="auto" w:fill="auto"/>
            <w:vAlign w:val="bottom"/>
            <w:hideMark/>
          </w:tcPr>
          <w:p w14:paraId="66A702BF"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5/15/2016</w:t>
            </w:r>
          </w:p>
        </w:tc>
      </w:tr>
      <w:tr w:rsidR="00064809" w:rsidRPr="002F6E9F" w14:paraId="5B0A1FCF" w14:textId="77777777" w:rsidTr="00985F1A">
        <w:trPr>
          <w:trHeight w:val="582"/>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07B68737"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ROUND 33 - Kenya - Accelerating Rural Women's Access to Agricultural Markets and Trade</w:t>
            </w:r>
          </w:p>
        </w:tc>
        <w:tc>
          <w:tcPr>
            <w:tcW w:w="1120" w:type="dxa"/>
            <w:tcBorders>
              <w:top w:val="nil"/>
              <w:left w:val="nil"/>
              <w:bottom w:val="single" w:sz="4" w:space="0" w:color="auto"/>
              <w:right w:val="single" w:sz="4" w:space="0" w:color="auto"/>
            </w:tcBorders>
            <w:shd w:val="clear" w:color="auto" w:fill="auto"/>
            <w:vAlign w:val="bottom"/>
            <w:hideMark/>
          </w:tcPr>
          <w:p w14:paraId="006E083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2,858.50</w:t>
            </w:r>
          </w:p>
        </w:tc>
        <w:tc>
          <w:tcPr>
            <w:tcW w:w="1120" w:type="dxa"/>
            <w:tcBorders>
              <w:top w:val="nil"/>
              <w:left w:val="nil"/>
              <w:bottom w:val="single" w:sz="4" w:space="0" w:color="auto"/>
              <w:right w:val="single" w:sz="4" w:space="0" w:color="auto"/>
            </w:tcBorders>
            <w:shd w:val="clear" w:color="auto" w:fill="auto"/>
            <w:vAlign w:val="bottom"/>
            <w:hideMark/>
          </w:tcPr>
          <w:p w14:paraId="183E31E0"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2,283.10</w:t>
            </w:r>
          </w:p>
        </w:tc>
        <w:tc>
          <w:tcPr>
            <w:tcW w:w="980" w:type="dxa"/>
            <w:tcBorders>
              <w:top w:val="nil"/>
              <w:left w:val="nil"/>
              <w:bottom w:val="single" w:sz="4" w:space="0" w:color="auto"/>
              <w:right w:val="single" w:sz="4" w:space="0" w:color="auto"/>
            </w:tcBorders>
            <w:shd w:val="clear" w:color="auto" w:fill="auto"/>
            <w:vAlign w:val="bottom"/>
            <w:hideMark/>
          </w:tcPr>
          <w:p w14:paraId="250C1693"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JSDF</w:t>
            </w:r>
          </w:p>
        </w:tc>
        <w:tc>
          <w:tcPr>
            <w:tcW w:w="1120" w:type="dxa"/>
            <w:tcBorders>
              <w:top w:val="nil"/>
              <w:left w:val="nil"/>
              <w:bottom w:val="single" w:sz="4" w:space="0" w:color="auto"/>
              <w:right w:val="single" w:sz="4" w:space="0" w:color="auto"/>
            </w:tcBorders>
            <w:shd w:val="clear" w:color="auto" w:fill="auto"/>
            <w:vAlign w:val="bottom"/>
            <w:hideMark/>
          </w:tcPr>
          <w:p w14:paraId="5BCACD38"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5/30/2012</w:t>
            </w:r>
          </w:p>
        </w:tc>
        <w:tc>
          <w:tcPr>
            <w:tcW w:w="1120" w:type="dxa"/>
            <w:tcBorders>
              <w:top w:val="nil"/>
              <w:left w:val="nil"/>
              <w:bottom w:val="single" w:sz="4" w:space="0" w:color="auto"/>
              <w:right w:val="single" w:sz="8" w:space="0" w:color="auto"/>
            </w:tcBorders>
            <w:shd w:val="clear" w:color="auto" w:fill="auto"/>
            <w:vAlign w:val="bottom"/>
            <w:hideMark/>
          </w:tcPr>
          <w:p w14:paraId="0E2FCE4D"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5/30/2016</w:t>
            </w:r>
          </w:p>
        </w:tc>
      </w:tr>
      <w:tr w:rsidR="00064809" w:rsidRPr="002F6E9F" w14:paraId="735EB726" w14:textId="77777777" w:rsidTr="00985F1A">
        <w:trPr>
          <w:trHeight w:val="582"/>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2E733F1D"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IDF Strengthening the Use of Country Safeguards Systems</w:t>
            </w:r>
          </w:p>
        </w:tc>
        <w:tc>
          <w:tcPr>
            <w:tcW w:w="1120" w:type="dxa"/>
            <w:tcBorders>
              <w:top w:val="nil"/>
              <w:left w:val="nil"/>
              <w:bottom w:val="single" w:sz="4" w:space="0" w:color="auto"/>
              <w:right w:val="single" w:sz="4" w:space="0" w:color="auto"/>
            </w:tcBorders>
            <w:shd w:val="clear" w:color="auto" w:fill="auto"/>
            <w:vAlign w:val="bottom"/>
            <w:hideMark/>
          </w:tcPr>
          <w:p w14:paraId="1648F92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487.88</w:t>
            </w:r>
          </w:p>
        </w:tc>
        <w:tc>
          <w:tcPr>
            <w:tcW w:w="1120" w:type="dxa"/>
            <w:tcBorders>
              <w:top w:val="nil"/>
              <w:left w:val="nil"/>
              <w:bottom w:val="single" w:sz="4" w:space="0" w:color="auto"/>
              <w:right w:val="single" w:sz="4" w:space="0" w:color="auto"/>
            </w:tcBorders>
            <w:shd w:val="clear" w:color="auto" w:fill="auto"/>
            <w:vAlign w:val="bottom"/>
            <w:hideMark/>
          </w:tcPr>
          <w:p w14:paraId="088A264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487.88</w:t>
            </w:r>
          </w:p>
        </w:tc>
        <w:tc>
          <w:tcPr>
            <w:tcW w:w="980" w:type="dxa"/>
            <w:tcBorders>
              <w:top w:val="nil"/>
              <w:left w:val="nil"/>
              <w:bottom w:val="single" w:sz="4" w:space="0" w:color="auto"/>
              <w:right w:val="single" w:sz="4" w:space="0" w:color="auto"/>
            </w:tcBorders>
            <w:shd w:val="clear" w:color="auto" w:fill="auto"/>
            <w:vAlign w:val="bottom"/>
            <w:hideMark/>
          </w:tcPr>
          <w:p w14:paraId="36EC4478"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IDF</w:t>
            </w:r>
          </w:p>
        </w:tc>
        <w:tc>
          <w:tcPr>
            <w:tcW w:w="1120" w:type="dxa"/>
            <w:tcBorders>
              <w:top w:val="nil"/>
              <w:left w:val="nil"/>
              <w:bottom w:val="single" w:sz="4" w:space="0" w:color="auto"/>
              <w:right w:val="single" w:sz="4" w:space="0" w:color="auto"/>
            </w:tcBorders>
            <w:shd w:val="clear" w:color="auto" w:fill="auto"/>
            <w:vAlign w:val="bottom"/>
            <w:hideMark/>
          </w:tcPr>
          <w:p w14:paraId="210B8A0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5/13/2013</w:t>
            </w:r>
          </w:p>
        </w:tc>
        <w:tc>
          <w:tcPr>
            <w:tcW w:w="1120" w:type="dxa"/>
            <w:tcBorders>
              <w:top w:val="nil"/>
              <w:left w:val="nil"/>
              <w:bottom w:val="single" w:sz="4" w:space="0" w:color="auto"/>
              <w:right w:val="single" w:sz="8" w:space="0" w:color="auto"/>
            </w:tcBorders>
            <w:shd w:val="clear" w:color="auto" w:fill="auto"/>
            <w:vAlign w:val="bottom"/>
            <w:hideMark/>
          </w:tcPr>
          <w:p w14:paraId="52BB37F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5/13/2016</w:t>
            </w:r>
          </w:p>
        </w:tc>
      </w:tr>
      <w:tr w:rsidR="00064809" w:rsidRPr="002F6E9F" w14:paraId="7B3DBBC0"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13A52465"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Strengthening the Accounting Profession in Kenya</w:t>
            </w:r>
          </w:p>
        </w:tc>
        <w:tc>
          <w:tcPr>
            <w:tcW w:w="1120" w:type="dxa"/>
            <w:tcBorders>
              <w:top w:val="nil"/>
              <w:left w:val="nil"/>
              <w:bottom w:val="single" w:sz="4" w:space="0" w:color="auto"/>
              <w:right w:val="single" w:sz="4" w:space="0" w:color="auto"/>
            </w:tcBorders>
            <w:shd w:val="clear" w:color="auto" w:fill="auto"/>
            <w:vAlign w:val="bottom"/>
            <w:hideMark/>
          </w:tcPr>
          <w:p w14:paraId="4171E645"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698.00</w:t>
            </w:r>
          </w:p>
        </w:tc>
        <w:tc>
          <w:tcPr>
            <w:tcW w:w="1120" w:type="dxa"/>
            <w:tcBorders>
              <w:top w:val="nil"/>
              <w:left w:val="nil"/>
              <w:bottom w:val="single" w:sz="4" w:space="0" w:color="auto"/>
              <w:right w:val="single" w:sz="4" w:space="0" w:color="auto"/>
            </w:tcBorders>
            <w:shd w:val="clear" w:color="auto" w:fill="auto"/>
            <w:vAlign w:val="bottom"/>
            <w:hideMark/>
          </w:tcPr>
          <w:p w14:paraId="499BCC05"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698.00</w:t>
            </w:r>
          </w:p>
        </w:tc>
        <w:tc>
          <w:tcPr>
            <w:tcW w:w="980" w:type="dxa"/>
            <w:tcBorders>
              <w:top w:val="nil"/>
              <w:left w:val="nil"/>
              <w:bottom w:val="single" w:sz="4" w:space="0" w:color="auto"/>
              <w:right w:val="single" w:sz="4" w:space="0" w:color="auto"/>
            </w:tcBorders>
            <w:shd w:val="clear" w:color="auto" w:fill="auto"/>
            <w:vAlign w:val="bottom"/>
            <w:hideMark/>
          </w:tcPr>
          <w:p w14:paraId="78EEA551"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IDF</w:t>
            </w:r>
          </w:p>
        </w:tc>
        <w:tc>
          <w:tcPr>
            <w:tcW w:w="1120" w:type="dxa"/>
            <w:tcBorders>
              <w:top w:val="nil"/>
              <w:left w:val="nil"/>
              <w:bottom w:val="single" w:sz="4" w:space="0" w:color="auto"/>
              <w:right w:val="single" w:sz="4" w:space="0" w:color="auto"/>
            </w:tcBorders>
            <w:shd w:val="clear" w:color="auto" w:fill="auto"/>
            <w:vAlign w:val="bottom"/>
            <w:hideMark/>
          </w:tcPr>
          <w:p w14:paraId="76491BE5"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1/27/2014</w:t>
            </w:r>
          </w:p>
        </w:tc>
        <w:tc>
          <w:tcPr>
            <w:tcW w:w="1120" w:type="dxa"/>
            <w:tcBorders>
              <w:top w:val="nil"/>
              <w:left w:val="nil"/>
              <w:bottom w:val="single" w:sz="4" w:space="0" w:color="auto"/>
              <w:right w:val="single" w:sz="8" w:space="0" w:color="auto"/>
            </w:tcBorders>
            <w:shd w:val="clear" w:color="auto" w:fill="auto"/>
            <w:vAlign w:val="bottom"/>
            <w:hideMark/>
          </w:tcPr>
          <w:p w14:paraId="6DC0099D"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1/27/2017</w:t>
            </w:r>
          </w:p>
        </w:tc>
      </w:tr>
      <w:tr w:rsidR="00064809" w:rsidRPr="002F6E9F" w14:paraId="2D8B2977"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0A58AE5D"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Green Belt Movement</w:t>
            </w:r>
          </w:p>
        </w:tc>
        <w:tc>
          <w:tcPr>
            <w:tcW w:w="1120" w:type="dxa"/>
            <w:tcBorders>
              <w:top w:val="nil"/>
              <w:left w:val="nil"/>
              <w:bottom w:val="single" w:sz="4" w:space="0" w:color="auto"/>
              <w:right w:val="single" w:sz="4" w:space="0" w:color="auto"/>
            </w:tcBorders>
            <w:shd w:val="clear" w:color="auto" w:fill="auto"/>
            <w:vAlign w:val="bottom"/>
            <w:hideMark/>
          </w:tcPr>
          <w:p w14:paraId="0725D1C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50ED3DF2"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0.00</w:t>
            </w:r>
          </w:p>
        </w:tc>
        <w:tc>
          <w:tcPr>
            <w:tcW w:w="980" w:type="dxa"/>
            <w:tcBorders>
              <w:top w:val="nil"/>
              <w:left w:val="nil"/>
              <w:bottom w:val="single" w:sz="4" w:space="0" w:color="auto"/>
              <w:right w:val="single" w:sz="4" w:space="0" w:color="auto"/>
            </w:tcBorders>
            <w:shd w:val="clear" w:color="auto" w:fill="auto"/>
            <w:vAlign w:val="bottom"/>
            <w:hideMark/>
          </w:tcPr>
          <w:p w14:paraId="386E3C6A"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CARBON</w:t>
            </w:r>
          </w:p>
        </w:tc>
        <w:tc>
          <w:tcPr>
            <w:tcW w:w="1120" w:type="dxa"/>
            <w:tcBorders>
              <w:top w:val="nil"/>
              <w:left w:val="nil"/>
              <w:bottom w:val="single" w:sz="4" w:space="0" w:color="auto"/>
              <w:right w:val="single" w:sz="4" w:space="0" w:color="auto"/>
            </w:tcBorders>
            <w:shd w:val="clear" w:color="auto" w:fill="auto"/>
            <w:vAlign w:val="bottom"/>
            <w:hideMark/>
          </w:tcPr>
          <w:p w14:paraId="78107DA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11/15/2006</w:t>
            </w:r>
          </w:p>
        </w:tc>
        <w:tc>
          <w:tcPr>
            <w:tcW w:w="1120" w:type="dxa"/>
            <w:tcBorders>
              <w:top w:val="nil"/>
              <w:left w:val="nil"/>
              <w:bottom w:val="single" w:sz="4" w:space="0" w:color="auto"/>
              <w:right w:val="single" w:sz="8" w:space="0" w:color="auto"/>
            </w:tcBorders>
            <w:shd w:val="clear" w:color="auto" w:fill="auto"/>
            <w:vAlign w:val="bottom"/>
            <w:hideMark/>
          </w:tcPr>
          <w:p w14:paraId="2BB08280"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12/31/2018</w:t>
            </w:r>
          </w:p>
        </w:tc>
      </w:tr>
      <w:tr w:rsidR="00064809" w:rsidRPr="002F6E9F" w14:paraId="53B90149"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EC28037"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Olkaria II Geothermal Expansion Project</w:t>
            </w:r>
          </w:p>
        </w:tc>
        <w:tc>
          <w:tcPr>
            <w:tcW w:w="1120" w:type="dxa"/>
            <w:tcBorders>
              <w:top w:val="nil"/>
              <w:left w:val="nil"/>
              <w:bottom w:val="single" w:sz="4" w:space="0" w:color="auto"/>
              <w:right w:val="single" w:sz="4" w:space="0" w:color="auto"/>
            </w:tcBorders>
            <w:shd w:val="clear" w:color="auto" w:fill="auto"/>
            <w:vAlign w:val="bottom"/>
            <w:hideMark/>
          </w:tcPr>
          <w:p w14:paraId="16BD8A7C"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4,518.45</w:t>
            </w:r>
          </w:p>
        </w:tc>
        <w:tc>
          <w:tcPr>
            <w:tcW w:w="1120" w:type="dxa"/>
            <w:tcBorders>
              <w:top w:val="nil"/>
              <w:left w:val="nil"/>
              <w:bottom w:val="single" w:sz="4" w:space="0" w:color="auto"/>
              <w:right w:val="single" w:sz="4" w:space="0" w:color="auto"/>
            </w:tcBorders>
            <w:shd w:val="clear" w:color="auto" w:fill="auto"/>
            <w:vAlign w:val="bottom"/>
            <w:hideMark/>
          </w:tcPr>
          <w:p w14:paraId="00767BFC"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21.99</w:t>
            </w:r>
          </w:p>
        </w:tc>
        <w:tc>
          <w:tcPr>
            <w:tcW w:w="980" w:type="dxa"/>
            <w:tcBorders>
              <w:top w:val="nil"/>
              <w:left w:val="nil"/>
              <w:bottom w:val="single" w:sz="4" w:space="0" w:color="auto"/>
              <w:right w:val="single" w:sz="4" w:space="0" w:color="auto"/>
            </w:tcBorders>
            <w:shd w:val="clear" w:color="auto" w:fill="auto"/>
            <w:vAlign w:val="bottom"/>
            <w:hideMark/>
          </w:tcPr>
          <w:p w14:paraId="5C7F2A38"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CARBON</w:t>
            </w:r>
          </w:p>
        </w:tc>
        <w:tc>
          <w:tcPr>
            <w:tcW w:w="1120" w:type="dxa"/>
            <w:tcBorders>
              <w:top w:val="nil"/>
              <w:left w:val="nil"/>
              <w:bottom w:val="single" w:sz="4" w:space="0" w:color="auto"/>
              <w:right w:val="single" w:sz="4" w:space="0" w:color="auto"/>
            </w:tcBorders>
            <w:shd w:val="clear" w:color="auto" w:fill="auto"/>
            <w:vAlign w:val="bottom"/>
            <w:hideMark/>
          </w:tcPr>
          <w:p w14:paraId="15837E9D"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11/14/2006</w:t>
            </w:r>
          </w:p>
        </w:tc>
        <w:tc>
          <w:tcPr>
            <w:tcW w:w="1120" w:type="dxa"/>
            <w:tcBorders>
              <w:top w:val="nil"/>
              <w:left w:val="nil"/>
              <w:bottom w:val="single" w:sz="4" w:space="0" w:color="auto"/>
              <w:right w:val="single" w:sz="8" w:space="0" w:color="auto"/>
            </w:tcBorders>
            <w:shd w:val="clear" w:color="auto" w:fill="auto"/>
            <w:vAlign w:val="bottom"/>
            <w:hideMark/>
          </w:tcPr>
          <w:p w14:paraId="709D0AEC"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12/31/2018</w:t>
            </w:r>
          </w:p>
        </w:tc>
      </w:tr>
      <w:tr w:rsidR="00064809" w:rsidRPr="002F6E9F" w14:paraId="794724DC"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7B73299A"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Optimization of Kiambere Power Station Project</w:t>
            </w:r>
          </w:p>
        </w:tc>
        <w:tc>
          <w:tcPr>
            <w:tcW w:w="1120" w:type="dxa"/>
            <w:tcBorders>
              <w:top w:val="nil"/>
              <w:left w:val="nil"/>
              <w:bottom w:val="single" w:sz="4" w:space="0" w:color="auto"/>
              <w:right w:val="single" w:sz="4" w:space="0" w:color="auto"/>
            </w:tcBorders>
            <w:shd w:val="clear" w:color="auto" w:fill="auto"/>
            <w:vAlign w:val="bottom"/>
            <w:hideMark/>
          </w:tcPr>
          <w:p w14:paraId="0C100238"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130.15</w:t>
            </w:r>
          </w:p>
        </w:tc>
        <w:tc>
          <w:tcPr>
            <w:tcW w:w="1120" w:type="dxa"/>
            <w:tcBorders>
              <w:top w:val="nil"/>
              <w:left w:val="nil"/>
              <w:bottom w:val="single" w:sz="4" w:space="0" w:color="auto"/>
              <w:right w:val="single" w:sz="4" w:space="0" w:color="auto"/>
            </w:tcBorders>
            <w:shd w:val="clear" w:color="auto" w:fill="auto"/>
            <w:vAlign w:val="bottom"/>
            <w:hideMark/>
          </w:tcPr>
          <w:p w14:paraId="5D31C8D4"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0.26</w:t>
            </w:r>
          </w:p>
        </w:tc>
        <w:tc>
          <w:tcPr>
            <w:tcW w:w="980" w:type="dxa"/>
            <w:tcBorders>
              <w:top w:val="nil"/>
              <w:left w:val="nil"/>
              <w:bottom w:val="single" w:sz="4" w:space="0" w:color="auto"/>
              <w:right w:val="single" w:sz="4" w:space="0" w:color="auto"/>
            </w:tcBorders>
            <w:shd w:val="clear" w:color="auto" w:fill="auto"/>
            <w:vAlign w:val="bottom"/>
            <w:hideMark/>
          </w:tcPr>
          <w:p w14:paraId="59F2467B"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CARBON</w:t>
            </w:r>
          </w:p>
        </w:tc>
        <w:tc>
          <w:tcPr>
            <w:tcW w:w="1120" w:type="dxa"/>
            <w:tcBorders>
              <w:top w:val="nil"/>
              <w:left w:val="nil"/>
              <w:bottom w:val="single" w:sz="4" w:space="0" w:color="auto"/>
              <w:right w:val="single" w:sz="4" w:space="0" w:color="auto"/>
            </w:tcBorders>
            <w:shd w:val="clear" w:color="auto" w:fill="auto"/>
            <w:vAlign w:val="bottom"/>
            <w:hideMark/>
          </w:tcPr>
          <w:p w14:paraId="3E86B1E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7/30/2007</w:t>
            </w:r>
          </w:p>
        </w:tc>
        <w:tc>
          <w:tcPr>
            <w:tcW w:w="1120" w:type="dxa"/>
            <w:tcBorders>
              <w:top w:val="nil"/>
              <w:left w:val="nil"/>
              <w:bottom w:val="single" w:sz="4" w:space="0" w:color="auto"/>
              <w:right w:val="single" w:sz="8" w:space="0" w:color="auto"/>
            </w:tcBorders>
            <w:shd w:val="clear" w:color="auto" w:fill="auto"/>
            <w:vAlign w:val="bottom"/>
            <w:hideMark/>
          </w:tcPr>
          <w:p w14:paraId="5062CC5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12/31/2018</w:t>
            </w:r>
          </w:p>
        </w:tc>
      </w:tr>
      <w:tr w:rsidR="00064809" w:rsidRPr="002F6E9F" w14:paraId="26180472" w14:textId="77777777" w:rsidTr="00985F1A">
        <w:trPr>
          <w:trHeight w:val="582"/>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395E0FA6"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Kengen Re-development of Tana Power Station Project</w:t>
            </w:r>
          </w:p>
        </w:tc>
        <w:tc>
          <w:tcPr>
            <w:tcW w:w="1120" w:type="dxa"/>
            <w:tcBorders>
              <w:top w:val="nil"/>
              <w:left w:val="nil"/>
              <w:bottom w:val="single" w:sz="4" w:space="0" w:color="auto"/>
              <w:right w:val="single" w:sz="4" w:space="0" w:color="auto"/>
            </w:tcBorders>
            <w:shd w:val="clear" w:color="auto" w:fill="auto"/>
            <w:vAlign w:val="bottom"/>
            <w:hideMark/>
          </w:tcPr>
          <w:p w14:paraId="688B135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873.93</w:t>
            </w:r>
          </w:p>
        </w:tc>
        <w:tc>
          <w:tcPr>
            <w:tcW w:w="1120" w:type="dxa"/>
            <w:tcBorders>
              <w:top w:val="nil"/>
              <w:left w:val="nil"/>
              <w:bottom w:val="single" w:sz="4" w:space="0" w:color="auto"/>
              <w:right w:val="single" w:sz="4" w:space="0" w:color="auto"/>
            </w:tcBorders>
            <w:shd w:val="clear" w:color="auto" w:fill="auto"/>
            <w:vAlign w:val="bottom"/>
            <w:hideMark/>
          </w:tcPr>
          <w:p w14:paraId="3A72E29A"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0.00</w:t>
            </w:r>
          </w:p>
        </w:tc>
        <w:tc>
          <w:tcPr>
            <w:tcW w:w="980" w:type="dxa"/>
            <w:tcBorders>
              <w:top w:val="nil"/>
              <w:left w:val="nil"/>
              <w:bottom w:val="single" w:sz="4" w:space="0" w:color="auto"/>
              <w:right w:val="single" w:sz="4" w:space="0" w:color="auto"/>
            </w:tcBorders>
            <w:shd w:val="clear" w:color="auto" w:fill="auto"/>
            <w:vAlign w:val="bottom"/>
            <w:hideMark/>
          </w:tcPr>
          <w:p w14:paraId="646C0589"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CARBON</w:t>
            </w:r>
          </w:p>
        </w:tc>
        <w:tc>
          <w:tcPr>
            <w:tcW w:w="1120" w:type="dxa"/>
            <w:tcBorders>
              <w:top w:val="nil"/>
              <w:left w:val="nil"/>
              <w:bottom w:val="single" w:sz="4" w:space="0" w:color="auto"/>
              <w:right w:val="single" w:sz="4" w:space="0" w:color="auto"/>
            </w:tcBorders>
            <w:shd w:val="clear" w:color="auto" w:fill="auto"/>
            <w:vAlign w:val="bottom"/>
            <w:hideMark/>
          </w:tcPr>
          <w:p w14:paraId="1F1D3F93"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8/20/2007</w:t>
            </w:r>
          </w:p>
        </w:tc>
        <w:tc>
          <w:tcPr>
            <w:tcW w:w="1120" w:type="dxa"/>
            <w:tcBorders>
              <w:top w:val="nil"/>
              <w:left w:val="nil"/>
              <w:bottom w:val="single" w:sz="4" w:space="0" w:color="auto"/>
              <w:right w:val="single" w:sz="8" w:space="0" w:color="auto"/>
            </w:tcBorders>
            <w:shd w:val="clear" w:color="auto" w:fill="auto"/>
            <w:vAlign w:val="bottom"/>
            <w:hideMark/>
          </w:tcPr>
          <w:p w14:paraId="401CA5F8"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12/31/2018</w:t>
            </w:r>
          </w:p>
        </w:tc>
      </w:tr>
      <w:tr w:rsidR="00064809" w:rsidRPr="002F6E9F" w14:paraId="61DCF0FB" w14:textId="77777777" w:rsidTr="00985F1A">
        <w:trPr>
          <w:trHeight w:val="705"/>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026F4BBB"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GEF FSP-Kenya:Agricultural Productivity and Sustainable Land Management Project</w:t>
            </w:r>
          </w:p>
        </w:tc>
        <w:tc>
          <w:tcPr>
            <w:tcW w:w="1120" w:type="dxa"/>
            <w:tcBorders>
              <w:top w:val="nil"/>
              <w:left w:val="nil"/>
              <w:bottom w:val="single" w:sz="4" w:space="0" w:color="auto"/>
              <w:right w:val="single" w:sz="4" w:space="0" w:color="auto"/>
            </w:tcBorders>
            <w:shd w:val="clear" w:color="auto" w:fill="auto"/>
            <w:vAlign w:val="bottom"/>
            <w:hideMark/>
          </w:tcPr>
          <w:p w14:paraId="02B8EEE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10,000.00</w:t>
            </w:r>
          </w:p>
        </w:tc>
        <w:tc>
          <w:tcPr>
            <w:tcW w:w="1120" w:type="dxa"/>
            <w:tcBorders>
              <w:top w:val="nil"/>
              <w:left w:val="nil"/>
              <w:bottom w:val="single" w:sz="4" w:space="0" w:color="auto"/>
              <w:right w:val="single" w:sz="4" w:space="0" w:color="auto"/>
            </w:tcBorders>
            <w:shd w:val="clear" w:color="auto" w:fill="auto"/>
            <w:vAlign w:val="bottom"/>
            <w:hideMark/>
          </w:tcPr>
          <w:p w14:paraId="0BB1963F"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5,554.11</w:t>
            </w:r>
          </w:p>
        </w:tc>
        <w:tc>
          <w:tcPr>
            <w:tcW w:w="980" w:type="dxa"/>
            <w:tcBorders>
              <w:top w:val="nil"/>
              <w:left w:val="nil"/>
              <w:bottom w:val="single" w:sz="4" w:space="0" w:color="auto"/>
              <w:right w:val="single" w:sz="4" w:space="0" w:color="auto"/>
            </w:tcBorders>
            <w:shd w:val="clear" w:color="auto" w:fill="auto"/>
            <w:vAlign w:val="bottom"/>
            <w:hideMark/>
          </w:tcPr>
          <w:p w14:paraId="36DDAB33"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GEFIA</w:t>
            </w:r>
          </w:p>
        </w:tc>
        <w:tc>
          <w:tcPr>
            <w:tcW w:w="1120" w:type="dxa"/>
            <w:tcBorders>
              <w:top w:val="nil"/>
              <w:left w:val="nil"/>
              <w:bottom w:val="single" w:sz="4" w:space="0" w:color="auto"/>
              <w:right w:val="single" w:sz="4" w:space="0" w:color="auto"/>
            </w:tcBorders>
            <w:shd w:val="clear" w:color="auto" w:fill="auto"/>
            <w:vAlign w:val="bottom"/>
            <w:hideMark/>
          </w:tcPr>
          <w:p w14:paraId="70FD9E35"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11/17/2010</w:t>
            </w:r>
          </w:p>
        </w:tc>
        <w:tc>
          <w:tcPr>
            <w:tcW w:w="1120" w:type="dxa"/>
            <w:tcBorders>
              <w:top w:val="nil"/>
              <w:left w:val="nil"/>
              <w:bottom w:val="single" w:sz="4" w:space="0" w:color="auto"/>
              <w:right w:val="single" w:sz="8" w:space="0" w:color="auto"/>
            </w:tcBorders>
            <w:shd w:val="clear" w:color="auto" w:fill="auto"/>
            <w:vAlign w:val="bottom"/>
            <w:hideMark/>
          </w:tcPr>
          <w:p w14:paraId="4CAB475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12/31/2015</w:t>
            </w:r>
          </w:p>
        </w:tc>
      </w:tr>
      <w:tr w:rsidR="00064809" w:rsidRPr="002F6E9F" w14:paraId="5E2CA60B" w14:textId="77777777" w:rsidTr="00985F1A">
        <w:trPr>
          <w:trHeight w:val="582"/>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7415AA3E"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Support to Community Based Farm Forestry Enterprises in Semi-Arid Areas in Kenya</w:t>
            </w:r>
          </w:p>
        </w:tc>
        <w:tc>
          <w:tcPr>
            <w:tcW w:w="1120" w:type="dxa"/>
            <w:tcBorders>
              <w:top w:val="nil"/>
              <w:left w:val="nil"/>
              <w:bottom w:val="single" w:sz="4" w:space="0" w:color="auto"/>
              <w:right w:val="single" w:sz="4" w:space="0" w:color="auto"/>
            </w:tcBorders>
            <w:shd w:val="clear" w:color="auto" w:fill="auto"/>
            <w:vAlign w:val="bottom"/>
            <w:hideMark/>
          </w:tcPr>
          <w:p w14:paraId="7E30FD4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1,936.38</w:t>
            </w:r>
          </w:p>
        </w:tc>
        <w:tc>
          <w:tcPr>
            <w:tcW w:w="1120" w:type="dxa"/>
            <w:tcBorders>
              <w:top w:val="nil"/>
              <w:left w:val="nil"/>
              <w:bottom w:val="single" w:sz="4" w:space="0" w:color="auto"/>
              <w:right w:val="single" w:sz="4" w:space="0" w:color="auto"/>
            </w:tcBorders>
            <w:shd w:val="clear" w:color="auto" w:fill="auto"/>
            <w:vAlign w:val="bottom"/>
            <w:hideMark/>
          </w:tcPr>
          <w:p w14:paraId="3871E7F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0.00</w:t>
            </w:r>
          </w:p>
        </w:tc>
        <w:tc>
          <w:tcPr>
            <w:tcW w:w="980" w:type="dxa"/>
            <w:tcBorders>
              <w:top w:val="nil"/>
              <w:left w:val="nil"/>
              <w:bottom w:val="single" w:sz="4" w:space="0" w:color="auto"/>
              <w:right w:val="single" w:sz="4" w:space="0" w:color="auto"/>
            </w:tcBorders>
            <w:shd w:val="clear" w:color="auto" w:fill="auto"/>
            <w:vAlign w:val="bottom"/>
            <w:hideMark/>
          </w:tcPr>
          <w:p w14:paraId="04DC8763"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JSDF</w:t>
            </w:r>
          </w:p>
        </w:tc>
        <w:tc>
          <w:tcPr>
            <w:tcW w:w="1120" w:type="dxa"/>
            <w:tcBorders>
              <w:top w:val="nil"/>
              <w:left w:val="nil"/>
              <w:bottom w:val="single" w:sz="4" w:space="0" w:color="auto"/>
              <w:right w:val="single" w:sz="4" w:space="0" w:color="auto"/>
            </w:tcBorders>
            <w:shd w:val="clear" w:color="auto" w:fill="auto"/>
            <w:vAlign w:val="bottom"/>
            <w:hideMark/>
          </w:tcPr>
          <w:p w14:paraId="1B428B3A"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9/7/2009</w:t>
            </w:r>
          </w:p>
        </w:tc>
        <w:tc>
          <w:tcPr>
            <w:tcW w:w="1120" w:type="dxa"/>
            <w:tcBorders>
              <w:top w:val="nil"/>
              <w:left w:val="nil"/>
              <w:bottom w:val="single" w:sz="4" w:space="0" w:color="auto"/>
              <w:right w:val="single" w:sz="8" w:space="0" w:color="auto"/>
            </w:tcBorders>
            <w:shd w:val="clear" w:color="auto" w:fill="auto"/>
            <w:vAlign w:val="bottom"/>
            <w:hideMark/>
          </w:tcPr>
          <w:p w14:paraId="62E3F4A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3/31/2015</w:t>
            </w:r>
          </w:p>
        </w:tc>
      </w:tr>
      <w:tr w:rsidR="00064809" w:rsidRPr="002F6E9F" w14:paraId="29C68940" w14:textId="77777777" w:rsidTr="00985F1A">
        <w:trPr>
          <w:trHeight w:val="582"/>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71EAE0DD"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Adaptation To Climate Change In Arid And Semi-Arid Lands (KACCAL)</w:t>
            </w:r>
          </w:p>
        </w:tc>
        <w:tc>
          <w:tcPr>
            <w:tcW w:w="1120" w:type="dxa"/>
            <w:tcBorders>
              <w:top w:val="nil"/>
              <w:left w:val="nil"/>
              <w:bottom w:val="single" w:sz="4" w:space="0" w:color="auto"/>
              <w:right w:val="single" w:sz="4" w:space="0" w:color="auto"/>
            </w:tcBorders>
            <w:shd w:val="clear" w:color="auto" w:fill="auto"/>
            <w:vAlign w:val="bottom"/>
            <w:hideMark/>
          </w:tcPr>
          <w:p w14:paraId="5AC17B90"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5,500.00</w:t>
            </w:r>
          </w:p>
        </w:tc>
        <w:tc>
          <w:tcPr>
            <w:tcW w:w="1120" w:type="dxa"/>
            <w:tcBorders>
              <w:top w:val="nil"/>
              <w:left w:val="nil"/>
              <w:bottom w:val="single" w:sz="4" w:space="0" w:color="auto"/>
              <w:right w:val="single" w:sz="4" w:space="0" w:color="auto"/>
            </w:tcBorders>
            <w:shd w:val="clear" w:color="auto" w:fill="auto"/>
            <w:vAlign w:val="bottom"/>
            <w:hideMark/>
          </w:tcPr>
          <w:p w14:paraId="4BAE3820"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4,696.43</w:t>
            </w:r>
          </w:p>
        </w:tc>
        <w:tc>
          <w:tcPr>
            <w:tcW w:w="980" w:type="dxa"/>
            <w:tcBorders>
              <w:top w:val="nil"/>
              <w:left w:val="nil"/>
              <w:bottom w:val="single" w:sz="4" w:space="0" w:color="auto"/>
              <w:right w:val="single" w:sz="4" w:space="0" w:color="auto"/>
            </w:tcBorders>
            <w:shd w:val="clear" w:color="auto" w:fill="auto"/>
            <w:vAlign w:val="bottom"/>
            <w:hideMark/>
          </w:tcPr>
          <w:p w14:paraId="75AC0448"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SCCFIA</w:t>
            </w:r>
          </w:p>
        </w:tc>
        <w:tc>
          <w:tcPr>
            <w:tcW w:w="1120" w:type="dxa"/>
            <w:tcBorders>
              <w:top w:val="nil"/>
              <w:left w:val="nil"/>
              <w:bottom w:val="single" w:sz="4" w:space="0" w:color="auto"/>
              <w:right w:val="single" w:sz="4" w:space="0" w:color="auto"/>
            </w:tcBorders>
            <w:shd w:val="clear" w:color="auto" w:fill="auto"/>
            <w:vAlign w:val="bottom"/>
            <w:hideMark/>
          </w:tcPr>
          <w:p w14:paraId="632D2422"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8/21/2012</w:t>
            </w:r>
          </w:p>
        </w:tc>
        <w:tc>
          <w:tcPr>
            <w:tcW w:w="1120" w:type="dxa"/>
            <w:tcBorders>
              <w:top w:val="nil"/>
              <w:left w:val="nil"/>
              <w:bottom w:val="single" w:sz="4" w:space="0" w:color="auto"/>
              <w:right w:val="single" w:sz="8" w:space="0" w:color="auto"/>
            </w:tcBorders>
            <w:shd w:val="clear" w:color="auto" w:fill="auto"/>
            <w:vAlign w:val="bottom"/>
            <w:hideMark/>
          </w:tcPr>
          <w:p w14:paraId="55D00E6F"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10/31/2016</w:t>
            </w:r>
          </w:p>
        </w:tc>
      </w:tr>
      <w:tr w:rsidR="00064809" w:rsidRPr="002F6E9F" w14:paraId="790BBF00" w14:textId="77777777" w:rsidTr="00985F1A">
        <w:trPr>
          <w:trHeight w:val="315"/>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08C1652"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Agricultural Carbon Project</w:t>
            </w:r>
          </w:p>
        </w:tc>
        <w:tc>
          <w:tcPr>
            <w:tcW w:w="1120" w:type="dxa"/>
            <w:tcBorders>
              <w:top w:val="nil"/>
              <w:left w:val="nil"/>
              <w:bottom w:val="single" w:sz="4" w:space="0" w:color="auto"/>
              <w:right w:val="single" w:sz="4" w:space="0" w:color="auto"/>
            </w:tcBorders>
            <w:shd w:val="clear" w:color="auto" w:fill="auto"/>
            <w:vAlign w:val="bottom"/>
            <w:hideMark/>
          </w:tcPr>
          <w:p w14:paraId="594118DC"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600.00</w:t>
            </w:r>
          </w:p>
        </w:tc>
        <w:tc>
          <w:tcPr>
            <w:tcW w:w="1120" w:type="dxa"/>
            <w:tcBorders>
              <w:top w:val="nil"/>
              <w:left w:val="nil"/>
              <w:bottom w:val="single" w:sz="4" w:space="0" w:color="auto"/>
              <w:right w:val="single" w:sz="4" w:space="0" w:color="auto"/>
            </w:tcBorders>
            <w:shd w:val="clear" w:color="auto" w:fill="auto"/>
            <w:vAlign w:val="bottom"/>
            <w:hideMark/>
          </w:tcPr>
          <w:p w14:paraId="31639E4B"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8.28</w:t>
            </w:r>
          </w:p>
        </w:tc>
        <w:tc>
          <w:tcPr>
            <w:tcW w:w="980" w:type="dxa"/>
            <w:tcBorders>
              <w:top w:val="nil"/>
              <w:left w:val="nil"/>
              <w:bottom w:val="single" w:sz="4" w:space="0" w:color="auto"/>
              <w:right w:val="single" w:sz="4" w:space="0" w:color="auto"/>
            </w:tcBorders>
            <w:shd w:val="clear" w:color="auto" w:fill="auto"/>
            <w:vAlign w:val="bottom"/>
            <w:hideMark/>
          </w:tcPr>
          <w:p w14:paraId="55BC6C13"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CARBON</w:t>
            </w:r>
          </w:p>
        </w:tc>
        <w:tc>
          <w:tcPr>
            <w:tcW w:w="1120" w:type="dxa"/>
            <w:tcBorders>
              <w:top w:val="nil"/>
              <w:left w:val="nil"/>
              <w:bottom w:val="single" w:sz="4" w:space="0" w:color="auto"/>
              <w:right w:val="single" w:sz="4" w:space="0" w:color="auto"/>
            </w:tcBorders>
            <w:shd w:val="clear" w:color="auto" w:fill="auto"/>
            <w:vAlign w:val="bottom"/>
            <w:hideMark/>
          </w:tcPr>
          <w:p w14:paraId="388B040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11/15/2010</w:t>
            </w:r>
          </w:p>
        </w:tc>
        <w:tc>
          <w:tcPr>
            <w:tcW w:w="1120" w:type="dxa"/>
            <w:tcBorders>
              <w:top w:val="nil"/>
              <w:left w:val="nil"/>
              <w:bottom w:val="single" w:sz="4" w:space="0" w:color="auto"/>
              <w:right w:val="single" w:sz="8" w:space="0" w:color="auto"/>
            </w:tcBorders>
            <w:shd w:val="clear" w:color="auto" w:fill="auto"/>
            <w:vAlign w:val="bottom"/>
            <w:hideMark/>
          </w:tcPr>
          <w:p w14:paraId="48261BF7"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12/31/2017</w:t>
            </w:r>
          </w:p>
        </w:tc>
      </w:tr>
      <w:tr w:rsidR="00064809" w:rsidRPr="002F6E9F" w14:paraId="2E368E8B"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52AB4EE5"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Cash Transfer for Orphans and Vulnerable Children</w:t>
            </w:r>
          </w:p>
        </w:tc>
        <w:tc>
          <w:tcPr>
            <w:tcW w:w="1120" w:type="dxa"/>
            <w:tcBorders>
              <w:top w:val="nil"/>
              <w:left w:val="nil"/>
              <w:bottom w:val="single" w:sz="4" w:space="0" w:color="auto"/>
              <w:right w:val="single" w:sz="4" w:space="0" w:color="auto"/>
            </w:tcBorders>
            <w:shd w:val="clear" w:color="auto" w:fill="auto"/>
            <w:vAlign w:val="bottom"/>
            <w:hideMark/>
          </w:tcPr>
          <w:p w14:paraId="10FE969D"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46,284.45</w:t>
            </w:r>
          </w:p>
        </w:tc>
        <w:tc>
          <w:tcPr>
            <w:tcW w:w="1120" w:type="dxa"/>
            <w:tcBorders>
              <w:top w:val="nil"/>
              <w:left w:val="nil"/>
              <w:bottom w:val="single" w:sz="4" w:space="0" w:color="auto"/>
              <w:right w:val="single" w:sz="4" w:space="0" w:color="auto"/>
            </w:tcBorders>
            <w:shd w:val="clear" w:color="auto" w:fill="auto"/>
            <w:vAlign w:val="bottom"/>
            <w:hideMark/>
          </w:tcPr>
          <w:p w14:paraId="11E4BC56"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15,063.33</w:t>
            </w:r>
          </w:p>
        </w:tc>
        <w:tc>
          <w:tcPr>
            <w:tcW w:w="980" w:type="dxa"/>
            <w:tcBorders>
              <w:top w:val="nil"/>
              <w:left w:val="nil"/>
              <w:bottom w:val="single" w:sz="4" w:space="0" w:color="auto"/>
              <w:right w:val="single" w:sz="4" w:space="0" w:color="auto"/>
            </w:tcBorders>
            <w:shd w:val="clear" w:color="auto" w:fill="auto"/>
            <w:vAlign w:val="bottom"/>
            <w:hideMark/>
          </w:tcPr>
          <w:p w14:paraId="0F19E4AB"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AFRHD</w:t>
            </w:r>
          </w:p>
        </w:tc>
        <w:tc>
          <w:tcPr>
            <w:tcW w:w="1120" w:type="dxa"/>
            <w:tcBorders>
              <w:top w:val="nil"/>
              <w:left w:val="nil"/>
              <w:bottom w:val="single" w:sz="4" w:space="0" w:color="auto"/>
              <w:right w:val="single" w:sz="4" w:space="0" w:color="auto"/>
            </w:tcBorders>
            <w:shd w:val="clear" w:color="auto" w:fill="auto"/>
            <w:vAlign w:val="bottom"/>
            <w:hideMark/>
          </w:tcPr>
          <w:p w14:paraId="6F663B27"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7/20/2010</w:t>
            </w:r>
          </w:p>
        </w:tc>
        <w:tc>
          <w:tcPr>
            <w:tcW w:w="1120" w:type="dxa"/>
            <w:tcBorders>
              <w:top w:val="nil"/>
              <w:left w:val="nil"/>
              <w:bottom w:val="single" w:sz="4" w:space="0" w:color="auto"/>
              <w:right w:val="single" w:sz="8" w:space="0" w:color="auto"/>
            </w:tcBorders>
            <w:shd w:val="clear" w:color="auto" w:fill="auto"/>
            <w:vAlign w:val="bottom"/>
            <w:hideMark/>
          </w:tcPr>
          <w:p w14:paraId="3FF82880"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12/31/2016</w:t>
            </w:r>
          </w:p>
        </w:tc>
      </w:tr>
      <w:tr w:rsidR="00064809" w:rsidRPr="002F6E9F" w14:paraId="15E9CEF6"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7E072E61"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Kenya Coastal Development Project</w:t>
            </w:r>
          </w:p>
        </w:tc>
        <w:tc>
          <w:tcPr>
            <w:tcW w:w="1120" w:type="dxa"/>
            <w:tcBorders>
              <w:top w:val="nil"/>
              <w:left w:val="nil"/>
              <w:bottom w:val="single" w:sz="4" w:space="0" w:color="auto"/>
              <w:right w:val="single" w:sz="4" w:space="0" w:color="auto"/>
            </w:tcBorders>
            <w:shd w:val="clear" w:color="auto" w:fill="auto"/>
            <w:vAlign w:val="bottom"/>
            <w:hideMark/>
          </w:tcPr>
          <w:p w14:paraId="748B2EC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5,000.00</w:t>
            </w:r>
          </w:p>
        </w:tc>
        <w:tc>
          <w:tcPr>
            <w:tcW w:w="1120" w:type="dxa"/>
            <w:tcBorders>
              <w:top w:val="nil"/>
              <w:left w:val="nil"/>
              <w:bottom w:val="single" w:sz="4" w:space="0" w:color="auto"/>
              <w:right w:val="single" w:sz="4" w:space="0" w:color="auto"/>
            </w:tcBorders>
            <w:shd w:val="clear" w:color="auto" w:fill="auto"/>
            <w:vAlign w:val="bottom"/>
            <w:hideMark/>
          </w:tcPr>
          <w:p w14:paraId="1A8F8083"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3,718.91</w:t>
            </w:r>
          </w:p>
        </w:tc>
        <w:tc>
          <w:tcPr>
            <w:tcW w:w="980" w:type="dxa"/>
            <w:tcBorders>
              <w:top w:val="nil"/>
              <w:left w:val="nil"/>
              <w:bottom w:val="single" w:sz="4" w:space="0" w:color="auto"/>
              <w:right w:val="single" w:sz="4" w:space="0" w:color="auto"/>
            </w:tcBorders>
            <w:shd w:val="clear" w:color="auto" w:fill="auto"/>
            <w:vAlign w:val="bottom"/>
            <w:hideMark/>
          </w:tcPr>
          <w:p w14:paraId="0E41D5D1"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GEFIA</w:t>
            </w:r>
          </w:p>
        </w:tc>
        <w:tc>
          <w:tcPr>
            <w:tcW w:w="1120" w:type="dxa"/>
            <w:tcBorders>
              <w:top w:val="nil"/>
              <w:left w:val="nil"/>
              <w:bottom w:val="single" w:sz="4" w:space="0" w:color="auto"/>
              <w:right w:val="single" w:sz="4" w:space="0" w:color="auto"/>
            </w:tcBorders>
            <w:shd w:val="clear" w:color="auto" w:fill="auto"/>
            <w:vAlign w:val="bottom"/>
            <w:hideMark/>
          </w:tcPr>
          <w:p w14:paraId="0EB47D8F"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11/17/2010</w:t>
            </w:r>
          </w:p>
        </w:tc>
        <w:tc>
          <w:tcPr>
            <w:tcW w:w="1120" w:type="dxa"/>
            <w:tcBorders>
              <w:top w:val="nil"/>
              <w:left w:val="nil"/>
              <w:bottom w:val="single" w:sz="4" w:space="0" w:color="auto"/>
              <w:right w:val="single" w:sz="8" w:space="0" w:color="auto"/>
            </w:tcBorders>
            <w:shd w:val="clear" w:color="auto" w:fill="auto"/>
            <w:vAlign w:val="bottom"/>
            <w:hideMark/>
          </w:tcPr>
          <w:p w14:paraId="3D41872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10/29/2016</w:t>
            </w:r>
          </w:p>
        </w:tc>
      </w:tr>
      <w:tr w:rsidR="00064809" w:rsidRPr="002F6E9F" w14:paraId="63FC4BDE" w14:textId="77777777" w:rsidTr="00985F1A">
        <w:trPr>
          <w:trHeight w:val="379"/>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45B58244"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Regional Mobile Applications Lab in East Africa</w:t>
            </w:r>
          </w:p>
        </w:tc>
        <w:tc>
          <w:tcPr>
            <w:tcW w:w="1120" w:type="dxa"/>
            <w:tcBorders>
              <w:top w:val="nil"/>
              <w:left w:val="nil"/>
              <w:bottom w:val="single" w:sz="4" w:space="0" w:color="auto"/>
              <w:right w:val="single" w:sz="4" w:space="0" w:color="auto"/>
            </w:tcBorders>
            <w:shd w:val="clear" w:color="auto" w:fill="auto"/>
            <w:vAlign w:val="bottom"/>
            <w:hideMark/>
          </w:tcPr>
          <w:p w14:paraId="5F534EC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725.00</w:t>
            </w:r>
          </w:p>
        </w:tc>
        <w:tc>
          <w:tcPr>
            <w:tcW w:w="1120" w:type="dxa"/>
            <w:tcBorders>
              <w:top w:val="nil"/>
              <w:left w:val="nil"/>
              <w:bottom w:val="single" w:sz="4" w:space="0" w:color="auto"/>
              <w:right w:val="single" w:sz="4" w:space="0" w:color="auto"/>
            </w:tcBorders>
            <w:shd w:val="clear" w:color="auto" w:fill="auto"/>
            <w:vAlign w:val="bottom"/>
            <w:hideMark/>
          </w:tcPr>
          <w:p w14:paraId="1A032874"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0.00</w:t>
            </w:r>
          </w:p>
        </w:tc>
        <w:tc>
          <w:tcPr>
            <w:tcW w:w="980" w:type="dxa"/>
            <w:tcBorders>
              <w:top w:val="nil"/>
              <w:left w:val="nil"/>
              <w:bottom w:val="single" w:sz="4" w:space="0" w:color="auto"/>
              <w:right w:val="single" w:sz="4" w:space="0" w:color="auto"/>
            </w:tcBorders>
            <w:shd w:val="clear" w:color="auto" w:fill="auto"/>
            <w:vAlign w:val="bottom"/>
            <w:hideMark/>
          </w:tcPr>
          <w:p w14:paraId="0633A809"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INFOD</w:t>
            </w:r>
          </w:p>
        </w:tc>
        <w:tc>
          <w:tcPr>
            <w:tcW w:w="1120" w:type="dxa"/>
            <w:tcBorders>
              <w:top w:val="nil"/>
              <w:left w:val="nil"/>
              <w:bottom w:val="single" w:sz="4" w:space="0" w:color="auto"/>
              <w:right w:val="single" w:sz="4" w:space="0" w:color="auto"/>
            </w:tcBorders>
            <w:shd w:val="clear" w:color="auto" w:fill="auto"/>
            <w:vAlign w:val="bottom"/>
            <w:hideMark/>
          </w:tcPr>
          <w:p w14:paraId="06C21619"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10/5/2010</w:t>
            </w:r>
          </w:p>
        </w:tc>
        <w:tc>
          <w:tcPr>
            <w:tcW w:w="1120" w:type="dxa"/>
            <w:tcBorders>
              <w:top w:val="nil"/>
              <w:left w:val="nil"/>
              <w:bottom w:val="single" w:sz="4" w:space="0" w:color="auto"/>
              <w:right w:val="single" w:sz="8" w:space="0" w:color="auto"/>
            </w:tcBorders>
            <w:shd w:val="clear" w:color="auto" w:fill="auto"/>
            <w:vAlign w:val="bottom"/>
            <w:hideMark/>
          </w:tcPr>
          <w:p w14:paraId="5ED672BB"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6/30/2013</w:t>
            </w:r>
          </w:p>
        </w:tc>
      </w:tr>
      <w:tr w:rsidR="00064809" w:rsidRPr="002F6E9F" w14:paraId="371D3E7F" w14:textId="77777777" w:rsidTr="00985F1A">
        <w:trPr>
          <w:trHeight w:val="795"/>
        </w:trPr>
        <w:tc>
          <w:tcPr>
            <w:tcW w:w="3840" w:type="dxa"/>
            <w:tcBorders>
              <w:top w:val="nil"/>
              <w:left w:val="single" w:sz="8" w:space="0" w:color="auto"/>
              <w:bottom w:val="single" w:sz="4" w:space="0" w:color="auto"/>
              <w:right w:val="single" w:sz="4" w:space="0" w:color="auto"/>
            </w:tcBorders>
            <w:shd w:val="clear" w:color="auto" w:fill="auto"/>
            <w:vAlign w:val="bottom"/>
            <w:hideMark/>
          </w:tcPr>
          <w:p w14:paraId="60F77EFB"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IDF Grant for Building Capacity of Diaspora Affairs Directorate in the Ministry of Foreign Affairs (MoFA)</w:t>
            </w:r>
          </w:p>
        </w:tc>
        <w:tc>
          <w:tcPr>
            <w:tcW w:w="1120" w:type="dxa"/>
            <w:tcBorders>
              <w:top w:val="nil"/>
              <w:left w:val="nil"/>
              <w:bottom w:val="single" w:sz="4" w:space="0" w:color="auto"/>
              <w:right w:val="single" w:sz="4" w:space="0" w:color="auto"/>
            </w:tcBorders>
            <w:shd w:val="clear" w:color="auto" w:fill="auto"/>
            <w:vAlign w:val="bottom"/>
            <w:hideMark/>
          </w:tcPr>
          <w:p w14:paraId="11CF3C47"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500.00</w:t>
            </w:r>
          </w:p>
        </w:tc>
        <w:tc>
          <w:tcPr>
            <w:tcW w:w="1120" w:type="dxa"/>
            <w:tcBorders>
              <w:top w:val="nil"/>
              <w:left w:val="nil"/>
              <w:bottom w:val="single" w:sz="4" w:space="0" w:color="auto"/>
              <w:right w:val="single" w:sz="4" w:space="0" w:color="auto"/>
            </w:tcBorders>
            <w:shd w:val="clear" w:color="auto" w:fill="auto"/>
            <w:vAlign w:val="bottom"/>
            <w:hideMark/>
          </w:tcPr>
          <w:p w14:paraId="56482225"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210.44</w:t>
            </w:r>
          </w:p>
        </w:tc>
        <w:tc>
          <w:tcPr>
            <w:tcW w:w="980" w:type="dxa"/>
            <w:tcBorders>
              <w:top w:val="nil"/>
              <w:left w:val="nil"/>
              <w:bottom w:val="single" w:sz="4" w:space="0" w:color="auto"/>
              <w:right w:val="single" w:sz="4" w:space="0" w:color="auto"/>
            </w:tcBorders>
            <w:shd w:val="clear" w:color="auto" w:fill="auto"/>
            <w:vAlign w:val="bottom"/>
            <w:hideMark/>
          </w:tcPr>
          <w:p w14:paraId="2852C1AE"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IDF</w:t>
            </w:r>
          </w:p>
        </w:tc>
        <w:tc>
          <w:tcPr>
            <w:tcW w:w="1120" w:type="dxa"/>
            <w:tcBorders>
              <w:top w:val="nil"/>
              <w:left w:val="nil"/>
              <w:bottom w:val="single" w:sz="4" w:space="0" w:color="auto"/>
              <w:right w:val="single" w:sz="4" w:space="0" w:color="auto"/>
            </w:tcBorders>
            <w:shd w:val="clear" w:color="auto" w:fill="auto"/>
            <w:vAlign w:val="bottom"/>
            <w:hideMark/>
          </w:tcPr>
          <w:p w14:paraId="09DCFAB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3/15/2011</w:t>
            </w:r>
          </w:p>
        </w:tc>
        <w:tc>
          <w:tcPr>
            <w:tcW w:w="1120" w:type="dxa"/>
            <w:tcBorders>
              <w:top w:val="nil"/>
              <w:left w:val="nil"/>
              <w:bottom w:val="single" w:sz="4" w:space="0" w:color="auto"/>
              <w:right w:val="single" w:sz="8" w:space="0" w:color="auto"/>
            </w:tcBorders>
            <w:shd w:val="clear" w:color="auto" w:fill="auto"/>
            <w:vAlign w:val="bottom"/>
            <w:hideMark/>
          </w:tcPr>
          <w:p w14:paraId="7D8A20E7"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3/15/2014</w:t>
            </w:r>
          </w:p>
        </w:tc>
      </w:tr>
      <w:tr w:rsidR="00064809" w:rsidRPr="002F6E9F" w14:paraId="4D1EBA15" w14:textId="77777777" w:rsidTr="00985F1A">
        <w:trPr>
          <w:trHeight w:val="510"/>
        </w:trPr>
        <w:tc>
          <w:tcPr>
            <w:tcW w:w="3840" w:type="dxa"/>
            <w:tcBorders>
              <w:top w:val="nil"/>
              <w:left w:val="single" w:sz="8" w:space="0" w:color="auto"/>
              <w:bottom w:val="single" w:sz="8" w:space="0" w:color="auto"/>
              <w:right w:val="single" w:sz="4" w:space="0" w:color="auto"/>
            </w:tcBorders>
            <w:shd w:val="clear" w:color="auto" w:fill="auto"/>
            <w:vAlign w:val="bottom"/>
            <w:hideMark/>
          </w:tcPr>
          <w:p w14:paraId="77F35C49"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Mobile Apps thru Social Networking in Africa - Kenya</w:t>
            </w:r>
          </w:p>
        </w:tc>
        <w:tc>
          <w:tcPr>
            <w:tcW w:w="1120" w:type="dxa"/>
            <w:tcBorders>
              <w:top w:val="nil"/>
              <w:left w:val="nil"/>
              <w:bottom w:val="single" w:sz="8" w:space="0" w:color="auto"/>
              <w:right w:val="single" w:sz="4" w:space="0" w:color="auto"/>
            </w:tcBorders>
            <w:shd w:val="clear" w:color="auto" w:fill="auto"/>
            <w:vAlign w:val="bottom"/>
            <w:hideMark/>
          </w:tcPr>
          <w:p w14:paraId="4E2847AB"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55.00</w:t>
            </w:r>
          </w:p>
        </w:tc>
        <w:tc>
          <w:tcPr>
            <w:tcW w:w="1120" w:type="dxa"/>
            <w:tcBorders>
              <w:top w:val="nil"/>
              <w:left w:val="nil"/>
              <w:bottom w:val="single" w:sz="8" w:space="0" w:color="auto"/>
              <w:right w:val="single" w:sz="4" w:space="0" w:color="auto"/>
            </w:tcBorders>
            <w:shd w:val="clear" w:color="auto" w:fill="auto"/>
            <w:vAlign w:val="bottom"/>
            <w:hideMark/>
          </w:tcPr>
          <w:p w14:paraId="7A523B5E"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1.54</w:t>
            </w:r>
          </w:p>
        </w:tc>
        <w:tc>
          <w:tcPr>
            <w:tcW w:w="980" w:type="dxa"/>
            <w:tcBorders>
              <w:top w:val="nil"/>
              <w:left w:val="nil"/>
              <w:bottom w:val="single" w:sz="8" w:space="0" w:color="auto"/>
              <w:right w:val="single" w:sz="4" w:space="0" w:color="auto"/>
            </w:tcBorders>
            <w:shd w:val="clear" w:color="auto" w:fill="auto"/>
            <w:vAlign w:val="bottom"/>
            <w:hideMark/>
          </w:tcPr>
          <w:p w14:paraId="3FBC7398" w14:textId="77777777" w:rsidR="00064809" w:rsidRPr="002F6E9F" w:rsidRDefault="00064809" w:rsidP="00985F1A">
            <w:pPr>
              <w:spacing w:after="0" w:line="240" w:lineRule="auto"/>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INFOD</w:t>
            </w:r>
          </w:p>
        </w:tc>
        <w:tc>
          <w:tcPr>
            <w:tcW w:w="1120" w:type="dxa"/>
            <w:tcBorders>
              <w:top w:val="nil"/>
              <w:left w:val="nil"/>
              <w:bottom w:val="single" w:sz="8" w:space="0" w:color="auto"/>
              <w:right w:val="single" w:sz="4" w:space="0" w:color="auto"/>
            </w:tcBorders>
            <w:shd w:val="clear" w:color="auto" w:fill="auto"/>
            <w:vAlign w:val="bottom"/>
            <w:hideMark/>
          </w:tcPr>
          <w:p w14:paraId="3BAB5E2B"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4/26/2011</w:t>
            </w:r>
          </w:p>
        </w:tc>
        <w:tc>
          <w:tcPr>
            <w:tcW w:w="1120" w:type="dxa"/>
            <w:tcBorders>
              <w:top w:val="nil"/>
              <w:left w:val="nil"/>
              <w:bottom w:val="single" w:sz="8" w:space="0" w:color="auto"/>
              <w:right w:val="single" w:sz="8" w:space="0" w:color="auto"/>
            </w:tcBorders>
            <w:shd w:val="clear" w:color="auto" w:fill="auto"/>
            <w:vAlign w:val="bottom"/>
            <w:hideMark/>
          </w:tcPr>
          <w:p w14:paraId="38486A31" w14:textId="77777777" w:rsidR="00064809" w:rsidRPr="002F6E9F" w:rsidRDefault="00064809" w:rsidP="00985F1A">
            <w:pPr>
              <w:spacing w:after="0" w:line="240" w:lineRule="auto"/>
              <w:jc w:val="right"/>
              <w:rPr>
                <w:rFonts w:ascii="Times New Roman" w:eastAsia="Times New Roman" w:hAnsi="Times New Roman" w:cs="Times New Roman"/>
                <w:color w:val="000000"/>
                <w:sz w:val="18"/>
                <w:szCs w:val="18"/>
              </w:rPr>
            </w:pPr>
            <w:r w:rsidRPr="002F6E9F">
              <w:rPr>
                <w:rFonts w:ascii="Times New Roman" w:eastAsia="Times New Roman" w:hAnsi="Times New Roman" w:cs="Times New Roman"/>
                <w:color w:val="000000"/>
                <w:sz w:val="18"/>
                <w:szCs w:val="18"/>
              </w:rPr>
              <w:t>6/30/2013</w:t>
            </w:r>
          </w:p>
        </w:tc>
      </w:tr>
    </w:tbl>
    <w:p w14:paraId="2ED5A121" w14:textId="77777777" w:rsidR="00064809" w:rsidRDefault="00064809" w:rsidP="00064809">
      <w:pPr>
        <w:pStyle w:val="ListParagraph"/>
        <w:spacing w:line="240" w:lineRule="auto"/>
        <w:ind w:left="0"/>
        <w:contextualSpacing w:val="0"/>
        <w:jc w:val="both"/>
        <w:rPr>
          <w:rFonts w:ascii="Times New Roman" w:hAnsi="Times New Roman" w:cs="Times New Roman"/>
          <w:sz w:val="20"/>
          <w:szCs w:val="20"/>
        </w:rPr>
      </w:pPr>
    </w:p>
    <w:p w14:paraId="54933F3C" w14:textId="77777777" w:rsidR="00A644D5" w:rsidRDefault="00A644D5" w:rsidP="002B69A8">
      <w:pPr>
        <w:pStyle w:val="ListParagraph"/>
        <w:spacing w:line="240" w:lineRule="auto"/>
        <w:ind w:left="0"/>
        <w:contextualSpacing w:val="0"/>
        <w:jc w:val="both"/>
        <w:rPr>
          <w:rFonts w:ascii="Times New Roman" w:hAnsi="Times New Roman" w:cs="Times New Roman"/>
          <w:sz w:val="24"/>
          <w:szCs w:val="24"/>
        </w:rPr>
      </w:pPr>
    </w:p>
    <w:p w14:paraId="2FEDCF3E" w14:textId="77777777" w:rsidR="00064809" w:rsidRDefault="00064809" w:rsidP="002B69A8">
      <w:pPr>
        <w:pStyle w:val="ListParagraph"/>
        <w:spacing w:line="240" w:lineRule="auto"/>
        <w:ind w:left="0"/>
        <w:contextualSpacing w:val="0"/>
        <w:jc w:val="both"/>
        <w:rPr>
          <w:rFonts w:ascii="Times New Roman" w:hAnsi="Times New Roman" w:cs="Times New Roman"/>
          <w:sz w:val="24"/>
          <w:szCs w:val="24"/>
        </w:rPr>
        <w:sectPr w:rsidR="00064809" w:rsidSect="00F96822">
          <w:endnotePr>
            <w:numFmt w:val="decimal"/>
          </w:endnotePr>
          <w:pgSz w:w="12240" w:h="15840"/>
          <w:pgMar w:top="1166" w:right="1440" w:bottom="1267" w:left="1440" w:header="720" w:footer="720" w:gutter="0"/>
          <w:cols w:space="720"/>
          <w:docGrid w:linePitch="360"/>
        </w:sectPr>
      </w:pPr>
    </w:p>
    <w:p w14:paraId="51344D52" w14:textId="77777777" w:rsidR="00064809" w:rsidRPr="002C4D6E" w:rsidRDefault="00064809" w:rsidP="00064809">
      <w:pPr>
        <w:spacing w:line="240" w:lineRule="auto"/>
        <w:rPr>
          <w:rFonts w:ascii="Times New Roman" w:hAnsi="Times New Roman" w:cs="Times New Roman"/>
          <w:b/>
          <w:sz w:val="24"/>
          <w:szCs w:val="24"/>
          <w:lang w:val="fr-FR"/>
        </w:rPr>
        <w:sectPr w:rsidR="00064809" w:rsidRPr="002C4D6E" w:rsidSect="00F96822">
          <w:endnotePr>
            <w:numFmt w:val="decimal"/>
          </w:endnotePr>
          <w:type w:val="continuous"/>
          <w:pgSz w:w="12240" w:h="15840" w:code="1"/>
          <w:pgMar w:top="1440" w:right="1440" w:bottom="1440" w:left="1440" w:header="708" w:footer="708" w:gutter="0"/>
          <w:cols w:space="708"/>
          <w:docGrid w:linePitch="360"/>
        </w:sectPr>
      </w:pPr>
    </w:p>
    <w:p w14:paraId="5E872DC9" w14:textId="77777777" w:rsidR="00165465" w:rsidRPr="00A81C89" w:rsidRDefault="00A81C89" w:rsidP="00A81C89">
      <w:pPr>
        <w:pStyle w:val="Caption"/>
        <w:spacing w:after="240"/>
        <w:jc w:val="center"/>
        <w:rPr>
          <w:rFonts w:ascii="Times New Roman" w:hAnsi="Times New Roman" w:cs="Times New Roman"/>
          <w:b w:val="0"/>
          <w:color w:val="auto"/>
          <w:sz w:val="24"/>
          <w:szCs w:val="24"/>
        </w:rPr>
      </w:pPr>
      <w:bookmarkStart w:id="7" w:name="_Toc387342568"/>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7</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Poverty, Shared Prosperity and Progress toward MDGs</w:t>
      </w:r>
      <w:bookmarkEnd w:id="7"/>
    </w:p>
    <w:p w14:paraId="02F4608C" w14:textId="77777777" w:rsidR="00165465" w:rsidRPr="002C4D6E" w:rsidRDefault="00165465" w:rsidP="00165465">
      <w:pPr>
        <w:spacing w:line="240" w:lineRule="auto"/>
        <w:rPr>
          <w:rFonts w:ascii="Times New Roman" w:hAnsi="Times New Roman" w:cs="Times New Roman"/>
          <w:b/>
          <w:sz w:val="24"/>
          <w:szCs w:val="24"/>
        </w:rPr>
      </w:pPr>
      <w:r w:rsidRPr="002C4D6E">
        <w:rPr>
          <w:rFonts w:ascii="Times New Roman" w:hAnsi="Times New Roman" w:cs="Times New Roman"/>
          <w:b/>
          <w:sz w:val="24"/>
          <w:szCs w:val="24"/>
        </w:rPr>
        <w:t xml:space="preserve">Poverty and shared prosperity </w:t>
      </w:r>
    </w:p>
    <w:p w14:paraId="74289D3E" w14:textId="77777777" w:rsidR="00165465" w:rsidRPr="002C4D6E" w:rsidRDefault="00165465" w:rsidP="007B5E57">
      <w:pPr>
        <w:pStyle w:val="ListParagraph"/>
        <w:numPr>
          <w:ilvl w:val="0"/>
          <w:numId w:val="42"/>
        </w:numPr>
        <w:autoSpaceDE w:val="0"/>
        <w:autoSpaceDN w:val="0"/>
        <w:adjustRightInd w:val="0"/>
        <w:spacing w:line="240" w:lineRule="auto"/>
        <w:ind w:left="0" w:firstLine="0"/>
        <w:contextualSpacing w:val="0"/>
        <w:jc w:val="both"/>
        <w:rPr>
          <w:rFonts w:ascii="Times New Roman" w:hAnsi="Times New Roman" w:cs="Times New Roman"/>
          <w:b/>
          <w:bCs/>
          <w:color w:val="000000" w:themeColor="text1"/>
          <w:sz w:val="24"/>
          <w:szCs w:val="24"/>
        </w:rPr>
      </w:pPr>
      <w:r w:rsidRPr="002C4D6E">
        <w:rPr>
          <w:rFonts w:ascii="Times New Roman" w:hAnsi="Times New Roman" w:cs="Times New Roman"/>
          <w:b/>
          <w:color w:val="000000" w:themeColor="text1"/>
          <w:sz w:val="24"/>
          <w:szCs w:val="24"/>
        </w:rPr>
        <w:t>A</w:t>
      </w:r>
      <w:r w:rsidRPr="002C4D6E">
        <w:rPr>
          <w:rFonts w:ascii="Times New Roman" w:hAnsi="Times New Roman" w:cs="Times New Roman"/>
          <w:b/>
          <w:bCs/>
          <w:color w:val="000000" w:themeColor="text1"/>
          <w:sz w:val="24"/>
          <w:szCs w:val="24"/>
        </w:rPr>
        <w:t xml:space="preserve">t a time of major social and economic transitions, the conditions for attaining better living standards are increasingly within reach for a majority of Kenyans. </w:t>
      </w:r>
      <w:r w:rsidRPr="002C4D6E">
        <w:rPr>
          <w:rFonts w:ascii="Times New Roman" w:hAnsi="Times New Roman" w:cs="Times New Roman"/>
          <w:color w:val="000000" w:themeColor="text1"/>
          <w:sz w:val="24"/>
          <w:szCs w:val="24"/>
        </w:rPr>
        <w:t xml:space="preserve">In </w:t>
      </w:r>
      <w:r w:rsidRPr="002C4D6E">
        <w:rPr>
          <w:rFonts w:ascii="Times New Roman" w:hAnsi="Times New Roman" w:cs="Times New Roman"/>
          <w:color w:val="000000"/>
          <w:sz w:val="24"/>
          <w:szCs w:val="24"/>
        </w:rPr>
        <w:t>the past</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twenty years, Kenya’s economy has gone from</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bCs/>
          <w:sz w:val="24"/>
          <w:szCs w:val="24"/>
        </w:rPr>
        <w:t xml:space="preserve">one that was </w:t>
      </w:r>
      <w:r w:rsidRPr="002C4D6E">
        <w:rPr>
          <w:rFonts w:ascii="Times New Roman" w:hAnsi="Times New Roman" w:cs="Times New Roman"/>
          <w:color w:val="000000"/>
          <w:sz w:val="24"/>
          <w:szCs w:val="24"/>
        </w:rPr>
        <w:t>shrinking to an economy growing at nearly 5 percent per year;</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jobs, once primarily in farming, are now</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predominantly in non-farm self-employment and</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wage work; families are smaller and more likely to</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settle in towns and cities; and people have more</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education and skills than ever before. Behind</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each of these transitions are each individual Kenyan’s quest</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for opportunity and a desire for a better life for</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 xml:space="preserve">themselves and their children. </w:t>
      </w:r>
      <w:r w:rsidRPr="002C4D6E">
        <w:rPr>
          <w:rFonts w:ascii="Times New Roman" w:hAnsi="Times New Roman" w:cs="Times New Roman"/>
          <w:bCs/>
          <w:color w:val="000000" w:themeColor="text1"/>
          <w:sz w:val="24"/>
          <w:szCs w:val="24"/>
        </w:rPr>
        <w:t xml:space="preserve">Despite these major social shifts, we know little about how poverty has changed. </w:t>
      </w:r>
      <w:r w:rsidRPr="002C4D6E">
        <w:rPr>
          <w:rFonts w:ascii="Times New Roman" w:hAnsi="Times New Roman" w:cs="Times New Roman"/>
          <w:color w:val="000000" w:themeColor="text1"/>
          <w:sz w:val="24"/>
          <w:szCs w:val="24"/>
        </w:rPr>
        <w:t>Efforts to measure</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poverty and welfare in Kenya have been sporadic</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and inconsistent. In the 30 years spanning 1980 to</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2010, Kenya conducted four surveys that provided</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a basis to measure poverty—an average of one</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survey every 8 years.</w:t>
      </w:r>
    </w:p>
    <w:p w14:paraId="5525512E" w14:textId="77777777" w:rsidR="00165465" w:rsidRPr="00473B72" w:rsidRDefault="00165465" w:rsidP="007B5E57">
      <w:pPr>
        <w:pStyle w:val="ListParagraph"/>
        <w:numPr>
          <w:ilvl w:val="0"/>
          <w:numId w:val="42"/>
        </w:numPr>
        <w:autoSpaceDE w:val="0"/>
        <w:autoSpaceDN w:val="0"/>
        <w:adjustRightInd w:val="0"/>
        <w:spacing w:line="240" w:lineRule="auto"/>
        <w:ind w:left="0" w:firstLine="0"/>
        <w:contextualSpacing w:val="0"/>
        <w:jc w:val="both"/>
        <w:rPr>
          <w:rFonts w:ascii="Times New Roman" w:hAnsi="Times New Roman" w:cs="Times New Roman"/>
          <w:b/>
          <w:bCs/>
          <w:color w:val="000000" w:themeColor="text1"/>
          <w:sz w:val="24"/>
          <w:szCs w:val="24"/>
        </w:rPr>
      </w:pPr>
      <w:r w:rsidRPr="002C4D6E">
        <w:rPr>
          <w:rFonts w:ascii="Times New Roman" w:hAnsi="Times New Roman" w:cs="Times New Roman"/>
          <w:b/>
          <w:bCs/>
          <w:color w:val="000000" w:themeColor="text1"/>
          <w:sz w:val="24"/>
          <w:szCs w:val="24"/>
        </w:rPr>
        <w:t xml:space="preserve">The latest poverty </w:t>
      </w:r>
      <w:r>
        <w:rPr>
          <w:rFonts w:ascii="Times New Roman" w:hAnsi="Times New Roman" w:cs="Times New Roman"/>
          <w:b/>
          <w:bCs/>
          <w:color w:val="000000" w:themeColor="text1"/>
          <w:sz w:val="24"/>
          <w:szCs w:val="24"/>
        </w:rPr>
        <w:t>measures</w:t>
      </w:r>
      <w:r w:rsidRPr="002C4D6E">
        <w:rPr>
          <w:rFonts w:ascii="Times New Roman" w:hAnsi="Times New Roman" w:cs="Times New Roman"/>
          <w:b/>
          <w:bCs/>
          <w:color w:val="000000" w:themeColor="text1"/>
          <w:sz w:val="24"/>
          <w:szCs w:val="24"/>
        </w:rPr>
        <w:t xml:space="preserve"> are almost a decade old. </w:t>
      </w:r>
      <w:r w:rsidRPr="002C4D6E">
        <w:rPr>
          <w:rFonts w:ascii="Times New Roman" w:hAnsi="Times New Roman" w:cs="Times New Roman"/>
          <w:color w:val="000000" w:themeColor="text1"/>
          <w:sz w:val="24"/>
          <w:szCs w:val="24"/>
        </w:rPr>
        <w:t>The 2005</w:t>
      </w:r>
      <w:r>
        <w:rPr>
          <w:rFonts w:ascii="Times New Roman" w:hAnsi="Times New Roman" w:cs="Times New Roman"/>
          <w:color w:val="000000" w:themeColor="text1"/>
          <w:sz w:val="24"/>
          <w:szCs w:val="24"/>
        </w:rPr>
        <w:t>/06</w:t>
      </w:r>
      <w:r w:rsidRPr="002C4D6E">
        <w:rPr>
          <w:rFonts w:ascii="Times New Roman" w:hAnsi="Times New Roman" w:cs="Times New Roman"/>
          <w:color w:val="000000" w:themeColor="text1"/>
          <w:sz w:val="24"/>
          <w:szCs w:val="24"/>
        </w:rPr>
        <w:t xml:space="preserve"> Kenya Integrated Household Budget Survey (KIHBS) was the last nationally representative survey conducted by the Government of Kenya to measure poverty. In the absence of more frequent surveys, there has been a missed opportunity to understand whether the economic gains that have been achieved in the past decade, have widely generated opportunities for Kenyans as a whole and in particular, pathways out of poverty for the poor. </w:t>
      </w:r>
      <w:r w:rsidRPr="002C4D6E">
        <w:rPr>
          <w:rFonts w:ascii="Times New Roman" w:hAnsi="Times New Roman" w:cs="Times New Roman"/>
          <w:bCs/>
          <w:color w:val="000000" w:themeColor="text1"/>
          <w:sz w:val="24"/>
          <w:szCs w:val="24"/>
        </w:rPr>
        <w:t>Survey data from 2005</w:t>
      </w:r>
      <w:r>
        <w:rPr>
          <w:rFonts w:ascii="Times New Roman" w:hAnsi="Times New Roman" w:cs="Times New Roman"/>
          <w:bCs/>
          <w:color w:val="000000" w:themeColor="text1"/>
          <w:sz w:val="24"/>
          <w:szCs w:val="24"/>
        </w:rPr>
        <w:t>/06</w:t>
      </w:r>
      <w:r w:rsidRPr="002C4D6E">
        <w:rPr>
          <w:rFonts w:ascii="Times New Roman" w:hAnsi="Times New Roman" w:cs="Times New Roman"/>
          <w:bCs/>
          <w:color w:val="000000" w:themeColor="text1"/>
          <w:sz w:val="24"/>
          <w:szCs w:val="24"/>
        </w:rPr>
        <w:t xml:space="preserve"> indicates that the scale of consumption poverty in Kenya is staggering, and is concentrated in rural areas. </w:t>
      </w:r>
      <w:r w:rsidRPr="002C4D6E">
        <w:rPr>
          <w:rFonts w:ascii="Times New Roman" w:hAnsi="Times New Roman" w:cs="Times New Roman"/>
          <w:color w:val="000000" w:themeColor="text1"/>
          <w:sz w:val="24"/>
          <w:szCs w:val="24"/>
        </w:rPr>
        <w:t>Based on Kenya’s national poverty line, close to half of the population (close to 17 million Kenyans) was poor in 2005</w:t>
      </w:r>
      <w:r>
        <w:rPr>
          <w:rFonts w:ascii="Times New Roman" w:hAnsi="Times New Roman" w:cs="Times New Roman"/>
          <w:color w:val="000000" w:themeColor="text1"/>
          <w:sz w:val="24"/>
          <w:szCs w:val="24"/>
        </w:rPr>
        <w:t>/06</w:t>
      </w:r>
      <w:r w:rsidRPr="002C4D6E">
        <w:rPr>
          <w:rFonts w:ascii="Times New Roman" w:hAnsi="Times New Roman" w:cs="Times New Roman"/>
          <w:color w:val="000000" w:themeColor="text1"/>
          <w:sz w:val="24"/>
          <w:szCs w:val="24"/>
        </w:rPr>
        <w:t xml:space="preserve"> and the vast majority of the poor lived in rural areas. Poor households are also more likely to depend on income and consumption from crops and livestock, as a source of livelihood.</w:t>
      </w:r>
      <w:r w:rsidRPr="00473B72">
        <w:rPr>
          <w:rFonts w:ascii="Times New Roman" w:hAnsi="Times New Roman" w:cs="Times New Roman"/>
          <w:b/>
          <w:bCs/>
          <w:color w:val="000000" w:themeColor="text1"/>
          <w:sz w:val="24"/>
          <w:szCs w:val="24"/>
        </w:rPr>
        <w:t xml:space="preserve"> </w:t>
      </w:r>
      <w:r w:rsidRPr="00592772">
        <w:rPr>
          <w:rFonts w:ascii="Times New Roman" w:hAnsi="Times New Roman" w:cs="Times New Roman"/>
          <w:bCs/>
          <w:color w:val="000000" w:themeColor="text1"/>
          <w:sz w:val="24"/>
          <w:szCs w:val="24"/>
        </w:rPr>
        <w:t xml:space="preserve">And poverty is strongly associated with low levels of education and large households. </w:t>
      </w:r>
      <w:r w:rsidRPr="00473B72">
        <w:rPr>
          <w:rFonts w:ascii="Times New Roman" w:hAnsi="Times New Roman" w:cs="Times New Roman"/>
          <w:color w:val="000000" w:themeColor="text1"/>
          <w:sz w:val="24"/>
          <w:szCs w:val="24"/>
        </w:rPr>
        <w:t>Primary and secondary school completion rates are the lowest amongst the poorest individuals. I</w:t>
      </w:r>
      <w:r w:rsidRPr="002C4D6E">
        <w:rPr>
          <w:rFonts w:ascii="Times New Roman" w:hAnsi="Times New Roman" w:cs="Times New Roman"/>
          <w:color w:val="000000" w:themeColor="text1"/>
          <w:sz w:val="24"/>
          <w:szCs w:val="24"/>
        </w:rPr>
        <w:t>n 2009, the average size of households among the poorest 20 percent of households was 5.2 compared to a national average of 4.3 and an average of 3.5 among the wealthiest households.</w:t>
      </w:r>
    </w:p>
    <w:p w14:paraId="13A833A5" w14:textId="77777777" w:rsidR="00165465" w:rsidRPr="002C4D6E" w:rsidRDefault="00165465" w:rsidP="007B5E57">
      <w:pPr>
        <w:pStyle w:val="ListParagraph"/>
        <w:numPr>
          <w:ilvl w:val="0"/>
          <w:numId w:val="42"/>
        </w:numPr>
        <w:autoSpaceDE w:val="0"/>
        <w:autoSpaceDN w:val="0"/>
        <w:adjustRightInd w:val="0"/>
        <w:spacing w:line="240" w:lineRule="auto"/>
        <w:ind w:left="0" w:firstLine="0"/>
        <w:contextualSpacing w:val="0"/>
        <w:jc w:val="both"/>
        <w:rPr>
          <w:rFonts w:ascii="Times New Roman" w:hAnsi="Times New Roman" w:cs="Times New Roman"/>
          <w:color w:val="000000" w:themeColor="text1"/>
          <w:sz w:val="24"/>
          <w:szCs w:val="24"/>
        </w:rPr>
      </w:pPr>
      <w:r w:rsidRPr="002C4D6E">
        <w:rPr>
          <w:rFonts w:ascii="Times New Roman" w:hAnsi="Times New Roman" w:cs="Times New Roman"/>
          <w:b/>
          <w:bCs/>
          <w:color w:val="000000" w:themeColor="text1"/>
          <w:sz w:val="24"/>
          <w:szCs w:val="24"/>
        </w:rPr>
        <w:t>Poverty rates are highest in the arid and semiarid regions in the north and north east</w:t>
      </w:r>
      <w:r>
        <w:rPr>
          <w:rFonts w:ascii="Times New Roman" w:hAnsi="Times New Roman" w:cs="Times New Roman"/>
          <w:b/>
          <w:bCs/>
          <w:color w:val="000000" w:themeColor="text1"/>
          <w:sz w:val="24"/>
          <w:szCs w:val="24"/>
        </w:rPr>
        <w:t xml:space="preserve">, but </w:t>
      </w:r>
      <w:r w:rsidRPr="002C4D6E">
        <w:rPr>
          <w:rFonts w:ascii="Times New Roman" w:hAnsi="Times New Roman" w:cs="Times New Roman"/>
          <w:b/>
          <w:bCs/>
          <w:color w:val="000000" w:themeColor="text1"/>
          <w:sz w:val="24"/>
          <w:szCs w:val="24"/>
        </w:rPr>
        <w:t>Kenya’s poorest places are not the same places where most of the poor live</w:t>
      </w:r>
      <w:r>
        <w:rPr>
          <w:rFonts w:ascii="Times New Roman" w:hAnsi="Times New Roman" w:cs="Times New Roman"/>
          <w:b/>
          <w:bCs/>
          <w:color w:val="000000" w:themeColor="text1"/>
          <w:sz w:val="24"/>
          <w:szCs w:val="24"/>
        </w:rPr>
        <w:t>.</w:t>
      </w:r>
      <w:r w:rsidRPr="002C4D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C4D6E">
        <w:rPr>
          <w:rFonts w:ascii="Times New Roman" w:hAnsi="Times New Roman" w:cs="Times New Roman"/>
          <w:color w:val="000000" w:themeColor="text1"/>
          <w:sz w:val="24"/>
          <w:szCs w:val="24"/>
        </w:rPr>
        <w:t>Areas with very little annual rainfall, and thus, low agricultural potential have acute poverty. These regions have also been historically neglected, reflecting Kenya’s unbalanced geographical development. In 2005, poverty rates in arid regions (78 percent) were nearly double the poverty rates in medium and high potential agricultural areas (with poverty rates averaging 41 percent).</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 xml:space="preserve">Kenya’s lagging areas are sparsely populated and more isolated from its urban economic engines—Nairobi, Mombasa and Kisumu. Kenya’s development—as elsewhere—has been unbalanced geographically, and characterized by the growth of economic and population density in towns and cities. The majority of Kenya’s poor live in the denser and higher potential agricultural zones, in the vicinity of large urban centers. </w:t>
      </w:r>
      <w:r w:rsidRPr="002C4D6E">
        <w:rPr>
          <w:rFonts w:ascii="Times New Roman" w:hAnsi="Times New Roman" w:cs="Times New Roman"/>
          <w:bCs/>
          <w:color w:val="000000" w:themeColor="text1"/>
          <w:sz w:val="24"/>
          <w:szCs w:val="24"/>
        </w:rPr>
        <w:t>Due to patterns of population density, the largest numbers of poor are concentrated in areas where land is most fertile.</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Medium to high potential agricultural areas only make up 20 percent of all land, yet are home to 80 percent of the population. As a result, the largest number of poor are found around the shores of Lake Victoria in the west, the central highlands around Nairobi and east of Mt. Kenya and the coast near Mombasa. With rapid and concentrated population growth in these areas, the pressure over productive land resources will continue to grow.</w:t>
      </w:r>
    </w:p>
    <w:p w14:paraId="36D203EE" w14:textId="77777777" w:rsidR="00165465" w:rsidRPr="002C4D6E" w:rsidRDefault="00165465" w:rsidP="007B5E57">
      <w:pPr>
        <w:pStyle w:val="ListParagraph"/>
        <w:numPr>
          <w:ilvl w:val="0"/>
          <w:numId w:val="42"/>
        </w:numPr>
        <w:autoSpaceDE w:val="0"/>
        <w:autoSpaceDN w:val="0"/>
        <w:adjustRightInd w:val="0"/>
        <w:spacing w:line="240" w:lineRule="auto"/>
        <w:ind w:left="0" w:firstLine="0"/>
        <w:contextualSpacing w:val="0"/>
        <w:jc w:val="both"/>
        <w:rPr>
          <w:rFonts w:ascii="Times New Roman" w:hAnsi="Times New Roman" w:cs="Times New Roman"/>
          <w:b/>
          <w:bCs/>
          <w:color w:val="234677"/>
          <w:sz w:val="24"/>
          <w:szCs w:val="24"/>
        </w:rPr>
      </w:pPr>
      <w:r w:rsidRPr="002C4D6E">
        <w:rPr>
          <w:rFonts w:ascii="Times New Roman" w:hAnsi="Times New Roman" w:cs="Times New Roman"/>
          <w:b/>
          <w:bCs/>
          <w:color w:val="000000" w:themeColor="text1"/>
          <w:sz w:val="24"/>
          <w:szCs w:val="24"/>
        </w:rPr>
        <w:lastRenderedPageBreak/>
        <w:t xml:space="preserve">Between 1989 and 2009, Kenya has also experienced positive developments in several non-income dimensions of poverty, but not all of them. </w:t>
      </w:r>
      <w:r w:rsidRPr="002C4D6E">
        <w:rPr>
          <w:rFonts w:ascii="Times New Roman" w:hAnsi="Times New Roman" w:cs="Times New Roman"/>
          <w:color w:val="000000" w:themeColor="text1"/>
          <w:sz w:val="24"/>
          <w:szCs w:val="24"/>
        </w:rPr>
        <w:t>On average, Kenyans are increasingly</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healthy and more educated, enjoying better living</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conditions, and an expanded set of consumption</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opportunities. At the same time, a large fraction of</w:t>
      </w:r>
      <w:r w:rsidRPr="002C4D6E">
        <w:rPr>
          <w:rFonts w:ascii="Times New Roman" w:hAnsi="Times New Roman" w:cs="Times New Roman"/>
          <w:b/>
          <w:bCs/>
          <w:color w:val="000000" w:themeColor="text1"/>
          <w:sz w:val="24"/>
          <w:szCs w:val="24"/>
        </w:rPr>
        <w:t xml:space="preserve"> </w:t>
      </w:r>
      <w:r w:rsidRPr="002C4D6E">
        <w:rPr>
          <w:rFonts w:ascii="Times New Roman" w:hAnsi="Times New Roman" w:cs="Times New Roman"/>
          <w:color w:val="000000" w:themeColor="text1"/>
          <w:sz w:val="24"/>
          <w:szCs w:val="24"/>
        </w:rPr>
        <w:t xml:space="preserve">the population continues </w:t>
      </w:r>
      <w:r w:rsidRPr="002C4D6E">
        <w:rPr>
          <w:rFonts w:ascii="Times New Roman" w:hAnsi="Times New Roman" w:cs="Times New Roman"/>
          <w:color w:val="000000"/>
          <w:sz w:val="24"/>
          <w:szCs w:val="24"/>
        </w:rPr>
        <w:t>to live with sub-standard</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access to water, sanitation and energy. Inequality of opportunity is quite high. Indeed,</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for many, the sheer luck of where in the country</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one is born, one‘s ethnicity and one’s family</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wealth play an outsize role in determining access</w:t>
      </w:r>
      <w:r w:rsidRPr="002C4D6E">
        <w:rPr>
          <w:rFonts w:ascii="Times New Roman" w:hAnsi="Times New Roman" w:cs="Times New Roman"/>
          <w:b/>
          <w:bCs/>
          <w:color w:val="234677"/>
          <w:sz w:val="24"/>
          <w:szCs w:val="24"/>
        </w:rPr>
        <w:t xml:space="preserve"> </w:t>
      </w:r>
      <w:r w:rsidRPr="002C4D6E">
        <w:rPr>
          <w:rFonts w:ascii="Times New Roman" w:hAnsi="Times New Roman" w:cs="Times New Roman"/>
          <w:color w:val="000000"/>
          <w:sz w:val="24"/>
          <w:szCs w:val="24"/>
        </w:rPr>
        <w:t>to basic opportunities.</w:t>
      </w:r>
    </w:p>
    <w:p w14:paraId="31ED83C6" w14:textId="77777777" w:rsidR="00165465" w:rsidRPr="002C4D6E" w:rsidRDefault="00165465" w:rsidP="00165465">
      <w:pPr>
        <w:pStyle w:val="ListParagraph"/>
        <w:ind w:left="0"/>
        <w:contextualSpacing w:val="0"/>
        <w:rPr>
          <w:rFonts w:ascii="Times New Roman" w:hAnsi="Times New Roman" w:cs="Times New Roman"/>
          <w:b/>
          <w:sz w:val="24"/>
          <w:szCs w:val="24"/>
        </w:rPr>
      </w:pPr>
      <w:r>
        <w:rPr>
          <w:rFonts w:ascii="Times New Roman" w:hAnsi="Times New Roman" w:cs="Times New Roman"/>
          <w:b/>
          <w:sz w:val="24"/>
          <w:szCs w:val="24"/>
        </w:rPr>
        <w:t>Poverty Estimates and Projections</w:t>
      </w:r>
    </w:p>
    <w:p w14:paraId="7FE51340" w14:textId="73A3CEC5" w:rsidR="00165465" w:rsidRPr="00592772" w:rsidRDefault="00165465" w:rsidP="007B5E57">
      <w:pPr>
        <w:pStyle w:val="ListParagraph"/>
        <w:numPr>
          <w:ilvl w:val="0"/>
          <w:numId w:val="42"/>
        </w:numPr>
        <w:spacing w:line="240" w:lineRule="auto"/>
        <w:ind w:left="0" w:firstLine="0"/>
        <w:contextualSpacing w:val="0"/>
        <w:jc w:val="both"/>
        <w:rPr>
          <w:rFonts w:ascii="Times New Roman" w:hAnsi="Times New Roman" w:cs="Times New Roman"/>
          <w:sz w:val="24"/>
          <w:szCs w:val="24"/>
        </w:rPr>
      </w:pPr>
      <w:r w:rsidRPr="002C4D6E">
        <w:rPr>
          <w:rFonts w:ascii="Times New Roman" w:hAnsi="Times New Roman" w:cs="Times New Roman"/>
          <w:b/>
          <w:sz w:val="24"/>
          <w:szCs w:val="24"/>
        </w:rPr>
        <w:t>Kenya continues to grapple with high poverty rates despite a decade of sustained moderate economic growth</w:t>
      </w:r>
      <w:r w:rsidRPr="002C4D6E">
        <w:rPr>
          <w:rFonts w:ascii="Times New Roman" w:hAnsi="Times New Roman" w:cs="Times New Roman"/>
          <w:sz w:val="24"/>
          <w:szCs w:val="24"/>
        </w:rPr>
        <w:t>. The last national household budget survey to measure consumption was undertaken in 2005</w:t>
      </w:r>
      <w:r>
        <w:rPr>
          <w:rFonts w:ascii="Times New Roman" w:hAnsi="Times New Roman" w:cs="Times New Roman"/>
          <w:sz w:val="24"/>
          <w:szCs w:val="24"/>
        </w:rPr>
        <w:t>/06</w:t>
      </w:r>
      <w:r w:rsidRPr="002C4D6E">
        <w:rPr>
          <w:rFonts w:ascii="Times New Roman" w:hAnsi="Times New Roman" w:cs="Times New Roman"/>
          <w:sz w:val="24"/>
          <w:szCs w:val="24"/>
        </w:rPr>
        <w:t>, according to which 4</w:t>
      </w:r>
      <w:r>
        <w:rPr>
          <w:rFonts w:ascii="Times New Roman" w:hAnsi="Times New Roman" w:cs="Times New Roman"/>
          <w:sz w:val="24"/>
          <w:szCs w:val="24"/>
        </w:rPr>
        <w:t>7</w:t>
      </w:r>
      <w:r w:rsidRPr="002C4D6E">
        <w:rPr>
          <w:rFonts w:ascii="Times New Roman" w:hAnsi="Times New Roman" w:cs="Times New Roman"/>
          <w:sz w:val="24"/>
          <w:szCs w:val="24"/>
        </w:rPr>
        <w:t xml:space="preserve"> percent of Kenya’s population (or 1</w:t>
      </w:r>
      <w:r>
        <w:rPr>
          <w:rFonts w:ascii="Times New Roman" w:hAnsi="Times New Roman" w:cs="Times New Roman"/>
          <w:sz w:val="24"/>
          <w:szCs w:val="24"/>
        </w:rPr>
        <w:t>6.6</w:t>
      </w:r>
      <w:r w:rsidRPr="002C4D6E">
        <w:rPr>
          <w:rFonts w:ascii="Times New Roman" w:hAnsi="Times New Roman" w:cs="Times New Roman"/>
          <w:sz w:val="24"/>
          <w:szCs w:val="24"/>
        </w:rPr>
        <w:t xml:space="preserve"> million people) lived in extreme poverty. By 201</w:t>
      </w:r>
      <w:r>
        <w:rPr>
          <w:rFonts w:ascii="Times New Roman" w:hAnsi="Times New Roman" w:cs="Times New Roman"/>
          <w:sz w:val="24"/>
          <w:szCs w:val="24"/>
        </w:rPr>
        <w:t>2/13</w:t>
      </w:r>
      <w:r w:rsidRPr="002C4D6E">
        <w:rPr>
          <w:rFonts w:ascii="Times New Roman" w:hAnsi="Times New Roman" w:cs="Times New Roman"/>
          <w:sz w:val="24"/>
          <w:szCs w:val="24"/>
        </w:rPr>
        <w:t>, the poverty rate is estimated to have declined to 3</w:t>
      </w:r>
      <w:r>
        <w:rPr>
          <w:rFonts w:ascii="Times New Roman" w:hAnsi="Times New Roman" w:cs="Times New Roman"/>
          <w:sz w:val="24"/>
          <w:szCs w:val="24"/>
        </w:rPr>
        <w:t>9</w:t>
      </w:r>
      <w:r w:rsidRPr="002C4D6E">
        <w:rPr>
          <w:rFonts w:ascii="Times New Roman" w:hAnsi="Times New Roman" w:cs="Times New Roman"/>
          <w:sz w:val="24"/>
          <w:szCs w:val="24"/>
        </w:rPr>
        <w:t xml:space="preserve"> percent </w:t>
      </w:r>
      <w:r>
        <w:rPr>
          <w:rFonts w:ascii="Times New Roman" w:hAnsi="Times New Roman" w:cs="Times New Roman"/>
          <w:sz w:val="24"/>
          <w:szCs w:val="24"/>
        </w:rPr>
        <w:t>if growth in consumption per capita of all households in all sectors of the economy kept pace with observed growth in GDP per capita</w:t>
      </w:r>
      <w:r w:rsidRPr="002C4D6E">
        <w:rPr>
          <w:rFonts w:ascii="Times New Roman" w:hAnsi="Times New Roman" w:cs="Times New Roman"/>
          <w:sz w:val="24"/>
          <w:szCs w:val="24"/>
        </w:rPr>
        <w:t xml:space="preserve">. </w:t>
      </w:r>
      <w:r>
        <w:rPr>
          <w:rFonts w:ascii="Times New Roman" w:hAnsi="Times New Roman" w:cs="Times New Roman"/>
          <w:sz w:val="24"/>
          <w:szCs w:val="24"/>
        </w:rPr>
        <w:t xml:space="preserve">Under a scenario whereby inequality as measured by the Gini coefficient is simulated to increase by one percentage point annually, the estimated poverty rate 2012/13 would only have fallen to 41 percent. Under this scenario of worsening inequality, per capita consumption of the bottom 40 (the poor) in Kenya is estimated to have grown by less than 3 percent compared to almost 14 percent for the top 60 (the non-poor).  </w:t>
      </w:r>
      <w:r w:rsidRPr="002C4D6E">
        <w:rPr>
          <w:rFonts w:ascii="Times New Roman" w:hAnsi="Times New Roman" w:cs="Times New Roman"/>
          <w:sz w:val="24"/>
          <w:szCs w:val="24"/>
        </w:rPr>
        <w:t xml:space="preserve">It is pertinent for Kenya to undertake a </w:t>
      </w:r>
      <w:r>
        <w:rPr>
          <w:rFonts w:ascii="Times New Roman" w:hAnsi="Times New Roman" w:cs="Times New Roman"/>
          <w:sz w:val="24"/>
          <w:szCs w:val="24"/>
        </w:rPr>
        <w:t xml:space="preserve">new </w:t>
      </w:r>
      <w:r w:rsidRPr="002C4D6E">
        <w:rPr>
          <w:rFonts w:ascii="Times New Roman" w:hAnsi="Times New Roman" w:cs="Times New Roman"/>
          <w:sz w:val="24"/>
          <w:szCs w:val="24"/>
        </w:rPr>
        <w:t xml:space="preserve">household budget survey in order to better understand </w:t>
      </w:r>
      <w:r>
        <w:rPr>
          <w:rFonts w:ascii="Times New Roman" w:hAnsi="Times New Roman" w:cs="Times New Roman"/>
          <w:sz w:val="24"/>
          <w:szCs w:val="24"/>
        </w:rPr>
        <w:t xml:space="preserve">distributional dynamics and trends in </w:t>
      </w:r>
      <w:r w:rsidRPr="002C4D6E">
        <w:rPr>
          <w:rFonts w:ascii="Times New Roman" w:hAnsi="Times New Roman" w:cs="Times New Roman"/>
          <w:sz w:val="24"/>
          <w:szCs w:val="24"/>
        </w:rPr>
        <w:t xml:space="preserve">poverty </w:t>
      </w:r>
      <w:r>
        <w:rPr>
          <w:rFonts w:ascii="Times New Roman" w:hAnsi="Times New Roman" w:cs="Times New Roman"/>
          <w:sz w:val="24"/>
          <w:szCs w:val="24"/>
        </w:rPr>
        <w:t xml:space="preserve">rates </w:t>
      </w:r>
      <w:r w:rsidRPr="002C4D6E">
        <w:rPr>
          <w:rFonts w:ascii="Times New Roman" w:hAnsi="Times New Roman" w:cs="Times New Roman"/>
          <w:sz w:val="24"/>
          <w:szCs w:val="24"/>
        </w:rPr>
        <w:t>since 2005</w:t>
      </w:r>
      <w:r>
        <w:rPr>
          <w:rFonts w:ascii="Times New Roman" w:hAnsi="Times New Roman" w:cs="Times New Roman"/>
          <w:sz w:val="24"/>
          <w:szCs w:val="24"/>
        </w:rPr>
        <w:t xml:space="preserve">, both nationally as well as </w:t>
      </w:r>
      <w:r w:rsidR="00804542">
        <w:rPr>
          <w:rFonts w:ascii="Times New Roman" w:hAnsi="Times New Roman" w:cs="Times New Roman"/>
          <w:sz w:val="24"/>
          <w:szCs w:val="24"/>
        </w:rPr>
        <w:t>subnational</w:t>
      </w:r>
      <w:r>
        <w:rPr>
          <w:rFonts w:ascii="Times New Roman" w:hAnsi="Times New Roman" w:cs="Times New Roman"/>
          <w:sz w:val="24"/>
          <w:szCs w:val="24"/>
        </w:rPr>
        <w:t>ly and for different population groups</w:t>
      </w:r>
      <w:r w:rsidRPr="002C4D6E">
        <w:rPr>
          <w:rFonts w:ascii="Times New Roman" w:hAnsi="Times New Roman" w:cs="Times New Roman"/>
          <w:sz w:val="24"/>
          <w:szCs w:val="24"/>
        </w:rPr>
        <w:t>.</w:t>
      </w:r>
    </w:p>
    <w:tbl>
      <w:tblPr>
        <w:tblW w:w="9555" w:type="dxa"/>
        <w:jc w:val="center"/>
        <w:tblLook w:val="04A0" w:firstRow="1" w:lastRow="0" w:firstColumn="1" w:lastColumn="0" w:noHBand="0" w:noVBand="1"/>
      </w:tblPr>
      <w:tblGrid>
        <w:gridCol w:w="2812"/>
        <w:gridCol w:w="751"/>
        <w:gridCol w:w="865"/>
        <w:gridCol w:w="828"/>
        <w:gridCol w:w="968"/>
        <w:gridCol w:w="1044"/>
        <w:gridCol w:w="1695"/>
        <w:gridCol w:w="613"/>
      </w:tblGrid>
      <w:tr w:rsidR="00165465" w:rsidRPr="003A69B3" w14:paraId="23A6C992" w14:textId="77777777" w:rsidTr="003E7CE7">
        <w:trPr>
          <w:trHeight w:val="97"/>
          <w:jc w:val="center"/>
        </w:trPr>
        <w:tc>
          <w:tcPr>
            <w:tcW w:w="9285" w:type="dxa"/>
            <w:gridSpan w:val="7"/>
            <w:tcBorders>
              <w:top w:val="nil"/>
              <w:left w:val="nil"/>
              <w:bottom w:val="nil"/>
              <w:right w:val="nil"/>
            </w:tcBorders>
            <w:shd w:val="clear" w:color="000000" w:fill="FFFFFF"/>
            <w:noWrap/>
            <w:vAlign w:val="bottom"/>
            <w:hideMark/>
          </w:tcPr>
          <w:p w14:paraId="122073AA" w14:textId="77777777" w:rsidR="00165465" w:rsidRPr="003A69B3" w:rsidRDefault="00165465" w:rsidP="003E7CE7">
            <w:pPr>
              <w:spacing w:after="0" w:line="240" w:lineRule="auto"/>
              <w:ind w:right="-1103"/>
              <w:jc w:val="center"/>
              <w:rPr>
                <w:rFonts w:ascii="Times New Roman" w:eastAsia="Times New Roman" w:hAnsi="Times New Roman" w:cs="Times New Roman"/>
                <w:b/>
                <w:bCs/>
                <w:color w:val="000000"/>
              </w:rPr>
            </w:pPr>
            <w:r w:rsidRPr="001F2ADA">
              <w:rPr>
                <w:rFonts w:ascii="Times New Roman" w:eastAsia="Times New Roman" w:hAnsi="Times New Roman" w:cs="Times New Roman"/>
                <w:b/>
                <w:bCs/>
                <w:color w:val="000000"/>
                <w:sz w:val="24"/>
              </w:rPr>
              <w:t>Table 1. Projected poverty rates for different growth &amp; inequality scena</w:t>
            </w:r>
            <w:r>
              <w:rPr>
                <w:rFonts w:ascii="Times New Roman" w:eastAsia="Times New Roman" w:hAnsi="Times New Roman" w:cs="Times New Roman"/>
                <w:b/>
                <w:bCs/>
                <w:color w:val="000000"/>
                <w:sz w:val="24"/>
              </w:rPr>
              <w:t>rios</w:t>
            </w:r>
          </w:p>
        </w:tc>
        <w:tc>
          <w:tcPr>
            <w:tcW w:w="270" w:type="dxa"/>
            <w:tcBorders>
              <w:top w:val="nil"/>
              <w:left w:val="nil"/>
              <w:bottom w:val="nil"/>
              <w:right w:val="nil"/>
            </w:tcBorders>
            <w:shd w:val="clear" w:color="000000" w:fill="FFFFFF"/>
            <w:noWrap/>
            <w:vAlign w:val="bottom"/>
            <w:hideMark/>
          </w:tcPr>
          <w:p w14:paraId="02020C84" w14:textId="77777777" w:rsidR="00165465" w:rsidRPr="003A69B3" w:rsidRDefault="00165465" w:rsidP="003E7CE7">
            <w:pPr>
              <w:spacing w:after="0" w:line="240" w:lineRule="auto"/>
              <w:ind w:left="77"/>
              <w:rPr>
                <w:rFonts w:ascii="Times New Roman" w:eastAsia="Times New Roman" w:hAnsi="Times New Roman" w:cs="Times New Roman"/>
                <w:color w:val="000000"/>
              </w:rPr>
            </w:pPr>
            <w:r w:rsidRPr="003A69B3">
              <w:rPr>
                <w:rFonts w:ascii="Times New Roman" w:eastAsia="Times New Roman" w:hAnsi="Times New Roman" w:cs="Times New Roman"/>
                <w:color w:val="000000"/>
              </w:rPr>
              <w:t> </w:t>
            </w:r>
          </w:p>
        </w:tc>
      </w:tr>
      <w:tr w:rsidR="00165465" w:rsidRPr="003A69B3" w14:paraId="62680266" w14:textId="77777777" w:rsidTr="003E7CE7">
        <w:trPr>
          <w:trHeight w:val="161"/>
          <w:jc w:val="center"/>
        </w:trPr>
        <w:tc>
          <w:tcPr>
            <w:tcW w:w="2925" w:type="dxa"/>
            <w:tcBorders>
              <w:top w:val="single" w:sz="4" w:space="0" w:color="auto"/>
              <w:left w:val="nil"/>
              <w:bottom w:val="nil"/>
              <w:right w:val="nil"/>
            </w:tcBorders>
            <w:shd w:val="clear" w:color="000000" w:fill="FFFFFF"/>
            <w:noWrap/>
            <w:vAlign w:val="bottom"/>
            <w:hideMark/>
          </w:tcPr>
          <w:p w14:paraId="508FA08F" w14:textId="77777777" w:rsidR="00165465" w:rsidRPr="001F2ADA" w:rsidRDefault="00165465" w:rsidP="003E7CE7">
            <w:pPr>
              <w:spacing w:after="0" w:line="240" w:lineRule="auto"/>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774" w:type="dxa"/>
            <w:tcBorders>
              <w:top w:val="single" w:sz="4" w:space="0" w:color="auto"/>
              <w:left w:val="nil"/>
              <w:bottom w:val="nil"/>
              <w:right w:val="nil"/>
            </w:tcBorders>
            <w:shd w:val="clear" w:color="000000" w:fill="FFFFFF"/>
            <w:noWrap/>
            <w:vAlign w:val="center"/>
            <w:hideMark/>
          </w:tcPr>
          <w:p w14:paraId="310F7979"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2747" w:type="dxa"/>
            <w:gridSpan w:val="3"/>
            <w:tcBorders>
              <w:top w:val="single" w:sz="4" w:space="0" w:color="auto"/>
              <w:left w:val="nil"/>
              <w:bottom w:val="nil"/>
              <w:right w:val="single" w:sz="4" w:space="0" w:color="000000"/>
            </w:tcBorders>
            <w:shd w:val="clear" w:color="000000" w:fill="FFFFFF"/>
            <w:noWrap/>
            <w:vAlign w:val="center"/>
            <w:hideMark/>
          </w:tcPr>
          <w:p w14:paraId="39B3E389"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2018</w:t>
            </w:r>
          </w:p>
        </w:tc>
        <w:tc>
          <w:tcPr>
            <w:tcW w:w="3109" w:type="dxa"/>
            <w:gridSpan w:val="3"/>
            <w:tcBorders>
              <w:top w:val="single" w:sz="4" w:space="0" w:color="auto"/>
              <w:left w:val="nil"/>
              <w:bottom w:val="nil"/>
              <w:right w:val="nil"/>
            </w:tcBorders>
            <w:shd w:val="clear" w:color="000000" w:fill="FFFFFF"/>
            <w:noWrap/>
            <w:vAlign w:val="center"/>
            <w:hideMark/>
          </w:tcPr>
          <w:p w14:paraId="452CCAAC"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2030</w:t>
            </w:r>
          </w:p>
        </w:tc>
      </w:tr>
      <w:tr w:rsidR="00165465" w:rsidRPr="003A69B3" w14:paraId="12AE70D5" w14:textId="77777777" w:rsidTr="003E7CE7">
        <w:trPr>
          <w:trHeight w:val="99"/>
          <w:jc w:val="center"/>
        </w:trPr>
        <w:tc>
          <w:tcPr>
            <w:tcW w:w="2925" w:type="dxa"/>
            <w:tcBorders>
              <w:top w:val="nil"/>
              <w:left w:val="nil"/>
              <w:bottom w:val="nil"/>
              <w:right w:val="nil"/>
            </w:tcBorders>
            <w:shd w:val="clear" w:color="000000" w:fill="FFFFFF"/>
            <w:noWrap/>
            <w:vAlign w:val="bottom"/>
            <w:hideMark/>
          </w:tcPr>
          <w:p w14:paraId="4B30DBB2" w14:textId="77777777" w:rsidR="00165465" w:rsidRPr="001F2ADA" w:rsidRDefault="00165465" w:rsidP="003E7CE7">
            <w:pPr>
              <w:spacing w:after="0" w:line="240" w:lineRule="auto"/>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774" w:type="dxa"/>
            <w:tcBorders>
              <w:top w:val="nil"/>
              <w:left w:val="nil"/>
              <w:bottom w:val="nil"/>
              <w:right w:val="nil"/>
            </w:tcBorders>
            <w:shd w:val="clear" w:color="000000" w:fill="FFFFFF"/>
            <w:noWrap/>
            <w:vAlign w:val="center"/>
            <w:hideMark/>
          </w:tcPr>
          <w:p w14:paraId="2C6910EF"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5856" w:type="dxa"/>
            <w:gridSpan w:val="6"/>
            <w:tcBorders>
              <w:top w:val="nil"/>
              <w:left w:val="nil"/>
              <w:bottom w:val="single" w:sz="4" w:space="0" w:color="auto"/>
              <w:right w:val="nil"/>
            </w:tcBorders>
            <w:shd w:val="clear" w:color="000000" w:fill="FFFFFF"/>
            <w:noWrap/>
            <w:vAlign w:val="center"/>
            <w:hideMark/>
          </w:tcPr>
          <w:p w14:paraId="55BB6F6C" w14:textId="77777777" w:rsidR="00165465" w:rsidRPr="001F2ADA" w:rsidRDefault="00165465" w:rsidP="003E7CE7">
            <w:pPr>
              <w:spacing w:after="0" w:line="240" w:lineRule="auto"/>
              <w:jc w:val="center"/>
              <w:rPr>
                <w:rFonts w:ascii="Times New Roman" w:eastAsia="Times New Roman" w:hAnsi="Times New Roman" w:cs="Times New Roman"/>
                <w:i/>
                <w:iCs/>
                <w:color w:val="000000"/>
                <w:sz w:val="20"/>
              </w:rPr>
            </w:pPr>
            <w:r w:rsidRPr="001F2ADA">
              <w:rPr>
                <w:rFonts w:ascii="Times New Roman" w:eastAsia="Times New Roman" w:hAnsi="Times New Roman" w:cs="Times New Roman"/>
                <w:i/>
                <w:iCs/>
                <w:color w:val="000000"/>
                <w:sz w:val="20"/>
              </w:rPr>
              <w:t>Inequality Scenario (% growth in Gini coefficient per year)</w:t>
            </w:r>
          </w:p>
        </w:tc>
      </w:tr>
      <w:tr w:rsidR="00165465" w:rsidRPr="003A69B3" w14:paraId="3B5EA593" w14:textId="77777777" w:rsidTr="003E7CE7">
        <w:trPr>
          <w:trHeight w:val="134"/>
          <w:jc w:val="center"/>
        </w:trPr>
        <w:tc>
          <w:tcPr>
            <w:tcW w:w="2925" w:type="dxa"/>
            <w:tcBorders>
              <w:top w:val="nil"/>
              <w:left w:val="nil"/>
              <w:bottom w:val="nil"/>
              <w:right w:val="nil"/>
            </w:tcBorders>
            <w:shd w:val="clear" w:color="000000" w:fill="FFFFFF"/>
            <w:noWrap/>
            <w:vAlign w:val="bottom"/>
            <w:hideMark/>
          </w:tcPr>
          <w:p w14:paraId="492B52C0" w14:textId="77777777" w:rsidR="00165465" w:rsidRPr="001F2ADA" w:rsidRDefault="00165465" w:rsidP="003E7CE7">
            <w:pPr>
              <w:spacing w:after="0" w:line="240" w:lineRule="auto"/>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774" w:type="dxa"/>
            <w:tcBorders>
              <w:top w:val="nil"/>
              <w:left w:val="nil"/>
              <w:bottom w:val="single" w:sz="4" w:space="0" w:color="auto"/>
              <w:right w:val="nil"/>
            </w:tcBorders>
            <w:shd w:val="clear" w:color="000000" w:fill="FFFFFF"/>
            <w:noWrap/>
            <w:vAlign w:val="center"/>
            <w:hideMark/>
          </w:tcPr>
          <w:p w14:paraId="1E12728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w:t>
            </w:r>
          </w:p>
        </w:tc>
        <w:tc>
          <w:tcPr>
            <w:tcW w:w="893" w:type="dxa"/>
            <w:tcBorders>
              <w:top w:val="nil"/>
              <w:left w:val="nil"/>
              <w:bottom w:val="single" w:sz="4" w:space="0" w:color="auto"/>
              <w:right w:val="nil"/>
            </w:tcBorders>
            <w:shd w:val="clear" w:color="000000" w:fill="FFFFFF"/>
            <w:noWrap/>
            <w:vAlign w:val="center"/>
            <w:hideMark/>
          </w:tcPr>
          <w:p w14:paraId="44BFA823"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-1%</w:t>
            </w:r>
          </w:p>
        </w:tc>
        <w:tc>
          <w:tcPr>
            <w:tcW w:w="854" w:type="dxa"/>
            <w:tcBorders>
              <w:top w:val="nil"/>
              <w:left w:val="nil"/>
              <w:bottom w:val="single" w:sz="4" w:space="0" w:color="auto"/>
              <w:right w:val="nil"/>
            </w:tcBorders>
            <w:shd w:val="clear" w:color="000000" w:fill="FFFFFF"/>
            <w:noWrap/>
            <w:vAlign w:val="center"/>
            <w:hideMark/>
          </w:tcPr>
          <w:p w14:paraId="07A2286D"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14:paraId="72F58BAD"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+1%</w:t>
            </w:r>
          </w:p>
        </w:tc>
        <w:tc>
          <w:tcPr>
            <w:tcW w:w="1080" w:type="dxa"/>
            <w:tcBorders>
              <w:top w:val="nil"/>
              <w:left w:val="nil"/>
              <w:bottom w:val="single" w:sz="4" w:space="0" w:color="auto"/>
              <w:right w:val="nil"/>
            </w:tcBorders>
            <w:shd w:val="clear" w:color="000000" w:fill="FFFFFF"/>
            <w:noWrap/>
            <w:vAlign w:val="center"/>
            <w:hideMark/>
          </w:tcPr>
          <w:p w14:paraId="50FC60E3"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-1%</w:t>
            </w:r>
          </w:p>
        </w:tc>
        <w:tc>
          <w:tcPr>
            <w:tcW w:w="1759" w:type="dxa"/>
            <w:tcBorders>
              <w:top w:val="nil"/>
              <w:left w:val="nil"/>
              <w:bottom w:val="single" w:sz="4" w:space="0" w:color="auto"/>
              <w:right w:val="nil"/>
            </w:tcBorders>
            <w:shd w:val="clear" w:color="000000" w:fill="FFFFFF"/>
            <w:noWrap/>
            <w:vAlign w:val="center"/>
            <w:hideMark/>
          </w:tcPr>
          <w:p w14:paraId="7D1DB3CF"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0</w:t>
            </w:r>
          </w:p>
        </w:tc>
        <w:tc>
          <w:tcPr>
            <w:tcW w:w="270" w:type="dxa"/>
            <w:tcBorders>
              <w:top w:val="nil"/>
              <w:left w:val="nil"/>
              <w:bottom w:val="single" w:sz="4" w:space="0" w:color="auto"/>
              <w:right w:val="nil"/>
            </w:tcBorders>
            <w:shd w:val="clear" w:color="000000" w:fill="FFFFFF"/>
            <w:noWrap/>
            <w:vAlign w:val="center"/>
            <w:hideMark/>
          </w:tcPr>
          <w:p w14:paraId="77881A1C"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+1%</w:t>
            </w:r>
          </w:p>
        </w:tc>
      </w:tr>
      <w:tr w:rsidR="00165465" w:rsidRPr="003A69B3" w14:paraId="47B418BD" w14:textId="77777777" w:rsidTr="003E7CE7">
        <w:trPr>
          <w:trHeight w:val="170"/>
          <w:jc w:val="center"/>
        </w:trPr>
        <w:tc>
          <w:tcPr>
            <w:tcW w:w="2925" w:type="dxa"/>
            <w:vMerge w:val="restart"/>
            <w:tcBorders>
              <w:top w:val="single" w:sz="4" w:space="0" w:color="auto"/>
              <w:left w:val="nil"/>
              <w:bottom w:val="single" w:sz="4" w:space="0" w:color="000000"/>
              <w:right w:val="nil"/>
            </w:tcBorders>
            <w:shd w:val="clear" w:color="000000" w:fill="FFFFFF"/>
            <w:vAlign w:val="center"/>
            <w:hideMark/>
          </w:tcPr>
          <w:p w14:paraId="3902C68E"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 xml:space="preserve">GDP scenario </w:t>
            </w:r>
            <w:r w:rsidRPr="001F2ADA">
              <w:rPr>
                <w:rFonts w:ascii="Times New Roman" w:eastAsia="Times New Roman" w:hAnsi="Times New Roman" w:cs="Times New Roman"/>
                <w:color w:val="000000"/>
                <w:sz w:val="20"/>
              </w:rPr>
              <w:br/>
              <w:t>(% growth per year)</w:t>
            </w:r>
          </w:p>
        </w:tc>
        <w:tc>
          <w:tcPr>
            <w:tcW w:w="774" w:type="dxa"/>
            <w:tcBorders>
              <w:top w:val="nil"/>
              <w:left w:val="nil"/>
              <w:bottom w:val="nil"/>
              <w:right w:val="nil"/>
            </w:tcBorders>
            <w:shd w:val="clear" w:color="000000" w:fill="FFFFFF"/>
            <w:noWrap/>
            <w:vAlign w:val="center"/>
            <w:hideMark/>
          </w:tcPr>
          <w:p w14:paraId="3A87FA5F"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+4</w:t>
            </w:r>
          </w:p>
        </w:tc>
        <w:tc>
          <w:tcPr>
            <w:tcW w:w="893" w:type="dxa"/>
            <w:tcBorders>
              <w:top w:val="nil"/>
              <w:left w:val="nil"/>
              <w:bottom w:val="nil"/>
              <w:right w:val="nil"/>
            </w:tcBorders>
            <w:shd w:val="clear" w:color="000000" w:fill="FFFFFF"/>
            <w:noWrap/>
            <w:vAlign w:val="center"/>
            <w:hideMark/>
          </w:tcPr>
          <w:p w14:paraId="0D9CDE9D"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27.6</w:t>
            </w:r>
          </w:p>
        </w:tc>
        <w:tc>
          <w:tcPr>
            <w:tcW w:w="854" w:type="dxa"/>
            <w:tcBorders>
              <w:top w:val="nil"/>
              <w:left w:val="nil"/>
              <w:bottom w:val="nil"/>
              <w:right w:val="nil"/>
            </w:tcBorders>
            <w:shd w:val="clear" w:color="000000" w:fill="FFFFFF"/>
            <w:noWrap/>
            <w:vAlign w:val="center"/>
            <w:hideMark/>
          </w:tcPr>
          <w:p w14:paraId="5614E72E"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35.4</w:t>
            </w:r>
          </w:p>
        </w:tc>
        <w:tc>
          <w:tcPr>
            <w:tcW w:w="1000" w:type="dxa"/>
            <w:tcBorders>
              <w:top w:val="nil"/>
              <w:left w:val="nil"/>
              <w:bottom w:val="nil"/>
              <w:right w:val="single" w:sz="4" w:space="0" w:color="auto"/>
            </w:tcBorders>
            <w:shd w:val="clear" w:color="000000" w:fill="FFFFFF"/>
            <w:noWrap/>
            <w:vAlign w:val="center"/>
            <w:hideMark/>
          </w:tcPr>
          <w:p w14:paraId="7AF5A7C0"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41.6</w:t>
            </w:r>
          </w:p>
        </w:tc>
        <w:tc>
          <w:tcPr>
            <w:tcW w:w="1080" w:type="dxa"/>
            <w:tcBorders>
              <w:top w:val="nil"/>
              <w:left w:val="nil"/>
              <w:bottom w:val="nil"/>
              <w:right w:val="nil"/>
            </w:tcBorders>
            <w:shd w:val="clear" w:color="000000" w:fill="FFFFFF"/>
            <w:noWrap/>
            <w:vAlign w:val="center"/>
            <w:hideMark/>
          </w:tcPr>
          <w:p w14:paraId="3D315B00"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11.1</w:t>
            </w:r>
          </w:p>
        </w:tc>
        <w:tc>
          <w:tcPr>
            <w:tcW w:w="1759" w:type="dxa"/>
            <w:tcBorders>
              <w:top w:val="nil"/>
              <w:left w:val="nil"/>
              <w:bottom w:val="nil"/>
              <w:right w:val="nil"/>
            </w:tcBorders>
            <w:shd w:val="clear" w:color="000000" w:fill="FFFFFF"/>
            <w:noWrap/>
            <w:vAlign w:val="center"/>
            <w:hideMark/>
          </w:tcPr>
          <w:p w14:paraId="297CD85B"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27.4</w:t>
            </w:r>
          </w:p>
        </w:tc>
        <w:tc>
          <w:tcPr>
            <w:tcW w:w="270" w:type="dxa"/>
            <w:tcBorders>
              <w:top w:val="nil"/>
              <w:left w:val="nil"/>
              <w:bottom w:val="nil"/>
              <w:right w:val="nil"/>
            </w:tcBorders>
            <w:shd w:val="clear" w:color="000000" w:fill="FFFFFF"/>
            <w:noWrap/>
            <w:vAlign w:val="center"/>
            <w:hideMark/>
          </w:tcPr>
          <w:p w14:paraId="3584EE3B"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41.1</w:t>
            </w:r>
          </w:p>
        </w:tc>
      </w:tr>
      <w:tr w:rsidR="00165465" w:rsidRPr="003A69B3" w14:paraId="365DDD5E" w14:textId="77777777" w:rsidTr="003E7CE7">
        <w:trPr>
          <w:trHeight w:val="98"/>
          <w:jc w:val="center"/>
        </w:trPr>
        <w:tc>
          <w:tcPr>
            <w:tcW w:w="2925" w:type="dxa"/>
            <w:vMerge/>
            <w:tcBorders>
              <w:top w:val="single" w:sz="4" w:space="0" w:color="auto"/>
              <w:left w:val="nil"/>
              <w:bottom w:val="single" w:sz="4" w:space="0" w:color="000000"/>
              <w:right w:val="nil"/>
            </w:tcBorders>
            <w:vAlign w:val="center"/>
            <w:hideMark/>
          </w:tcPr>
          <w:p w14:paraId="6325D330" w14:textId="77777777" w:rsidR="00165465" w:rsidRPr="001F2ADA" w:rsidRDefault="00165465" w:rsidP="003E7CE7">
            <w:pPr>
              <w:spacing w:after="0" w:line="240" w:lineRule="auto"/>
              <w:rPr>
                <w:rFonts w:ascii="Times New Roman" w:eastAsia="Times New Roman" w:hAnsi="Times New Roman" w:cs="Times New Roman"/>
                <w:color w:val="000000"/>
                <w:sz w:val="20"/>
              </w:rPr>
            </w:pPr>
          </w:p>
        </w:tc>
        <w:tc>
          <w:tcPr>
            <w:tcW w:w="774" w:type="dxa"/>
            <w:tcBorders>
              <w:top w:val="nil"/>
              <w:left w:val="nil"/>
              <w:bottom w:val="nil"/>
              <w:right w:val="nil"/>
            </w:tcBorders>
            <w:shd w:val="clear" w:color="000000" w:fill="FFFFFF"/>
            <w:noWrap/>
            <w:vAlign w:val="center"/>
            <w:hideMark/>
          </w:tcPr>
          <w:p w14:paraId="3D23D20C"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+6</w:t>
            </w:r>
          </w:p>
        </w:tc>
        <w:tc>
          <w:tcPr>
            <w:tcW w:w="893" w:type="dxa"/>
            <w:tcBorders>
              <w:top w:val="nil"/>
              <w:left w:val="nil"/>
              <w:bottom w:val="nil"/>
              <w:right w:val="nil"/>
            </w:tcBorders>
            <w:shd w:val="clear" w:color="000000" w:fill="FFFFFF"/>
            <w:noWrap/>
            <w:vAlign w:val="center"/>
            <w:hideMark/>
          </w:tcPr>
          <w:p w14:paraId="223DE8A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19.8</w:t>
            </w:r>
          </w:p>
        </w:tc>
        <w:tc>
          <w:tcPr>
            <w:tcW w:w="854" w:type="dxa"/>
            <w:tcBorders>
              <w:top w:val="nil"/>
              <w:left w:val="nil"/>
              <w:bottom w:val="nil"/>
              <w:right w:val="nil"/>
            </w:tcBorders>
            <w:shd w:val="clear" w:color="000000" w:fill="FFFFFF"/>
            <w:noWrap/>
            <w:vAlign w:val="center"/>
            <w:hideMark/>
          </w:tcPr>
          <w:p w14:paraId="3C125343"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28.5</w:t>
            </w:r>
          </w:p>
        </w:tc>
        <w:tc>
          <w:tcPr>
            <w:tcW w:w="1000" w:type="dxa"/>
            <w:tcBorders>
              <w:top w:val="nil"/>
              <w:left w:val="nil"/>
              <w:bottom w:val="nil"/>
              <w:right w:val="single" w:sz="4" w:space="0" w:color="auto"/>
            </w:tcBorders>
            <w:shd w:val="clear" w:color="000000" w:fill="FFFFFF"/>
            <w:noWrap/>
            <w:vAlign w:val="center"/>
            <w:hideMark/>
          </w:tcPr>
          <w:p w14:paraId="261104F6"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36.3</w:t>
            </w:r>
          </w:p>
        </w:tc>
        <w:tc>
          <w:tcPr>
            <w:tcW w:w="1080" w:type="dxa"/>
            <w:tcBorders>
              <w:top w:val="nil"/>
              <w:left w:val="nil"/>
              <w:bottom w:val="nil"/>
              <w:right w:val="nil"/>
            </w:tcBorders>
            <w:shd w:val="clear" w:color="000000" w:fill="FFFFFF"/>
            <w:noWrap/>
            <w:vAlign w:val="center"/>
            <w:hideMark/>
          </w:tcPr>
          <w:p w14:paraId="75F8201D"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1.9</w:t>
            </w:r>
          </w:p>
        </w:tc>
        <w:tc>
          <w:tcPr>
            <w:tcW w:w="1759" w:type="dxa"/>
            <w:tcBorders>
              <w:top w:val="nil"/>
              <w:left w:val="nil"/>
              <w:bottom w:val="nil"/>
              <w:right w:val="nil"/>
            </w:tcBorders>
            <w:shd w:val="clear" w:color="000000" w:fill="FFFFFF"/>
            <w:noWrap/>
            <w:vAlign w:val="center"/>
            <w:hideMark/>
          </w:tcPr>
          <w:p w14:paraId="4AF4F511"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13.1</w:t>
            </w:r>
          </w:p>
        </w:tc>
        <w:tc>
          <w:tcPr>
            <w:tcW w:w="270" w:type="dxa"/>
            <w:tcBorders>
              <w:top w:val="nil"/>
              <w:left w:val="nil"/>
              <w:bottom w:val="nil"/>
              <w:right w:val="nil"/>
            </w:tcBorders>
            <w:shd w:val="clear" w:color="000000" w:fill="FFFFFF"/>
            <w:noWrap/>
            <w:vAlign w:val="center"/>
            <w:hideMark/>
          </w:tcPr>
          <w:p w14:paraId="326A62D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29.3</w:t>
            </w:r>
          </w:p>
        </w:tc>
      </w:tr>
      <w:tr w:rsidR="00165465" w:rsidRPr="003A69B3" w14:paraId="7D34DF21" w14:textId="77777777" w:rsidTr="003E7CE7">
        <w:trPr>
          <w:trHeight w:val="143"/>
          <w:jc w:val="center"/>
        </w:trPr>
        <w:tc>
          <w:tcPr>
            <w:tcW w:w="2925" w:type="dxa"/>
            <w:vMerge/>
            <w:tcBorders>
              <w:top w:val="single" w:sz="4" w:space="0" w:color="auto"/>
              <w:left w:val="nil"/>
              <w:bottom w:val="single" w:sz="4" w:space="0" w:color="000000"/>
              <w:right w:val="nil"/>
            </w:tcBorders>
            <w:vAlign w:val="center"/>
            <w:hideMark/>
          </w:tcPr>
          <w:p w14:paraId="4A023923" w14:textId="77777777" w:rsidR="00165465" w:rsidRPr="001F2ADA" w:rsidRDefault="00165465" w:rsidP="003E7CE7">
            <w:pPr>
              <w:spacing w:after="0" w:line="240" w:lineRule="auto"/>
              <w:rPr>
                <w:rFonts w:ascii="Times New Roman" w:eastAsia="Times New Roman" w:hAnsi="Times New Roman" w:cs="Times New Roman"/>
                <w:color w:val="000000"/>
                <w:sz w:val="20"/>
              </w:rPr>
            </w:pPr>
          </w:p>
        </w:tc>
        <w:tc>
          <w:tcPr>
            <w:tcW w:w="774" w:type="dxa"/>
            <w:tcBorders>
              <w:top w:val="nil"/>
              <w:left w:val="nil"/>
              <w:bottom w:val="nil"/>
              <w:right w:val="nil"/>
            </w:tcBorders>
            <w:shd w:val="clear" w:color="000000" w:fill="FFFFFF"/>
            <w:noWrap/>
            <w:vAlign w:val="center"/>
            <w:hideMark/>
          </w:tcPr>
          <w:p w14:paraId="5256D353"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+8</w:t>
            </w:r>
          </w:p>
        </w:tc>
        <w:tc>
          <w:tcPr>
            <w:tcW w:w="893" w:type="dxa"/>
            <w:tcBorders>
              <w:top w:val="nil"/>
              <w:left w:val="nil"/>
              <w:bottom w:val="nil"/>
              <w:right w:val="nil"/>
            </w:tcBorders>
            <w:shd w:val="clear" w:color="000000" w:fill="FFFFFF"/>
            <w:noWrap/>
            <w:vAlign w:val="center"/>
            <w:hideMark/>
          </w:tcPr>
          <w:p w14:paraId="67F5E84C"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14.2</w:t>
            </w:r>
          </w:p>
        </w:tc>
        <w:tc>
          <w:tcPr>
            <w:tcW w:w="854" w:type="dxa"/>
            <w:tcBorders>
              <w:top w:val="nil"/>
              <w:left w:val="nil"/>
              <w:bottom w:val="nil"/>
              <w:right w:val="nil"/>
            </w:tcBorders>
            <w:shd w:val="clear" w:color="000000" w:fill="FFFFFF"/>
            <w:noWrap/>
            <w:vAlign w:val="center"/>
            <w:hideMark/>
          </w:tcPr>
          <w:p w14:paraId="5FDDA0F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22.9</w:t>
            </w:r>
          </w:p>
        </w:tc>
        <w:tc>
          <w:tcPr>
            <w:tcW w:w="1000" w:type="dxa"/>
            <w:tcBorders>
              <w:top w:val="nil"/>
              <w:left w:val="nil"/>
              <w:bottom w:val="nil"/>
              <w:right w:val="single" w:sz="4" w:space="0" w:color="auto"/>
            </w:tcBorders>
            <w:shd w:val="clear" w:color="000000" w:fill="FFFFFF"/>
            <w:noWrap/>
            <w:vAlign w:val="center"/>
            <w:hideMark/>
          </w:tcPr>
          <w:p w14:paraId="54744EFC"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30.8</w:t>
            </w:r>
          </w:p>
        </w:tc>
        <w:tc>
          <w:tcPr>
            <w:tcW w:w="1080" w:type="dxa"/>
            <w:tcBorders>
              <w:top w:val="nil"/>
              <w:left w:val="nil"/>
              <w:bottom w:val="nil"/>
              <w:right w:val="nil"/>
            </w:tcBorders>
            <w:shd w:val="clear" w:color="000000" w:fill="FFFFFF"/>
            <w:noWrap/>
            <w:vAlign w:val="center"/>
            <w:hideMark/>
          </w:tcPr>
          <w:p w14:paraId="0D07090B"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0.19</w:t>
            </w:r>
          </w:p>
        </w:tc>
        <w:tc>
          <w:tcPr>
            <w:tcW w:w="1759" w:type="dxa"/>
            <w:tcBorders>
              <w:top w:val="nil"/>
              <w:left w:val="nil"/>
              <w:bottom w:val="nil"/>
              <w:right w:val="nil"/>
            </w:tcBorders>
            <w:shd w:val="clear" w:color="000000" w:fill="FFFFFF"/>
            <w:noWrap/>
            <w:vAlign w:val="center"/>
            <w:hideMark/>
          </w:tcPr>
          <w:p w14:paraId="61F2A94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5.9</w:t>
            </w:r>
          </w:p>
        </w:tc>
        <w:tc>
          <w:tcPr>
            <w:tcW w:w="270" w:type="dxa"/>
            <w:tcBorders>
              <w:top w:val="nil"/>
              <w:left w:val="nil"/>
              <w:bottom w:val="nil"/>
              <w:right w:val="nil"/>
            </w:tcBorders>
            <w:shd w:val="clear" w:color="000000" w:fill="FFFFFF"/>
            <w:noWrap/>
            <w:vAlign w:val="center"/>
            <w:hideMark/>
          </w:tcPr>
          <w:p w14:paraId="3554470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21.4</w:t>
            </w:r>
          </w:p>
        </w:tc>
      </w:tr>
      <w:tr w:rsidR="00165465" w:rsidRPr="003A69B3" w14:paraId="1D3FA3AF" w14:textId="77777777" w:rsidTr="003E7CE7">
        <w:trPr>
          <w:trHeight w:val="87"/>
          <w:jc w:val="center"/>
        </w:trPr>
        <w:tc>
          <w:tcPr>
            <w:tcW w:w="2925" w:type="dxa"/>
            <w:vMerge/>
            <w:tcBorders>
              <w:top w:val="single" w:sz="4" w:space="0" w:color="auto"/>
              <w:left w:val="nil"/>
              <w:bottom w:val="single" w:sz="4" w:space="0" w:color="000000"/>
              <w:right w:val="nil"/>
            </w:tcBorders>
            <w:vAlign w:val="center"/>
            <w:hideMark/>
          </w:tcPr>
          <w:p w14:paraId="7060F929" w14:textId="77777777" w:rsidR="00165465" w:rsidRPr="001F2ADA" w:rsidRDefault="00165465" w:rsidP="003E7CE7">
            <w:pPr>
              <w:spacing w:after="0" w:line="240" w:lineRule="auto"/>
              <w:rPr>
                <w:rFonts w:ascii="Times New Roman" w:eastAsia="Times New Roman" w:hAnsi="Times New Roman" w:cs="Times New Roman"/>
                <w:color w:val="000000"/>
                <w:sz w:val="20"/>
              </w:rPr>
            </w:pPr>
          </w:p>
        </w:tc>
        <w:tc>
          <w:tcPr>
            <w:tcW w:w="774" w:type="dxa"/>
            <w:tcBorders>
              <w:top w:val="nil"/>
              <w:left w:val="nil"/>
              <w:bottom w:val="single" w:sz="4" w:space="0" w:color="auto"/>
              <w:right w:val="nil"/>
            </w:tcBorders>
            <w:shd w:val="clear" w:color="000000" w:fill="FFFFFF"/>
            <w:noWrap/>
            <w:vAlign w:val="center"/>
            <w:hideMark/>
          </w:tcPr>
          <w:p w14:paraId="5343839E" w14:textId="77777777" w:rsidR="00165465" w:rsidRPr="001F2ADA" w:rsidRDefault="00165465" w:rsidP="003E7CE7">
            <w:pPr>
              <w:spacing w:after="0" w:line="240" w:lineRule="auto"/>
              <w:jc w:val="center"/>
              <w:rPr>
                <w:rFonts w:ascii="Times New Roman" w:eastAsia="Times New Roman" w:hAnsi="Times New Roman" w:cs="Times New Roman"/>
                <w:b/>
                <w:bCs/>
                <w:color w:val="000000"/>
                <w:sz w:val="20"/>
              </w:rPr>
            </w:pPr>
            <w:r w:rsidRPr="001F2ADA">
              <w:rPr>
                <w:rFonts w:ascii="Times New Roman" w:eastAsia="Times New Roman" w:hAnsi="Times New Roman" w:cs="Times New Roman"/>
                <w:b/>
                <w:bCs/>
                <w:color w:val="000000"/>
                <w:sz w:val="20"/>
              </w:rPr>
              <w:t>+10</w:t>
            </w:r>
          </w:p>
        </w:tc>
        <w:tc>
          <w:tcPr>
            <w:tcW w:w="893" w:type="dxa"/>
            <w:tcBorders>
              <w:top w:val="nil"/>
              <w:left w:val="nil"/>
              <w:bottom w:val="single" w:sz="4" w:space="0" w:color="auto"/>
              <w:right w:val="nil"/>
            </w:tcBorders>
            <w:shd w:val="clear" w:color="000000" w:fill="FFFFFF"/>
            <w:noWrap/>
            <w:vAlign w:val="center"/>
            <w:hideMark/>
          </w:tcPr>
          <w:p w14:paraId="601D29A0"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9.4</w:t>
            </w:r>
          </w:p>
        </w:tc>
        <w:tc>
          <w:tcPr>
            <w:tcW w:w="854" w:type="dxa"/>
            <w:tcBorders>
              <w:top w:val="nil"/>
              <w:left w:val="nil"/>
              <w:bottom w:val="single" w:sz="4" w:space="0" w:color="auto"/>
              <w:right w:val="nil"/>
            </w:tcBorders>
            <w:shd w:val="clear" w:color="000000" w:fill="FFFFFF"/>
            <w:noWrap/>
            <w:vAlign w:val="center"/>
            <w:hideMark/>
          </w:tcPr>
          <w:p w14:paraId="59D2C82C"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17.9</w:t>
            </w:r>
          </w:p>
        </w:tc>
        <w:tc>
          <w:tcPr>
            <w:tcW w:w="1000" w:type="dxa"/>
            <w:tcBorders>
              <w:top w:val="nil"/>
              <w:left w:val="nil"/>
              <w:bottom w:val="single" w:sz="4" w:space="0" w:color="auto"/>
              <w:right w:val="single" w:sz="4" w:space="0" w:color="auto"/>
            </w:tcBorders>
            <w:shd w:val="clear" w:color="000000" w:fill="FFFFFF"/>
            <w:noWrap/>
            <w:vAlign w:val="center"/>
            <w:hideMark/>
          </w:tcPr>
          <w:p w14:paraId="06563327"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26.6</w:t>
            </w:r>
          </w:p>
        </w:tc>
        <w:tc>
          <w:tcPr>
            <w:tcW w:w="1080" w:type="dxa"/>
            <w:tcBorders>
              <w:top w:val="nil"/>
              <w:left w:val="nil"/>
              <w:bottom w:val="single" w:sz="4" w:space="0" w:color="auto"/>
              <w:right w:val="nil"/>
            </w:tcBorders>
            <w:shd w:val="clear" w:color="000000" w:fill="FFFFFF"/>
            <w:noWrap/>
            <w:vAlign w:val="center"/>
            <w:hideMark/>
          </w:tcPr>
          <w:p w14:paraId="33F5199D"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0.017</w:t>
            </w:r>
          </w:p>
        </w:tc>
        <w:tc>
          <w:tcPr>
            <w:tcW w:w="1759" w:type="dxa"/>
            <w:tcBorders>
              <w:top w:val="nil"/>
              <w:left w:val="nil"/>
              <w:bottom w:val="single" w:sz="4" w:space="0" w:color="auto"/>
              <w:right w:val="nil"/>
            </w:tcBorders>
            <w:shd w:val="clear" w:color="000000" w:fill="FFFFFF"/>
            <w:noWrap/>
            <w:vAlign w:val="center"/>
            <w:hideMark/>
          </w:tcPr>
          <w:p w14:paraId="5CE46996"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2.8</w:t>
            </w:r>
          </w:p>
        </w:tc>
        <w:tc>
          <w:tcPr>
            <w:tcW w:w="270" w:type="dxa"/>
            <w:tcBorders>
              <w:top w:val="nil"/>
              <w:left w:val="nil"/>
              <w:bottom w:val="single" w:sz="4" w:space="0" w:color="auto"/>
              <w:right w:val="nil"/>
            </w:tcBorders>
            <w:shd w:val="clear" w:color="000000" w:fill="FFFFFF"/>
            <w:noWrap/>
            <w:vAlign w:val="center"/>
            <w:hideMark/>
          </w:tcPr>
          <w:p w14:paraId="41B37942" w14:textId="77777777" w:rsidR="00165465" w:rsidRPr="001F2ADA" w:rsidRDefault="00165465" w:rsidP="003E7CE7">
            <w:pPr>
              <w:spacing w:after="0" w:line="240" w:lineRule="auto"/>
              <w:jc w:val="center"/>
              <w:rPr>
                <w:rFonts w:ascii="Times New Roman" w:eastAsia="Times New Roman" w:hAnsi="Times New Roman" w:cs="Times New Roman"/>
                <w:color w:val="000000"/>
                <w:sz w:val="20"/>
              </w:rPr>
            </w:pPr>
            <w:r w:rsidRPr="001F2ADA">
              <w:rPr>
                <w:rFonts w:ascii="Times New Roman" w:eastAsia="Times New Roman" w:hAnsi="Times New Roman" w:cs="Times New Roman"/>
                <w:color w:val="000000"/>
                <w:sz w:val="20"/>
              </w:rPr>
              <w:t>16.1</w:t>
            </w:r>
          </w:p>
        </w:tc>
      </w:tr>
    </w:tbl>
    <w:p w14:paraId="2D7727B9" w14:textId="77777777" w:rsidR="00165465" w:rsidRPr="002C4D6E" w:rsidRDefault="00165465" w:rsidP="00165465">
      <w:pPr>
        <w:pStyle w:val="ListParagraph"/>
        <w:spacing w:line="240" w:lineRule="auto"/>
        <w:ind w:left="0"/>
        <w:contextualSpacing w:val="0"/>
        <w:jc w:val="both"/>
        <w:rPr>
          <w:rFonts w:ascii="Times New Roman" w:hAnsi="Times New Roman" w:cs="Times New Roman"/>
          <w:sz w:val="24"/>
          <w:szCs w:val="24"/>
        </w:rPr>
      </w:pPr>
      <w:r w:rsidRPr="003A69B3">
        <w:rPr>
          <w:rFonts w:ascii="Times New Roman" w:eastAsia="Times New Roman" w:hAnsi="Times New Roman" w:cs="Times New Roman"/>
          <w:b/>
          <w:bCs/>
          <w:color w:val="000000"/>
          <w:sz w:val="20"/>
          <w:szCs w:val="20"/>
        </w:rPr>
        <w:t xml:space="preserve">Note: </w:t>
      </w:r>
      <w:r w:rsidRPr="003A69B3">
        <w:rPr>
          <w:rFonts w:ascii="Times New Roman" w:eastAsia="Times New Roman" w:hAnsi="Times New Roman" w:cs="Times New Roman"/>
          <w:color w:val="000000"/>
          <w:sz w:val="20"/>
          <w:szCs w:val="20"/>
        </w:rPr>
        <w:t xml:space="preserve">These estimates are computed using the observed 2005/06 distribution of per capita consumption and observed GDP per worker growth rates up to 2012, and projected overall GDP scenarios thereafter (not factoring sectoral dynamics) based on baseline fertility rates.  </w:t>
      </w:r>
    </w:p>
    <w:p w14:paraId="4F3BB20F" w14:textId="77777777" w:rsidR="00165465" w:rsidRPr="00D7068F" w:rsidRDefault="00165465" w:rsidP="007B5E57">
      <w:pPr>
        <w:pStyle w:val="ListParagraph"/>
        <w:numPr>
          <w:ilvl w:val="0"/>
          <w:numId w:val="42"/>
        </w:numPr>
        <w:spacing w:line="240" w:lineRule="auto"/>
        <w:ind w:left="0" w:firstLine="0"/>
        <w:contextualSpacing w:val="0"/>
        <w:jc w:val="both"/>
        <w:rPr>
          <w:rFonts w:ascii="Times New Roman" w:hAnsi="Times New Roman" w:cs="Times New Roman"/>
          <w:sz w:val="24"/>
          <w:szCs w:val="24"/>
        </w:rPr>
      </w:pPr>
      <w:r w:rsidRPr="00D7068F">
        <w:rPr>
          <w:rFonts w:ascii="Times New Roman" w:hAnsi="Times New Roman" w:cs="Times New Roman"/>
          <w:b/>
          <w:sz w:val="24"/>
          <w:szCs w:val="24"/>
        </w:rPr>
        <w:t>The poverty rate must be cut by 2 percentage points each year from now to 2030 if extreme poverty is to be ended in that timeframe, and our simulations show that both the pace and extent to which economic growth is inclusive will have a major influence on the outlook</w:t>
      </w:r>
      <w:r w:rsidRPr="00D7068F">
        <w:rPr>
          <w:rFonts w:ascii="Times New Roman" w:hAnsi="Times New Roman" w:cs="Times New Roman"/>
          <w:sz w:val="24"/>
          <w:szCs w:val="24"/>
        </w:rPr>
        <w:t xml:space="preserve">. The prospects for eliminating poverty by 2030 in Kenya are beset by two formidable challenges: the rate of economic growth would need to double and inequality, measured by the Gini coefficient, would need to halve. If growth remains at historic levels of around 4 percent per year and inequality remains unchanged, poverty rate will fall to 35 percent by 2018 and to 27 percent by 2030, as shown in Table 1 below. The progress in poverty reduction depends strongly on what happens to inequality in the country. If inequality falls each year by one percentage point, with a GDP growth rate of 4 percent, the poverty rate would fall to 28 percent by 2018 and to 11 percent by 2030.  Under this inequality reduction scenario, the goal of eliminating extreme poverty is attainable if annual GDP growth rates increase to 6 percent.  However, if inequality </w:t>
      </w:r>
      <w:r w:rsidRPr="00D7068F">
        <w:rPr>
          <w:rFonts w:ascii="Times New Roman" w:hAnsi="Times New Roman" w:cs="Times New Roman"/>
          <w:sz w:val="24"/>
          <w:szCs w:val="24"/>
        </w:rPr>
        <w:lastRenderedPageBreak/>
        <w:t>increases each year by 1 percentage point, the poverty rate would remain at about 41 percent in 2018 and 2030.</w:t>
      </w:r>
    </w:p>
    <w:p w14:paraId="402AB8B9" w14:textId="77777777" w:rsidR="00064809" w:rsidRPr="002C4D6E" w:rsidRDefault="00064809" w:rsidP="00064809">
      <w:pPr>
        <w:spacing w:line="240" w:lineRule="auto"/>
        <w:rPr>
          <w:rFonts w:ascii="Times New Roman" w:hAnsi="Times New Roman" w:cs="Times New Roman"/>
          <w:b/>
          <w:sz w:val="24"/>
          <w:szCs w:val="24"/>
        </w:rPr>
      </w:pPr>
      <w:r w:rsidRPr="002C4D6E">
        <w:rPr>
          <w:rFonts w:ascii="Times New Roman" w:hAnsi="Times New Roman" w:cs="Times New Roman"/>
          <w:b/>
          <w:sz w:val="24"/>
          <w:szCs w:val="24"/>
        </w:rPr>
        <w:t>Progress toward MDGs</w:t>
      </w:r>
    </w:p>
    <w:p w14:paraId="41FD71CA" w14:textId="77777777" w:rsidR="00064809" w:rsidRPr="002C4D6E" w:rsidRDefault="00064809" w:rsidP="007B5E57">
      <w:pPr>
        <w:pStyle w:val="ListParagraph"/>
        <w:numPr>
          <w:ilvl w:val="0"/>
          <w:numId w:val="43"/>
        </w:numPr>
        <w:spacing w:line="240" w:lineRule="auto"/>
        <w:ind w:left="0" w:firstLine="0"/>
        <w:contextualSpacing w:val="0"/>
        <w:jc w:val="both"/>
        <w:rPr>
          <w:rFonts w:ascii="Times New Roman" w:hAnsi="Times New Roman" w:cs="Times New Roman"/>
          <w:sz w:val="24"/>
          <w:szCs w:val="24"/>
        </w:rPr>
      </w:pPr>
      <w:r w:rsidRPr="002C4D6E">
        <w:rPr>
          <w:rFonts w:ascii="Times New Roman" w:hAnsi="Times New Roman" w:cs="Times New Roman"/>
          <w:b/>
          <w:sz w:val="24"/>
          <w:szCs w:val="24"/>
        </w:rPr>
        <w:t>Kenya’s progress in meeting the MDGs has so far been mixed.</w:t>
      </w:r>
      <w:r w:rsidRPr="002C4D6E">
        <w:rPr>
          <w:rFonts w:ascii="Times New Roman" w:hAnsi="Times New Roman" w:cs="Times New Roman"/>
          <w:sz w:val="24"/>
          <w:szCs w:val="24"/>
        </w:rPr>
        <w:t xml:space="preserve"> Advances have been made on a few MDGs, in particular on access to education, but on others, improvements have been marginal at best. In areas such as health (tuberculosis prevalence), poverty, and environment, indicators mark deterioration.</w:t>
      </w:r>
    </w:p>
    <w:p w14:paraId="33033165" w14:textId="77777777" w:rsidR="00064809" w:rsidRPr="002C4D6E" w:rsidRDefault="00064809" w:rsidP="007B5E57">
      <w:pPr>
        <w:pStyle w:val="ListParagraph"/>
        <w:numPr>
          <w:ilvl w:val="0"/>
          <w:numId w:val="43"/>
        </w:numPr>
        <w:shd w:val="clear" w:color="auto" w:fill="FFFFFF"/>
        <w:spacing w:line="240" w:lineRule="auto"/>
        <w:ind w:left="0" w:firstLine="0"/>
        <w:contextualSpacing w:val="0"/>
        <w:jc w:val="both"/>
        <w:rPr>
          <w:rFonts w:ascii="Times New Roman" w:eastAsia="Times New Roman" w:hAnsi="Times New Roman" w:cs="Times New Roman"/>
          <w:color w:val="000000"/>
          <w:sz w:val="24"/>
          <w:szCs w:val="24"/>
        </w:rPr>
      </w:pPr>
      <w:r w:rsidRPr="002C4D6E">
        <w:rPr>
          <w:rFonts w:ascii="Times New Roman" w:eastAsia="Times New Roman" w:hAnsi="Times New Roman" w:cs="Times New Roman"/>
          <w:b/>
          <w:color w:val="000000"/>
          <w:sz w:val="24"/>
          <w:szCs w:val="24"/>
        </w:rPr>
        <w:t>The Millennium Development Goals Status Report for Kenya 2011 underscores that the county governments will bear the greatest responsibility in the provision of key services to citizens, most of which are essential for the attainment of the MDG targets.</w:t>
      </w:r>
      <w:r w:rsidRPr="002C4D6E">
        <w:rPr>
          <w:rFonts w:ascii="Times New Roman" w:eastAsia="Times New Roman" w:hAnsi="Times New Roman" w:cs="Times New Roman"/>
          <w:color w:val="000000"/>
          <w:sz w:val="24"/>
          <w:szCs w:val="24"/>
        </w:rPr>
        <w:t xml:space="preserve"> As the new constitution provides for the transfer of 15 per cent of budgetary resources to the 47 Counties that are the new levels of devolvement, the county governments will be expected to adequately address MDGs through the formulation and implementation of their development plans and also give priority to the off-targets MDGs in the respective counties,’ reads a section of the report.</w:t>
      </w:r>
    </w:p>
    <w:p w14:paraId="1C8AAF75" w14:textId="77777777" w:rsidR="00064809" w:rsidRPr="002C4D6E" w:rsidRDefault="00064809" w:rsidP="007B5E57">
      <w:pPr>
        <w:pStyle w:val="ListParagraph"/>
        <w:numPr>
          <w:ilvl w:val="0"/>
          <w:numId w:val="43"/>
        </w:numPr>
        <w:shd w:val="clear" w:color="auto" w:fill="FFFFFF"/>
        <w:spacing w:line="240" w:lineRule="auto"/>
        <w:ind w:left="0" w:firstLine="0"/>
        <w:contextualSpacing w:val="0"/>
        <w:jc w:val="both"/>
        <w:rPr>
          <w:rFonts w:ascii="Times New Roman" w:eastAsia="Times New Roman" w:hAnsi="Times New Roman" w:cs="Times New Roman"/>
          <w:color w:val="000000"/>
          <w:sz w:val="24"/>
          <w:szCs w:val="24"/>
        </w:rPr>
      </w:pPr>
      <w:r w:rsidRPr="002C4D6E">
        <w:rPr>
          <w:rFonts w:ascii="Times New Roman" w:eastAsia="Times New Roman" w:hAnsi="Times New Roman" w:cs="Times New Roman"/>
          <w:b/>
          <w:color w:val="000000"/>
          <w:sz w:val="24"/>
          <w:szCs w:val="24"/>
        </w:rPr>
        <w:t>Kenya has already made considerable progress in the realisation of a number of MDGs</w:t>
      </w:r>
      <w:r w:rsidRPr="002C4D6E">
        <w:rPr>
          <w:rFonts w:ascii="Times New Roman" w:eastAsia="Times New Roman" w:hAnsi="Times New Roman" w:cs="Times New Roman"/>
          <w:color w:val="000000"/>
          <w:sz w:val="24"/>
          <w:szCs w:val="24"/>
        </w:rPr>
        <w:t xml:space="preserve"> including the achievement of universal primary education (Goal 2), promoting gender equality and empowering women (Goal 3), reducing child mortality (Goal 4), combating HIV/AIDS, Malaria and other diseases (Goal 6) and ensuring environmental sustainability (Goal 7).</w:t>
      </w:r>
    </w:p>
    <w:p w14:paraId="0F79E516" w14:textId="77777777" w:rsidR="00064809" w:rsidRPr="002C4D6E" w:rsidRDefault="00064809" w:rsidP="007B5E57">
      <w:pPr>
        <w:pStyle w:val="ListParagraph"/>
        <w:numPr>
          <w:ilvl w:val="0"/>
          <w:numId w:val="43"/>
        </w:numPr>
        <w:shd w:val="clear" w:color="auto" w:fill="FFFFFF"/>
        <w:spacing w:line="240" w:lineRule="auto"/>
        <w:ind w:left="0" w:firstLine="0"/>
        <w:contextualSpacing w:val="0"/>
        <w:jc w:val="both"/>
        <w:rPr>
          <w:rFonts w:ascii="Times New Roman" w:eastAsia="Times New Roman" w:hAnsi="Times New Roman" w:cs="Times New Roman"/>
          <w:color w:val="000000"/>
          <w:sz w:val="24"/>
          <w:szCs w:val="24"/>
        </w:rPr>
      </w:pPr>
      <w:r w:rsidRPr="002C4D6E">
        <w:rPr>
          <w:rFonts w:ascii="Times New Roman" w:eastAsia="Times New Roman" w:hAnsi="Times New Roman" w:cs="Times New Roman"/>
          <w:b/>
          <w:color w:val="000000"/>
          <w:sz w:val="24"/>
          <w:szCs w:val="24"/>
        </w:rPr>
        <w:t>However, the country’s performance in the eradication of extreme poverty and hunger (Goal 1) remains dismal with more than 10 million people suffering from chronic food insecurity and poor nutrition, while between one and two million people require emergency food throughout the year (according to The Millennium Development Goals Status Report for Kenya 2011).</w:t>
      </w:r>
      <w:r w:rsidRPr="002C4D6E">
        <w:rPr>
          <w:rFonts w:ascii="Times New Roman" w:eastAsia="Times New Roman" w:hAnsi="Times New Roman" w:cs="Times New Roman"/>
          <w:color w:val="000000"/>
          <w:sz w:val="24"/>
          <w:szCs w:val="24"/>
        </w:rPr>
        <w:t xml:space="preserve"> The report cites the number of challenges hampering Kenya’s efforts </w:t>
      </w:r>
      <w:r w:rsidR="00ED7A95">
        <w:rPr>
          <w:rFonts w:ascii="Times New Roman" w:eastAsia="Times New Roman" w:hAnsi="Times New Roman" w:cs="Times New Roman"/>
          <w:color w:val="000000"/>
          <w:sz w:val="24"/>
          <w:szCs w:val="24"/>
        </w:rPr>
        <w:t>toward</w:t>
      </w:r>
      <w:r w:rsidRPr="002C4D6E">
        <w:rPr>
          <w:rFonts w:ascii="Times New Roman" w:eastAsia="Times New Roman" w:hAnsi="Times New Roman" w:cs="Times New Roman"/>
          <w:color w:val="000000"/>
          <w:sz w:val="24"/>
          <w:szCs w:val="24"/>
        </w:rPr>
        <w:t xml:space="preserve"> eradicating extreme poverty and hunger including; poor crop production practices, adverse climate changes, high food and fuel prices, population pressure, increasing frequency of social conflicts and insecure land tenure systems, among others.</w:t>
      </w:r>
    </w:p>
    <w:p w14:paraId="52563EB4" w14:textId="77777777" w:rsidR="00064809" w:rsidRPr="002C4D6E" w:rsidRDefault="00064809" w:rsidP="007B5E57">
      <w:pPr>
        <w:pStyle w:val="ListParagraph"/>
        <w:numPr>
          <w:ilvl w:val="0"/>
          <w:numId w:val="43"/>
        </w:numPr>
        <w:shd w:val="clear" w:color="auto" w:fill="FFFFFF"/>
        <w:spacing w:line="240" w:lineRule="auto"/>
        <w:ind w:left="0" w:firstLine="0"/>
        <w:contextualSpacing w:val="0"/>
        <w:jc w:val="both"/>
        <w:rPr>
          <w:rFonts w:ascii="Times New Roman" w:eastAsia="Times New Roman" w:hAnsi="Times New Roman" w:cs="Times New Roman"/>
          <w:color w:val="000000"/>
          <w:sz w:val="24"/>
          <w:szCs w:val="24"/>
        </w:rPr>
      </w:pPr>
      <w:r w:rsidRPr="002C4D6E">
        <w:rPr>
          <w:rFonts w:ascii="Times New Roman" w:eastAsia="Times New Roman" w:hAnsi="Times New Roman" w:cs="Times New Roman"/>
          <w:b/>
          <w:color w:val="000000"/>
          <w:sz w:val="24"/>
          <w:szCs w:val="24"/>
        </w:rPr>
        <w:t>Another area in which the country still registers poor performance, is MDG 5 on the improvement of maternal health - despite the Government’s efforts in reducing maternal mortality ratio.</w:t>
      </w:r>
      <w:r w:rsidRPr="002C4D6E">
        <w:rPr>
          <w:rFonts w:ascii="Times New Roman" w:eastAsia="Times New Roman" w:hAnsi="Times New Roman" w:cs="Times New Roman"/>
          <w:color w:val="000000"/>
          <w:sz w:val="24"/>
          <w:szCs w:val="24"/>
        </w:rPr>
        <w:t xml:space="preserve"> The number of lives lost in every 100,000 births previously stood at 414, the figure subsequently increased to 488 as revealed by the report but have currently shot to 495 based on the latest statistics not captured in the report.</w:t>
      </w:r>
    </w:p>
    <w:p w14:paraId="51B064B1" w14:textId="77777777" w:rsidR="00064809" w:rsidRPr="002C4D6E" w:rsidRDefault="00064809" w:rsidP="007B5E57">
      <w:pPr>
        <w:pStyle w:val="ListParagraph"/>
        <w:numPr>
          <w:ilvl w:val="0"/>
          <w:numId w:val="43"/>
        </w:numPr>
        <w:shd w:val="clear" w:color="auto" w:fill="FFFFFF"/>
        <w:spacing w:line="240" w:lineRule="auto"/>
        <w:ind w:left="0" w:firstLine="0"/>
        <w:contextualSpacing w:val="0"/>
        <w:jc w:val="both"/>
        <w:rPr>
          <w:rFonts w:ascii="Times New Roman" w:eastAsia="Times New Roman" w:hAnsi="Times New Roman" w:cs="Times New Roman"/>
          <w:color w:val="000000"/>
          <w:sz w:val="24"/>
          <w:szCs w:val="24"/>
        </w:rPr>
      </w:pPr>
      <w:r w:rsidRPr="002C4D6E">
        <w:rPr>
          <w:rFonts w:ascii="Times New Roman" w:eastAsia="Times New Roman" w:hAnsi="Times New Roman" w:cs="Times New Roman"/>
          <w:b/>
          <w:color w:val="000000"/>
          <w:sz w:val="24"/>
          <w:szCs w:val="24"/>
        </w:rPr>
        <w:t>Addressing maternal mortality requires concerted efforts of the government and other stakeholders including development partners.</w:t>
      </w:r>
      <w:r w:rsidRPr="002C4D6E">
        <w:rPr>
          <w:rFonts w:ascii="Times New Roman" w:eastAsia="Times New Roman" w:hAnsi="Times New Roman" w:cs="Times New Roman"/>
          <w:color w:val="000000"/>
          <w:sz w:val="24"/>
          <w:szCs w:val="24"/>
        </w:rPr>
        <w:t xml:space="preserve"> The government directive to waive maternity fees alongside other strategies such as more investments in the health sector would have a decisive impact on Kenya’s efforts </w:t>
      </w:r>
      <w:r w:rsidR="00ED7A95">
        <w:rPr>
          <w:rFonts w:ascii="Times New Roman" w:eastAsia="Times New Roman" w:hAnsi="Times New Roman" w:cs="Times New Roman"/>
          <w:color w:val="000000"/>
          <w:sz w:val="24"/>
          <w:szCs w:val="24"/>
        </w:rPr>
        <w:t>toward</w:t>
      </w:r>
      <w:r w:rsidRPr="002C4D6E">
        <w:rPr>
          <w:rFonts w:ascii="Times New Roman" w:eastAsia="Times New Roman" w:hAnsi="Times New Roman" w:cs="Times New Roman"/>
          <w:color w:val="000000"/>
          <w:sz w:val="24"/>
          <w:szCs w:val="24"/>
        </w:rPr>
        <w:t xml:space="preserve"> attainment of this goal.</w:t>
      </w:r>
    </w:p>
    <w:p w14:paraId="7713CA51" w14:textId="77777777" w:rsidR="00064809" w:rsidRDefault="00064809" w:rsidP="002B69A8">
      <w:pPr>
        <w:pStyle w:val="ListParagraph"/>
        <w:spacing w:line="240" w:lineRule="auto"/>
        <w:ind w:left="0"/>
        <w:contextualSpacing w:val="0"/>
        <w:jc w:val="both"/>
        <w:rPr>
          <w:rFonts w:ascii="Times New Roman" w:hAnsi="Times New Roman" w:cs="Times New Roman"/>
          <w:sz w:val="24"/>
          <w:szCs w:val="24"/>
        </w:rPr>
        <w:sectPr w:rsidR="00064809" w:rsidSect="00F96822">
          <w:endnotePr>
            <w:numFmt w:val="decimal"/>
          </w:endnotePr>
          <w:pgSz w:w="12240" w:h="15840"/>
          <w:pgMar w:top="1166" w:right="1440" w:bottom="1267" w:left="1440" w:header="720" w:footer="720" w:gutter="0"/>
          <w:cols w:space="720"/>
          <w:docGrid w:linePitch="360"/>
        </w:sectPr>
      </w:pPr>
    </w:p>
    <w:p w14:paraId="4D457478" w14:textId="77777777" w:rsidR="00064809" w:rsidRPr="002C4D6E" w:rsidRDefault="00064809" w:rsidP="00064809">
      <w:pPr>
        <w:pStyle w:val="ListParagraph"/>
        <w:spacing w:after="0" w:line="240" w:lineRule="auto"/>
        <w:ind w:left="0"/>
        <w:contextualSpacing w:val="0"/>
        <w:jc w:val="center"/>
        <w:rPr>
          <w:rFonts w:ascii="Times New Roman" w:hAnsi="Times New Roman" w:cs="Times New Roman"/>
          <w:sz w:val="24"/>
          <w:szCs w:val="24"/>
        </w:rPr>
      </w:pPr>
      <w:r w:rsidRPr="006E7C6E">
        <w:rPr>
          <w:rFonts w:ascii="Times New Roman" w:hAnsi="Times New Roman" w:cs="Times New Roman"/>
          <w:b/>
          <w:sz w:val="24"/>
          <w:szCs w:val="24"/>
        </w:rPr>
        <w:lastRenderedPageBreak/>
        <w:t>Table 2. Projections on MDGs progress</w:t>
      </w:r>
    </w:p>
    <w:p w14:paraId="7C9200EC" w14:textId="77777777" w:rsidR="00064809" w:rsidRPr="002C4D6E" w:rsidRDefault="00064809" w:rsidP="00064809">
      <w:pPr>
        <w:pStyle w:val="ListParagraph"/>
        <w:spacing w:line="240" w:lineRule="auto"/>
        <w:ind w:left="0"/>
        <w:contextualSpacing w:val="0"/>
        <w:jc w:val="both"/>
        <w:rPr>
          <w:rFonts w:ascii="Times New Roman" w:hAnsi="Times New Roman" w:cs="Times New Roman"/>
          <w:sz w:val="24"/>
          <w:szCs w:val="24"/>
        </w:rPr>
      </w:pPr>
      <w:r w:rsidRPr="00D40B4C">
        <w:rPr>
          <w:noProof/>
        </w:rPr>
        <w:drawing>
          <wp:inline distT="0" distB="0" distL="0" distR="0" wp14:anchorId="5A0B9E15" wp14:editId="0ABC7090">
            <wp:extent cx="6066145" cy="57080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71534" cy="5713144"/>
                    </a:xfrm>
                    <a:prstGeom prst="rect">
                      <a:avLst/>
                    </a:prstGeom>
                  </pic:spPr>
                </pic:pic>
              </a:graphicData>
            </a:graphic>
          </wp:inline>
        </w:drawing>
      </w:r>
    </w:p>
    <w:p w14:paraId="083A5C11" w14:textId="77777777" w:rsidR="00064809" w:rsidRPr="002C4D6E" w:rsidRDefault="00064809" w:rsidP="00064809">
      <w:pPr>
        <w:pStyle w:val="ListParagraph"/>
        <w:spacing w:line="240" w:lineRule="auto"/>
        <w:ind w:left="0"/>
        <w:contextualSpacing w:val="0"/>
        <w:jc w:val="both"/>
        <w:rPr>
          <w:rFonts w:ascii="Times New Roman" w:hAnsi="Times New Roman" w:cs="Times New Roman"/>
          <w:sz w:val="24"/>
          <w:szCs w:val="24"/>
        </w:rPr>
      </w:pPr>
    </w:p>
    <w:p w14:paraId="41EAB53E" w14:textId="77777777" w:rsidR="00064809" w:rsidRDefault="00064809" w:rsidP="00064809">
      <w:pPr>
        <w:pStyle w:val="ListParagraph"/>
        <w:spacing w:line="240" w:lineRule="auto"/>
        <w:ind w:left="0"/>
        <w:contextualSpacing w:val="0"/>
        <w:jc w:val="both"/>
        <w:rPr>
          <w:rFonts w:ascii="Times New Roman" w:hAnsi="Times New Roman" w:cs="Times New Roman"/>
          <w:sz w:val="20"/>
          <w:szCs w:val="20"/>
        </w:rPr>
        <w:sectPr w:rsidR="00064809" w:rsidSect="00F96822">
          <w:endnotePr>
            <w:numFmt w:val="decimal"/>
          </w:endnotePr>
          <w:pgSz w:w="12240" w:h="15840"/>
          <w:pgMar w:top="1166" w:right="1440" w:bottom="1267" w:left="1350" w:header="720" w:footer="720" w:gutter="0"/>
          <w:cols w:space="720"/>
          <w:docGrid w:linePitch="360"/>
        </w:sectPr>
      </w:pPr>
    </w:p>
    <w:p w14:paraId="6437E6C9"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8" w:name="_Toc387342569"/>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8</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Bank Group Collaboration</w:t>
      </w:r>
      <w:bookmarkEnd w:id="8"/>
    </w:p>
    <w:p w14:paraId="4F9D9000"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Collaboration between the key arms of the World Bank Group—IFC, MIGA, and the Bank (IDA)— increased over the most recent CPS period and included some path-breaking examples, leading the way in Africa in bringing all three institutions together in specific deals.</w:t>
      </w:r>
      <w:r w:rsidRPr="004E3BA4">
        <w:rPr>
          <w:rFonts w:ascii="Times New Roman" w:hAnsi="Times New Roman" w:cs="Times New Roman"/>
          <w:sz w:val="24"/>
          <w:szCs w:val="24"/>
        </w:rPr>
        <w:t xml:space="preserve"> Opportunities were grasped especially in activities to help in “unleashing Kenya’s growth potential” (Pillar 1) and “reducing inequality and strengthening resilience”. The new CPS (FY14-18) has been prepared as a fully joint product, and specific avenues are identified to expand collaboration and make it even more effective in the coming year. </w:t>
      </w:r>
    </w:p>
    <w:p w14:paraId="6AAA27D0" w14:textId="77777777" w:rsidR="00064809" w:rsidRPr="004E3BA4" w:rsidRDefault="00064809" w:rsidP="007B5E57">
      <w:pPr>
        <w:pStyle w:val="ListParagraph"/>
        <w:numPr>
          <w:ilvl w:val="0"/>
          <w:numId w:val="44"/>
        </w:numPr>
        <w:spacing w:line="240" w:lineRule="auto"/>
        <w:ind w:left="0" w:firstLine="0"/>
        <w:contextualSpacing w:val="0"/>
        <w:jc w:val="both"/>
        <w:rPr>
          <w:rFonts w:ascii="Times New Roman" w:hAnsi="Times New Roman" w:cs="Times New Roman"/>
          <w:b/>
          <w:sz w:val="24"/>
          <w:szCs w:val="24"/>
        </w:rPr>
      </w:pPr>
      <w:r w:rsidRPr="004E3BA4">
        <w:rPr>
          <w:rFonts w:ascii="Times New Roman" w:hAnsi="Times New Roman" w:cs="Times New Roman"/>
          <w:b/>
          <w:sz w:val="24"/>
          <w:szCs w:val="24"/>
        </w:rPr>
        <w:t>Examples of World Bank Group collaboration during FY10-13</w:t>
      </w:r>
    </w:p>
    <w:p w14:paraId="1CC65246"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 xml:space="preserve">Investment climate and corporate finance: </w:t>
      </w:r>
      <w:r w:rsidRPr="004E3BA4">
        <w:rPr>
          <w:rFonts w:ascii="Times New Roman" w:hAnsi="Times New Roman" w:cs="Times New Roman"/>
          <w:sz w:val="24"/>
          <w:szCs w:val="24"/>
        </w:rPr>
        <w:t xml:space="preserve">IFC and the Bank jointly scoped, developed and are now implementing the five-year Kenya Investment Climate Program 2 with funding from DFID and the Dutch Government. IFC leads on regulatory reform (county and national), competition policy, trade logistics, agribusiness and renewable energy while the Bank leads on PPPs, special economic zones, innovation, exports and investment climate diagnostics. </w:t>
      </w:r>
    </w:p>
    <w:p w14:paraId="7F4EF6A2"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IFC and the Bank have also collaborated through the jointly implemented Efficient Securities Market Institutional Development (ESMID) program.</w:t>
      </w:r>
      <w:r w:rsidRPr="004E3BA4">
        <w:rPr>
          <w:rFonts w:ascii="Times New Roman" w:hAnsi="Times New Roman" w:cs="Times New Roman"/>
          <w:sz w:val="24"/>
          <w:szCs w:val="24"/>
        </w:rPr>
        <w:t xml:space="preserve"> ESMID has supported a number of initiatives including the preparation of bond transactions, bond market development in relation to public-private partnership (PPP) projects, and improving corporate governance in the Capital Markets Authority. There has been good coordination between ESMID and the Bank’s Financial and Legal Sector Technical Assistance Project (FLSTAP); IFC has contributed to the ICR for the latter.</w:t>
      </w:r>
    </w:p>
    <w:p w14:paraId="13588F54"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b/>
          <w:sz w:val="24"/>
          <w:szCs w:val="24"/>
        </w:rPr>
      </w:pPr>
      <w:r w:rsidRPr="004E3BA4">
        <w:rPr>
          <w:rFonts w:ascii="Times New Roman" w:hAnsi="Times New Roman" w:cs="Times New Roman"/>
          <w:b/>
          <w:sz w:val="24"/>
          <w:szCs w:val="24"/>
        </w:rPr>
        <w:t>Other complementary activity in this area includes the Bank’s work to support micro, small and medium-sized enterprises through the project MSME and IFC’s annual Doing Business survey which helped track the country’s overall progress in improving business regulation.</w:t>
      </w:r>
    </w:p>
    <w:p w14:paraId="477F4156"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Infrastructure:</w:t>
      </w:r>
      <w:r w:rsidRPr="004E3BA4">
        <w:rPr>
          <w:rFonts w:ascii="Times New Roman" w:hAnsi="Times New Roman" w:cs="Times New Roman"/>
          <w:sz w:val="24"/>
          <w:szCs w:val="24"/>
        </w:rPr>
        <w:t xml:space="preserve"> IFC and the Bank complemented each other effectively in the aviation sector with the Bank strengthening institutional capacity in the airport and civil aviation sector while IFC financed an upgrade of Kenya Airways’s fleet and network expansion plan. In railways IFC financed rolling stock and infrastructure improvements associated with the Kenya-Uganda railway, and helped restructure the project, while the Bank managed the program to resettle 70,000 displaced persons.</w:t>
      </w:r>
    </w:p>
    <w:p w14:paraId="77FA6671"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Energy:</w:t>
      </w:r>
      <w:r w:rsidRPr="004E3BA4">
        <w:rPr>
          <w:rFonts w:ascii="Times New Roman" w:hAnsi="Times New Roman" w:cs="Times New Roman"/>
          <w:sz w:val="24"/>
          <w:szCs w:val="24"/>
        </w:rPr>
        <w:t xml:space="preserve"> IFC, WB and MIGA collaborated in the financing of two independent power producers – Thika Power and Gulf Power, in which IFC provided financing to the two private sector power generating companies, MIGA provided political risk insurance cover and IDA a partial credit guarantee. IFC and WB have also co-financed the majority state owned energy distribution company KPLC.  IFC and the World Bank also jointly implemented Lighting Africa, a regional program to mobilize the private sector to build sustainable markets that provide affordable, modern off-grid lighting to communities in Africa, including in Kenya, that lack electricity.</w:t>
      </w:r>
    </w:p>
    <w:p w14:paraId="5C38F3F6"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Water and sanitation:</w:t>
      </w:r>
      <w:r w:rsidRPr="004E3BA4">
        <w:rPr>
          <w:rFonts w:ascii="Times New Roman" w:hAnsi="Times New Roman" w:cs="Times New Roman"/>
          <w:sz w:val="24"/>
          <w:szCs w:val="24"/>
        </w:rPr>
        <w:t xml:space="preserve"> the Bank’s Water and Sanitation Program (WSP) and IFC’s Sustainable Business Advisory (SBA) and infrastructure department collaborated on a $30 million water utility financing facility.  The WSP led on project identification and development </w:t>
      </w:r>
      <w:r w:rsidRPr="004E3BA4">
        <w:rPr>
          <w:rFonts w:ascii="Times New Roman" w:hAnsi="Times New Roman" w:cs="Times New Roman"/>
          <w:sz w:val="24"/>
          <w:szCs w:val="24"/>
        </w:rPr>
        <w:lastRenderedPageBreak/>
        <w:t>and support for legal/regulatory dialogue on commercial financing. IFC led on deal sourcing and structuring and strengthening of utility financial management, asset management and IT systems. Both the Bank and IFC provided advisory support to local banks to improve understanding of water project financing.</w:t>
      </w:r>
    </w:p>
    <w:p w14:paraId="0FF40866"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Agriculture:</w:t>
      </w:r>
      <w:r w:rsidRPr="004E3BA4">
        <w:rPr>
          <w:rFonts w:ascii="Times New Roman" w:hAnsi="Times New Roman" w:cs="Times New Roman"/>
          <w:sz w:val="24"/>
          <w:szCs w:val="24"/>
        </w:rPr>
        <w:t xml:space="preserve"> IFC participated in the Mid-Term Review mission of the Bank’s Kenya Agricultural Productivity and Agribusiness Program (KAPAP) to review the Agribusiness Component. </w:t>
      </w:r>
    </w:p>
    <w:p w14:paraId="1FF2F757"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Health:</w:t>
      </w:r>
      <w:r w:rsidRPr="004E3BA4">
        <w:rPr>
          <w:rFonts w:ascii="Times New Roman" w:hAnsi="Times New Roman" w:cs="Times New Roman"/>
          <w:sz w:val="24"/>
          <w:szCs w:val="24"/>
        </w:rPr>
        <w:t xml:space="preserve"> the Bank and IFC Our co-designed the Health in Africa project.  A number of activities have resulted including support to the National Health Insurance Fund (NHIF).  IFC  and WB  are now jointly supporting a number of reforms including the development, design and roll out of a health insurance subsidy program for the poor (HISP) by NHIF.</w:t>
      </w:r>
    </w:p>
    <w:p w14:paraId="4707869E" w14:textId="77777777" w:rsidR="00064809" w:rsidRPr="004E3BA4" w:rsidRDefault="00064809" w:rsidP="007B5E57">
      <w:pPr>
        <w:pStyle w:val="ListParagraph"/>
        <w:numPr>
          <w:ilvl w:val="0"/>
          <w:numId w:val="44"/>
        </w:numPr>
        <w:spacing w:line="240" w:lineRule="auto"/>
        <w:ind w:left="0" w:firstLine="0"/>
        <w:contextualSpacing w:val="0"/>
        <w:jc w:val="both"/>
        <w:rPr>
          <w:rFonts w:ascii="Times New Roman" w:hAnsi="Times New Roman" w:cs="Times New Roman"/>
          <w:b/>
          <w:sz w:val="24"/>
          <w:szCs w:val="24"/>
        </w:rPr>
      </w:pPr>
      <w:r w:rsidRPr="004E3BA4">
        <w:rPr>
          <w:rFonts w:ascii="Times New Roman" w:hAnsi="Times New Roman" w:cs="Times New Roman"/>
          <w:b/>
          <w:sz w:val="24"/>
          <w:szCs w:val="24"/>
        </w:rPr>
        <w:t>Opportunities for further World Bank Group collaboration during FY14-18</w:t>
      </w:r>
    </w:p>
    <w:p w14:paraId="06C43637"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As shown by the examples above, collaboration between members of the World Bank Group during FY10-FY13 was strong.</w:t>
      </w:r>
      <w:r w:rsidRPr="004E3BA4">
        <w:rPr>
          <w:rFonts w:ascii="Times New Roman" w:hAnsi="Times New Roman" w:cs="Times New Roman"/>
          <w:sz w:val="24"/>
          <w:szCs w:val="24"/>
        </w:rPr>
        <w:t xml:space="preserve"> Reflecting on this positive experience, a joint IFC/World Bank workshop in July 2013 in Nairobi identified a number of principles that will help shape collaboration going forward. These include the following: (a) joint working will be a daily reality; (b) Group staff members will regularly ask ‘where can we each make a difference? (c) Group collaboration will be based on an appreciation of the distinctive skills and differences in the nature of risks faced by members; (d) effective joint working will improve with practice—now that Bank Group staff members are co-located in a new building in Nairobi, advantage will be taken of that proximity to ensure we know each other’s work with much greater familiarity.</w:t>
      </w:r>
    </w:p>
    <w:p w14:paraId="30609527"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Taking into account the focus of the FY14-FY18 program there are a number of clear potential opportunities to deepen and broaden Bank Group collaboration in Kenya albeit subject to further careful confirmation that the right conditions for Bank Group involvement are in place.</w:t>
      </w:r>
      <w:r w:rsidRPr="004E3BA4">
        <w:rPr>
          <w:rFonts w:ascii="Times New Roman" w:hAnsi="Times New Roman" w:cs="Times New Roman"/>
          <w:sz w:val="24"/>
          <w:szCs w:val="24"/>
        </w:rPr>
        <w:t xml:space="preserve"> These include, but are not limited to:</w:t>
      </w:r>
    </w:p>
    <w:p w14:paraId="0446C35A"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Energy:</w:t>
      </w:r>
      <w:r w:rsidRPr="004E3BA4">
        <w:rPr>
          <w:rFonts w:ascii="Times New Roman" w:hAnsi="Times New Roman" w:cs="Times New Roman"/>
          <w:sz w:val="24"/>
          <w:szCs w:val="24"/>
        </w:rPr>
        <w:t xml:space="preserve"> IDA is well-placed to support the Government’s efforts to continue modernizing and expanding selected transmission and distribution networks. There is also scope for IFC and MIGA to continue helping to leverage private resources into independent power production including geothermal and renewable energy. The oil and gas sector also offers potential for new IDA involvement supporting the development of the regulatory and supervisory framework with IFC and MIGA engagement to leverage private investment.</w:t>
      </w:r>
    </w:p>
    <w:p w14:paraId="29C1006E"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Transport:</w:t>
      </w:r>
      <w:r w:rsidRPr="004E3BA4">
        <w:rPr>
          <w:rFonts w:ascii="Times New Roman" w:hAnsi="Times New Roman" w:cs="Times New Roman"/>
          <w:sz w:val="24"/>
          <w:szCs w:val="24"/>
        </w:rPr>
        <w:t xml:space="preserve"> Restoring Jomo Kenyatta International Airport to full functionality is an immediate priority that will require continued public funding with scope for further IDA support. In parallel, there are likely to be further opportunities to leverage private financing into operational aspects of air transport and the provision of related services. Improving the functionality of Mombasa port is a long term endeavor which in principle could also benefit from a mix of IFC and IDA resources, if client ownership and the political economy are right.</w:t>
      </w:r>
    </w:p>
    <w:p w14:paraId="6C3A404B"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t>Water and sanitation (WS):</w:t>
      </w:r>
      <w:r w:rsidRPr="004E3BA4">
        <w:rPr>
          <w:rFonts w:ascii="Times New Roman" w:hAnsi="Times New Roman" w:cs="Times New Roman"/>
          <w:sz w:val="24"/>
          <w:szCs w:val="24"/>
        </w:rPr>
        <w:t xml:space="preserve"> There is still significant need to build institutional capacity in the WS sector, particularly at county level. IDA’s global WS experts are well-placed to support this work and enable IFC and MIGA, in due course, to engage at local levels and help leverage private finance into this sector, including in coastal sectors.</w:t>
      </w:r>
    </w:p>
    <w:p w14:paraId="11C17044" w14:textId="77777777" w:rsidR="00064809" w:rsidRPr="004E3BA4" w:rsidRDefault="00064809" w:rsidP="007B5E57">
      <w:pPr>
        <w:pStyle w:val="ListParagraph"/>
        <w:numPr>
          <w:ilvl w:val="0"/>
          <w:numId w:val="45"/>
        </w:numPr>
        <w:spacing w:line="240" w:lineRule="auto"/>
        <w:ind w:left="0" w:firstLine="0"/>
        <w:contextualSpacing w:val="0"/>
        <w:jc w:val="both"/>
        <w:rPr>
          <w:rFonts w:ascii="Times New Roman" w:hAnsi="Times New Roman" w:cs="Times New Roman"/>
          <w:sz w:val="24"/>
          <w:szCs w:val="24"/>
        </w:rPr>
      </w:pPr>
      <w:r w:rsidRPr="004E3BA4">
        <w:rPr>
          <w:rFonts w:ascii="Times New Roman" w:hAnsi="Times New Roman" w:cs="Times New Roman"/>
          <w:b/>
          <w:sz w:val="24"/>
          <w:szCs w:val="24"/>
        </w:rPr>
        <w:lastRenderedPageBreak/>
        <w:t>Agriculture:</w:t>
      </w:r>
      <w:r w:rsidRPr="004E3BA4">
        <w:rPr>
          <w:rFonts w:ascii="Times New Roman" w:hAnsi="Times New Roman" w:cs="Times New Roman"/>
          <w:sz w:val="24"/>
          <w:szCs w:val="24"/>
        </w:rPr>
        <w:t xml:space="preserve"> There is a pressing need to revisit the policy framework particularly with respect to food crops including maize. Reforming the National Cereals and Produce Board (NCPB), improving grain storage and establishing a commodity exchange are all areas where the Bank Group could potentially help support Government efforts and encourage greater private sector involvement.  </w:t>
      </w:r>
    </w:p>
    <w:p w14:paraId="44FC8D49" w14:textId="77777777" w:rsidR="00064809" w:rsidRPr="004E3BA4" w:rsidRDefault="00064809" w:rsidP="007B5E57">
      <w:pPr>
        <w:pStyle w:val="ListParagraph"/>
        <w:numPr>
          <w:ilvl w:val="0"/>
          <w:numId w:val="45"/>
        </w:numPr>
        <w:spacing w:line="240" w:lineRule="auto"/>
        <w:ind w:left="0" w:firstLine="0"/>
        <w:jc w:val="both"/>
        <w:rPr>
          <w:rFonts w:ascii="Times New Roman" w:hAnsi="Times New Roman" w:cs="Times New Roman"/>
          <w:sz w:val="24"/>
          <w:szCs w:val="24"/>
        </w:rPr>
      </w:pPr>
      <w:r w:rsidRPr="004E3BA4">
        <w:rPr>
          <w:rFonts w:ascii="Times New Roman" w:hAnsi="Times New Roman" w:cs="Times New Roman"/>
          <w:b/>
          <w:sz w:val="24"/>
          <w:szCs w:val="24"/>
        </w:rPr>
        <w:t>Other:</w:t>
      </w:r>
      <w:r w:rsidRPr="004E3BA4">
        <w:rPr>
          <w:rFonts w:ascii="Times New Roman" w:hAnsi="Times New Roman" w:cs="Times New Roman"/>
          <w:sz w:val="24"/>
          <w:szCs w:val="24"/>
        </w:rPr>
        <w:t xml:space="preserve"> Investment in improving access to finance, health and analytical work in the education, governance and corporate governance sectors all offer further potential for Bank Group collaboration.</w:t>
      </w:r>
    </w:p>
    <w:p w14:paraId="27C50648" w14:textId="77777777" w:rsidR="00C77DA6" w:rsidRDefault="00C77DA6" w:rsidP="002B69A8">
      <w:pPr>
        <w:pStyle w:val="ListParagraph"/>
        <w:spacing w:line="240" w:lineRule="auto"/>
        <w:ind w:left="0"/>
        <w:contextualSpacing w:val="0"/>
        <w:jc w:val="both"/>
        <w:rPr>
          <w:rFonts w:ascii="Times New Roman" w:hAnsi="Times New Roman" w:cs="Times New Roman"/>
          <w:sz w:val="24"/>
          <w:szCs w:val="24"/>
        </w:rPr>
      </w:pPr>
    </w:p>
    <w:p w14:paraId="4C8ECD0D" w14:textId="77777777" w:rsidR="00AF6230" w:rsidRDefault="00AF6230" w:rsidP="002B69A8">
      <w:pPr>
        <w:pStyle w:val="ListParagraph"/>
        <w:spacing w:line="240" w:lineRule="auto"/>
        <w:ind w:left="0"/>
        <w:contextualSpacing w:val="0"/>
        <w:jc w:val="both"/>
        <w:rPr>
          <w:rFonts w:ascii="Times New Roman" w:hAnsi="Times New Roman" w:cs="Times New Roman"/>
          <w:sz w:val="24"/>
          <w:szCs w:val="24"/>
        </w:rPr>
      </w:pPr>
    </w:p>
    <w:p w14:paraId="1D5D3DD9" w14:textId="77777777" w:rsidR="00064809" w:rsidRDefault="00064809" w:rsidP="002B69A8">
      <w:pPr>
        <w:pStyle w:val="ListParagraph"/>
        <w:spacing w:line="240" w:lineRule="auto"/>
        <w:ind w:left="0"/>
        <w:contextualSpacing w:val="0"/>
        <w:jc w:val="both"/>
        <w:rPr>
          <w:rFonts w:ascii="Times New Roman" w:hAnsi="Times New Roman" w:cs="Times New Roman"/>
          <w:sz w:val="24"/>
          <w:szCs w:val="24"/>
        </w:rPr>
        <w:sectPr w:rsidR="00064809" w:rsidSect="00F96822">
          <w:endnotePr>
            <w:numFmt w:val="decimal"/>
          </w:endnotePr>
          <w:pgSz w:w="12240" w:h="15840"/>
          <w:pgMar w:top="1166" w:right="1440" w:bottom="1267" w:left="1440" w:header="720" w:footer="720" w:gutter="0"/>
          <w:cols w:space="720"/>
          <w:docGrid w:linePitch="360"/>
        </w:sectPr>
      </w:pPr>
    </w:p>
    <w:p w14:paraId="1D1A644F"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9" w:name="_Toc387342570"/>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9</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Governance and Political Economy</w:t>
      </w:r>
      <w:bookmarkEnd w:id="9"/>
    </w:p>
    <w:p w14:paraId="1886E033" w14:textId="77777777" w:rsidR="00B71C5A" w:rsidRPr="00B71C5A" w:rsidRDefault="00B71C5A" w:rsidP="007B5E57">
      <w:pPr>
        <w:pStyle w:val="ListParagraph"/>
        <w:numPr>
          <w:ilvl w:val="0"/>
          <w:numId w:val="46"/>
        </w:numPr>
        <w:spacing w:line="240" w:lineRule="auto"/>
        <w:ind w:left="0" w:firstLine="0"/>
        <w:contextualSpacing w:val="0"/>
        <w:rPr>
          <w:rFonts w:ascii="Times New Roman" w:hAnsi="Times New Roman" w:cs="Times New Roman"/>
          <w:b/>
          <w:sz w:val="24"/>
          <w:szCs w:val="24"/>
        </w:rPr>
      </w:pPr>
      <w:r w:rsidRPr="00B71C5A">
        <w:rPr>
          <w:rFonts w:ascii="Times New Roman" w:hAnsi="Times New Roman" w:cs="Times New Roman"/>
          <w:b/>
          <w:sz w:val="24"/>
          <w:szCs w:val="24"/>
        </w:rPr>
        <w:t>The Governance challenge and its context</w:t>
      </w:r>
    </w:p>
    <w:p w14:paraId="0953D288"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 xml:space="preserve">Kenya has been characterized by a number of governance challenges and perceptions of poor governance seem to persist. </w:t>
      </w:r>
      <w:r w:rsidRPr="00B71C5A">
        <w:rPr>
          <w:rFonts w:ascii="Times New Roman" w:hAnsi="Times New Roman" w:cs="Times New Roman"/>
          <w:sz w:val="24"/>
          <w:szCs w:val="24"/>
        </w:rPr>
        <w:t>Governance has been a major constraint to unleashing Kenya’s full potential and weaknesses included inadequate legal provision and mandate for Public Financial Management (PFM) ; weak oversight and control institutions (e.g. audit, accounting and reporting, procurement) especially at subnational levels; weak and untrusted judiciary and law enforcement; elite capture at both national and decentralized levels of government and weak public participation, transparency and accountability in public matters. These gave rise to a number of governance pathologies, including corruption, institutional failures and exposure to fiduciary risks.</w:t>
      </w:r>
    </w:p>
    <w:p w14:paraId="6FC06240"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Until recently, Kenya had been a highly centralized state with a strong executive president and a weak legislature and judiciary</w:t>
      </w:r>
      <w:r w:rsidRPr="00B71C5A">
        <w:rPr>
          <w:rFonts w:ascii="Times New Roman" w:hAnsi="Times New Roman" w:cs="Times New Roman"/>
          <w:sz w:val="24"/>
          <w:szCs w:val="24"/>
        </w:rPr>
        <w:t xml:space="preserve">. Oversight and checks on executive and administrative powers and authority were thus weak. Politics center on ethnicity and with a winner take all system, access to political power provides a source of patronage for wining elites. Consequently, elections are fiercely contested and often violent. This dynamic reached its worst state in the post 2007 election violence.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5238"/>
      </w:tblGrid>
      <w:tr w:rsidR="00B71C5A" w:rsidRPr="00B71C5A" w14:paraId="585AF8B3" w14:textId="77777777" w:rsidTr="00985F1A">
        <w:tc>
          <w:tcPr>
            <w:tcW w:w="4338" w:type="dxa"/>
          </w:tcPr>
          <w:p w14:paraId="42862FF4" w14:textId="77777777" w:rsidR="00B71C5A" w:rsidRPr="00B71C5A" w:rsidRDefault="00B71C5A" w:rsidP="007B5E57">
            <w:pPr>
              <w:pStyle w:val="ListParagraph"/>
              <w:numPr>
                <w:ilvl w:val="0"/>
                <w:numId w:val="47"/>
              </w:numPr>
              <w:ind w:left="0" w:firstLine="0"/>
              <w:contextualSpacing w:val="0"/>
              <w:rPr>
                <w:rFonts w:ascii="Times New Roman" w:hAnsi="Times New Roman" w:cs="Times New Roman"/>
                <w:b/>
                <w:sz w:val="24"/>
                <w:szCs w:val="24"/>
              </w:rPr>
            </w:pPr>
            <w:r w:rsidRPr="00B71C5A">
              <w:rPr>
                <w:rFonts w:ascii="Times New Roman" w:hAnsi="Times New Roman" w:cs="Times New Roman"/>
                <w:b/>
                <w:sz w:val="24"/>
                <w:szCs w:val="24"/>
              </w:rPr>
              <w:t>Given its history, Kenya’s governance performance has been mixed</w:t>
            </w:r>
            <w:r w:rsidRPr="00B71C5A">
              <w:rPr>
                <w:rFonts w:ascii="Times New Roman" w:hAnsi="Times New Roman" w:cs="Times New Roman"/>
                <w:sz w:val="24"/>
                <w:szCs w:val="24"/>
              </w:rPr>
              <w:t>. It does very well on the Bank’s CPIA with one of the highest scores in the Africa region (3.9 in 2012), though the scores for the governance cluster are much lower. As figure 1 (Annex) shows, Kenya’s performance on the control of corruption, political stability and absence of violence and rule of law has been relatively poor compared to other countries, except for Nigeria. It does relatively better on voice and transparency and has one of the most vibrant media in the region.</w:t>
            </w:r>
            <w:r w:rsidRPr="00B71C5A">
              <w:rPr>
                <w:rFonts w:ascii="Times New Roman" w:hAnsi="Times New Roman" w:cs="Times New Roman"/>
                <w:noProof/>
                <w:sz w:val="24"/>
                <w:szCs w:val="24"/>
              </w:rPr>
              <w:t xml:space="preserve"> </w:t>
            </w:r>
          </w:p>
        </w:tc>
        <w:tc>
          <w:tcPr>
            <w:tcW w:w="5238" w:type="dxa"/>
          </w:tcPr>
          <w:p w14:paraId="30EA837A" w14:textId="77777777" w:rsidR="00B71C5A" w:rsidRPr="00B71C5A" w:rsidRDefault="00B71C5A" w:rsidP="00985F1A">
            <w:pPr>
              <w:jc w:val="center"/>
              <w:rPr>
                <w:rFonts w:ascii="Times New Roman" w:eastAsia="MS Mincho" w:hAnsi="Times New Roman" w:cs="Times New Roman"/>
                <w:b/>
                <w:sz w:val="24"/>
                <w:szCs w:val="24"/>
              </w:rPr>
            </w:pPr>
            <w:r w:rsidRPr="00B71C5A">
              <w:rPr>
                <w:rFonts w:ascii="Times New Roman" w:hAnsi="Times New Roman" w:cs="Times New Roman"/>
                <w:sz w:val="24"/>
                <w:szCs w:val="24"/>
              </w:rPr>
              <w:t>F</w:t>
            </w:r>
            <w:r w:rsidRPr="00B71C5A">
              <w:rPr>
                <w:rFonts w:ascii="Times New Roman" w:eastAsia="MS Mincho" w:hAnsi="Times New Roman" w:cs="Times New Roman"/>
                <w:b/>
                <w:sz w:val="24"/>
                <w:szCs w:val="24"/>
              </w:rPr>
              <w:t>igure 1: WGI: Kenya in Comparative Perspective</w:t>
            </w:r>
          </w:p>
          <w:p w14:paraId="2FC29F03" w14:textId="77777777" w:rsidR="00B71C5A" w:rsidRPr="00B71C5A" w:rsidRDefault="00CA0174" w:rsidP="00985F1A">
            <w:pPr>
              <w:rPr>
                <w:rFonts w:ascii="Times New Roman" w:hAnsi="Times New Roman" w:cs="Times New Roman"/>
                <w:b/>
                <w:sz w:val="24"/>
                <w:szCs w:val="24"/>
              </w:rPr>
            </w:pPr>
            <w:r w:rsidRPr="00B71C5A">
              <w:rPr>
                <w:rFonts w:ascii="Times New Roman" w:hAnsi="Times New Roman" w:cs="Times New Roman"/>
                <w:noProof/>
                <w:sz w:val="24"/>
                <w:szCs w:val="24"/>
              </w:rPr>
              <w:drawing>
                <wp:anchor distT="0" distB="0" distL="114300" distR="114300" simplePos="0" relativeHeight="251820032" behindDoc="1" locked="0" layoutInCell="1" allowOverlap="1" wp14:anchorId="7A36EB1F" wp14:editId="27E707EA">
                  <wp:simplePos x="0" y="0"/>
                  <wp:positionH relativeFrom="column">
                    <wp:posOffset>12700</wp:posOffset>
                  </wp:positionH>
                  <wp:positionV relativeFrom="paragraph">
                    <wp:posOffset>93980</wp:posOffset>
                  </wp:positionV>
                  <wp:extent cx="2865120" cy="2072640"/>
                  <wp:effectExtent l="0" t="0" r="0" b="3810"/>
                  <wp:wrapTight wrapText="bothSides">
                    <wp:wrapPolygon edited="0">
                      <wp:start x="0" y="0"/>
                      <wp:lineTo x="0" y="21441"/>
                      <wp:lineTo x="21399" y="21441"/>
                      <wp:lineTo x="2139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65120" cy="2072640"/>
                          </a:xfrm>
                          <a:prstGeom prst="rect">
                            <a:avLst/>
                          </a:prstGeom>
                        </pic:spPr>
                      </pic:pic>
                    </a:graphicData>
                  </a:graphic>
                  <wp14:sizeRelH relativeFrom="page">
                    <wp14:pctWidth>0</wp14:pctWidth>
                  </wp14:sizeRelH>
                  <wp14:sizeRelV relativeFrom="page">
                    <wp14:pctHeight>0</wp14:pctHeight>
                  </wp14:sizeRelV>
                </wp:anchor>
              </w:drawing>
            </w:r>
          </w:p>
        </w:tc>
      </w:tr>
    </w:tbl>
    <w:p w14:paraId="3503D73A" w14:textId="77777777" w:rsidR="00B71C5A" w:rsidRPr="00B71C5A" w:rsidRDefault="00B71C5A" w:rsidP="007B5E57">
      <w:pPr>
        <w:pStyle w:val="ListParagraph"/>
        <w:numPr>
          <w:ilvl w:val="0"/>
          <w:numId w:val="47"/>
        </w:numPr>
        <w:spacing w:before="200" w:line="240" w:lineRule="auto"/>
        <w:ind w:left="0" w:firstLine="0"/>
        <w:contextualSpacing w:val="0"/>
        <w:jc w:val="both"/>
        <w:rPr>
          <w:rFonts w:ascii="Times New Roman" w:hAnsi="Times New Roman" w:cs="Times New Roman"/>
          <w:sz w:val="24"/>
          <w:szCs w:val="24"/>
        </w:rPr>
      </w:pPr>
      <w:bookmarkStart w:id="10" w:name="_Toc239609474"/>
      <w:r w:rsidRPr="00B71C5A">
        <w:rPr>
          <w:rFonts w:ascii="Times New Roman" w:hAnsi="Times New Roman" w:cs="Times New Roman"/>
          <w:b/>
          <w:sz w:val="24"/>
          <w:szCs w:val="24"/>
        </w:rPr>
        <w:t>With the exception of 2013, since the introduction of multiparty elections in 1991, growth rates in Kenya have historically dipped in election years,</w:t>
      </w:r>
      <w:r w:rsidRPr="00B71C5A">
        <w:rPr>
          <w:rFonts w:ascii="Times New Roman" w:hAnsi="Times New Roman" w:cs="Times New Roman"/>
          <w:sz w:val="24"/>
          <w:szCs w:val="24"/>
        </w:rPr>
        <w:t xml:space="preserve"> largely due to political violence rooted in Kenya’s particular political economy, where patronage and ethnicity combine to dominate electoral competition, thus undermining democracy as an exercise of voice and development-oriented policy making. </w:t>
      </w:r>
      <w:bookmarkEnd w:id="10"/>
    </w:p>
    <w:p w14:paraId="6F648AA2" w14:textId="77777777" w:rsidR="00B71C5A" w:rsidRPr="00B71C5A" w:rsidRDefault="00B71C5A" w:rsidP="007B5E57">
      <w:pPr>
        <w:pStyle w:val="ListParagraph"/>
        <w:numPr>
          <w:ilvl w:val="0"/>
          <w:numId w:val="46"/>
        </w:numPr>
        <w:spacing w:line="240" w:lineRule="auto"/>
        <w:ind w:left="0" w:firstLine="0"/>
        <w:contextualSpacing w:val="0"/>
        <w:jc w:val="both"/>
        <w:rPr>
          <w:rFonts w:ascii="Times New Roman" w:hAnsi="Times New Roman" w:cs="Times New Roman"/>
          <w:b/>
          <w:sz w:val="24"/>
          <w:szCs w:val="24"/>
        </w:rPr>
      </w:pPr>
      <w:r w:rsidRPr="00B71C5A">
        <w:rPr>
          <w:rFonts w:ascii="Times New Roman" w:hAnsi="Times New Roman" w:cs="Times New Roman"/>
          <w:b/>
          <w:sz w:val="24"/>
          <w:szCs w:val="24"/>
        </w:rPr>
        <w:t>Changing Political Economy Landscape</w:t>
      </w:r>
    </w:p>
    <w:p w14:paraId="7F275C63"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Kenya’s Vision 2030 emphasizes improving the rule of law, transparency and accountability in the conduct of public affairs, security, peace and conflict management, and public sector reforms, so as to strengthen Kenya’s foundation for development.</w:t>
      </w:r>
      <w:r w:rsidRPr="00B71C5A">
        <w:rPr>
          <w:rFonts w:ascii="Times New Roman" w:hAnsi="Times New Roman" w:cs="Times New Roman"/>
          <w:sz w:val="24"/>
          <w:szCs w:val="24"/>
        </w:rPr>
        <w:t xml:space="preserve"> Anti-corruption initiatives will be intensified alongside improved investigation and prosecution. All </w:t>
      </w:r>
      <w:r w:rsidRPr="00B71C5A">
        <w:rPr>
          <w:rFonts w:ascii="Times New Roman" w:hAnsi="Times New Roman" w:cs="Times New Roman"/>
          <w:sz w:val="24"/>
          <w:szCs w:val="24"/>
        </w:rPr>
        <w:lastRenderedPageBreak/>
        <w:t xml:space="preserve">these have been binding governance constraints in Kenya and held back the country from realizing its full potential.  </w:t>
      </w:r>
    </w:p>
    <w:p w14:paraId="241045C4"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The 2010 constitution resets the rules of the power game in Kenya and offers significant potentials for improved governance for development effectiveness.</w:t>
      </w:r>
      <w:r w:rsidRPr="00B71C5A">
        <w:rPr>
          <w:rFonts w:ascii="Times New Roman" w:hAnsi="Times New Roman" w:cs="Times New Roman"/>
          <w:sz w:val="24"/>
          <w:szCs w:val="24"/>
        </w:rPr>
        <w:t xml:space="preserve">  Since 2002 the governance landscape in Kenya has been changing positively, with the election of NARC government and President Kibaki, though progress was punctuated by the post 2007 elections violence. The 2010 constitution has been a significant game changer with the introduction of new institutions and revamping of existing ones. </w:t>
      </w:r>
    </w:p>
    <w:p w14:paraId="1F51372A"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eastAsia="Times New Roman" w:hAnsi="Times New Roman" w:cs="Times New Roman"/>
          <w:sz w:val="24"/>
          <w:szCs w:val="24"/>
        </w:rPr>
      </w:pPr>
      <w:r w:rsidRPr="00B71C5A">
        <w:rPr>
          <w:rFonts w:ascii="Times New Roman" w:hAnsi="Times New Roman" w:cs="Times New Roman"/>
          <w:b/>
          <w:sz w:val="24"/>
          <w:szCs w:val="24"/>
        </w:rPr>
        <w:t xml:space="preserve">Devolution is a major institutional change and the king pin of the 2010 constitution. </w:t>
      </w:r>
      <w:r w:rsidRPr="00B71C5A">
        <w:rPr>
          <w:rFonts w:ascii="Times New Roman" w:hAnsi="Times New Roman" w:cs="Times New Roman"/>
          <w:sz w:val="24"/>
          <w:szCs w:val="24"/>
        </w:rPr>
        <w:t>Kenya’s devolution is one of the most ambitious reforms and it aims to address old problems of marginalization and inequality between regions which has fueled ethnic tensions in the past. The constitution and the PFM Act 2012 also clarify roles and responsibilities and have strengthened the authority of institutions for public financial management. For example, the Auditor General confirms whether or not public money has been applied lawfully and in an effective way, while the new office of the Controller of Budget authorizes withdrawals from public funds and oversees implementation and reports to Parliament every four months.</w:t>
      </w:r>
    </w:p>
    <w:p w14:paraId="09BDFA43"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Checks and balances have been strengthened. However, the newly created institutions are yet to be stabilized and embedded into a national framework</w:t>
      </w:r>
      <w:r w:rsidRPr="00B71C5A">
        <w:rPr>
          <w:rFonts w:ascii="Times New Roman" w:hAnsi="Times New Roman" w:cs="Times New Roman"/>
          <w:sz w:val="24"/>
          <w:szCs w:val="24"/>
        </w:rPr>
        <w:t xml:space="preserve">. There is now stronger legislative oversight and greater independence for the judiciary to check the executive than before. The Judiciary is reforming and has been strengthened with a Supreme Court, a Chief Justice and significant independence in appointments and financing. There are also constitutional and legal requirements for improved citizens’ participation in public issues, including planning and budgeting processes; independent commissions and offices including the Salary and Remuneration Commission, the Commission for Revenue Allocation and the Controller of Budget. </w:t>
      </w:r>
    </w:p>
    <w:p w14:paraId="58369210" w14:textId="77777777" w:rsidR="00B71C5A" w:rsidRPr="00B71C5A" w:rsidRDefault="00B71C5A" w:rsidP="007B5E57">
      <w:pPr>
        <w:pStyle w:val="ListParagraph"/>
        <w:numPr>
          <w:ilvl w:val="0"/>
          <w:numId w:val="46"/>
        </w:numPr>
        <w:spacing w:line="240" w:lineRule="auto"/>
        <w:ind w:left="0" w:firstLine="0"/>
        <w:contextualSpacing w:val="0"/>
        <w:jc w:val="both"/>
        <w:rPr>
          <w:rFonts w:ascii="Times New Roman" w:hAnsi="Times New Roman" w:cs="Times New Roman"/>
          <w:b/>
          <w:sz w:val="24"/>
          <w:szCs w:val="24"/>
        </w:rPr>
      </w:pPr>
      <w:r w:rsidRPr="00B71C5A">
        <w:rPr>
          <w:rFonts w:ascii="Times New Roman" w:hAnsi="Times New Roman" w:cs="Times New Roman"/>
          <w:b/>
          <w:sz w:val="24"/>
          <w:szCs w:val="24"/>
        </w:rPr>
        <w:t>Current Risks and Challenges</w:t>
      </w:r>
    </w:p>
    <w:p w14:paraId="408E52B8"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 xml:space="preserve">Despite the new constitution and associated reforms there are significant risks and challenges to improving governance. </w:t>
      </w:r>
      <w:r w:rsidRPr="00B71C5A">
        <w:rPr>
          <w:rFonts w:ascii="Times New Roman" w:hAnsi="Times New Roman" w:cs="Times New Roman"/>
          <w:sz w:val="24"/>
          <w:szCs w:val="24"/>
        </w:rPr>
        <w:t xml:space="preserve">The 2010 constitution and devolution are still contested governance processes with a section of stakeholders calling for referendum to amend the constitution to give more resources to counties and more authority to the senate which represent the interests of counties. Implementing devolution is fraught with risks, including fiscal and service failures and capacity of counties to manage their devolved functions and resources, which may possibly lead to attempt to claw back some functions and powers from devolved units. </w:t>
      </w:r>
    </w:p>
    <w:p w14:paraId="2F082DB1" w14:textId="77777777" w:rsid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Corruption and weak accountability with impunity remain challenges, despite the constitution</w:t>
      </w:r>
      <w:r w:rsidRPr="00B71C5A">
        <w:rPr>
          <w:rFonts w:ascii="Times New Roman" w:hAnsi="Times New Roman" w:cs="Times New Roman"/>
          <w:sz w:val="24"/>
          <w:szCs w:val="24"/>
        </w:rPr>
        <w:t>. Although there is progress in the reform of the judiciary, other justice sector institutions such as the police and prosecution are lagging behind in reforms to complete the circle of justice to citizens. Thus, there are institutional dynamics and uncertainties as well as recalibrations of alliances and partnerships in the current political economy of Kenya. The underlying risks of path dependency and reversal of reforms introduced by the 2010 constitution is real and cannot be ignored in the efforts to improve development effectiveness in Kenya.</w:t>
      </w:r>
    </w:p>
    <w:p w14:paraId="67CDB8C3" w14:textId="77777777" w:rsidR="00A81C89" w:rsidRPr="00A81C89" w:rsidRDefault="00A81C89" w:rsidP="00A81C89">
      <w:pPr>
        <w:spacing w:line="240" w:lineRule="auto"/>
        <w:jc w:val="both"/>
        <w:rPr>
          <w:rFonts w:ascii="Times New Roman" w:hAnsi="Times New Roman" w:cs="Times New Roman"/>
          <w:sz w:val="24"/>
          <w:szCs w:val="24"/>
        </w:rPr>
      </w:pPr>
    </w:p>
    <w:p w14:paraId="5A360C65" w14:textId="77777777" w:rsidR="00B71C5A" w:rsidRPr="00B71C5A" w:rsidRDefault="00B71C5A" w:rsidP="007B5E57">
      <w:pPr>
        <w:pStyle w:val="ListParagraph"/>
        <w:numPr>
          <w:ilvl w:val="0"/>
          <w:numId w:val="46"/>
        </w:numPr>
        <w:spacing w:line="240" w:lineRule="auto"/>
        <w:ind w:left="0" w:firstLine="0"/>
        <w:contextualSpacing w:val="0"/>
        <w:jc w:val="both"/>
        <w:rPr>
          <w:rFonts w:ascii="Times New Roman" w:hAnsi="Times New Roman" w:cs="Times New Roman"/>
          <w:b/>
          <w:sz w:val="24"/>
          <w:szCs w:val="24"/>
        </w:rPr>
      </w:pPr>
      <w:r w:rsidRPr="00B71C5A">
        <w:rPr>
          <w:rFonts w:ascii="Times New Roman" w:hAnsi="Times New Roman" w:cs="Times New Roman"/>
          <w:b/>
          <w:sz w:val="24"/>
          <w:szCs w:val="24"/>
        </w:rPr>
        <w:lastRenderedPageBreak/>
        <w:t>Conclusion</w:t>
      </w:r>
    </w:p>
    <w:p w14:paraId="66866CAF" w14:textId="77777777" w:rsidR="00B71C5A" w:rsidRPr="00B71C5A" w:rsidRDefault="00B71C5A" w:rsidP="007B5E57">
      <w:pPr>
        <w:pStyle w:val="ListParagraph"/>
        <w:numPr>
          <w:ilvl w:val="0"/>
          <w:numId w:val="47"/>
        </w:numPr>
        <w:spacing w:line="240" w:lineRule="auto"/>
        <w:ind w:left="0" w:firstLine="0"/>
        <w:contextualSpacing w:val="0"/>
        <w:jc w:val="both"/>
        <w:rPr>
          <w:rFonts w:ascii="Times New Roman" w:hAnsi="Times New Roman" w:cs="Times New Roman"/>
          <w:sz w:val="24"/>
          <w:szCs w:val="24"/>
        </w:rPr>
      </w:pPr>
      <w:r w:rsidRPr="00B71C5A">
        <w:rPr>
          <w:rFonts w:ascii="Times New Roman" w:hAnsi="Times New Roman" w:cs="Times New Roman"/>
          <w:b/>
          <w:sz w:val="24"/>
          <w:szCs w:val="24"/>
        </w:rPr>
        <w:t>Going forward, the CPS acknowledges that politics and institutions matter for achieving development results in Kenya.</w:t>
      </w:r>
      <w:r w:rsidRPr="00B71C5A">
        <w:rPr>
          <w:rFonts w:ascii="Times New Roman" w:hAnsi="Times New Roman" w:cs="Times New Roman"/>
          <w:sz w:val="24"/>
          <w:szCs w:val="24"/>
        </w:rPr>
        <w:t xml:space="preserve">  Governance will frame the context for the design and implementation of the CPS. The CPS will therefore support sectors in addressing governance and political issues in priority sectors such as health, agriculture, education and infrastructure, support the strengthening of institutions that matter most for critical functions and service delivery and strengthening institutions and processes for participation and accountability. </w:t>
      </w:r>
    </w:p>
    <w:p w14:paraId="4E04684A" w14:textId="77777777" w:rsidR="00AF6230" w:rsidRPr="00B71C5A" w:rsidRDefault="00B71C5A" w:rsidP="00B71C5A">
      <w:pPr>
        <w:pStyle w:val="ListParagraph"/>
        <w:spacing w:line="240" w:lineRule="auto"/>
        <w:ind w:left="0"/>
        <w:contextualSpacing w:val="0"/>
        <w:jc w:val="center"/>
        <w:rPr>
          <w:rFonts w:ascii="Times New Roman" w:hAnsi="Times New Roman" w:cs="Times New Roman"/>
          <w:sz w:val="24"/>
          <w:szCs w:val="24"/>
        </w:rPr>
      </w:pPr>
      <w:r w:rsidRPr="00B71C5A">
        <w:rPr>
          <w:rFonts w:ascii="Times New Roman" w:hAnsi="Times New Roman" w:cs="Times New Roman"/>
          <w:noProof/>
          <w:sz w:val="24"/>
          <w:szCs w:val="24"/>
        </w:rPr>
        <w:drawing>
          <wp:anchor distT="0" distB="0" distL="114300" distR="114300" simplePos="0" relativeHeight="251723776" behindDoc="1" locked="0" layoutInCell="1" allowOverlap="1" wp14:anchorId="65275507" wp14:editId="30F5D026">
            <wp:simplePos x="0" y="0"/>
            <wp:positionH relativeFrom="column">
              <wp:posOffset>528320</wp:posOffset>
            </wp:positionH>
            <wp:positionV relativeFrom="paragraph">
              <wp:posOffset>276225</wp:posOffset>
            </wp:positionV>
            <wp:extent cx="4685030" cy="3789680"/>
            <wp:effectExtent l="133350" t="95250" r="153670" b="172720"/>
            <wp:wrapTight wrapText="bothSides">
              <wp:wrapPolygon edited="0">
                <wp:start x="-527" y="-543"/>
                <wp:lineTo x="-615" y="21607"/>
                <wp:lineTo x="-439" y="22476"/>
                <wp:lineTo x="22045" y="22476"/>
                <wp:lineTo x="22045" y="22259"/>
                <wp:lineTo x="22221" y="20630"/>
                <wp:lineTo x="22133" y="-543"/>
                <wp:lineTo x="-527" y="-543"/>
              </wp:wrapPolygon>
            </wp:wrapTight>
            <wp:docPr id="322"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3"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5030" cy="378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71C5A">
        <w:rPr>
          <w:rFonts w:ascii="Times New Roman" w:hAnsi="Times New Roman" w:cs="Times New Roman"/>
          <w:b/>
          <w:sz w:val="24"/>
          <w:szCs w:val="24"/>
        </w:rPr>
        <w:t>Figure 2: Relationship between elections and growth in Kenya</w:t>
      </w:r>
    </w:p>
    <w:p w14:paraId="1A21BC3F" w14:textId="77777777" w:rsidR="00B71C5A" w:rsidRPr="00B71C5A" w:rsidRDefault="00B71C5A" w:rsidP="002B69A8">
      <w:pPr>
        <w:pStyle w:val="ListParagraph"/>
        <w:spacing w:line="240" w:lineRule="auto"/>
        <w:ind w:left="0"/>
        <w:contextualSpacing w:val="0"/>
        <w:jc w:val="both"/>
        <w:rPr>
          <w:rFonts w:ascii="Times New Roman" w:hAnsi="Times New Roman" w:cs="Times New Roman"/>
          <w:sz w:val="24"/>
          <w:szCs w:val="24"/>
        </w:rPr>
      </w:pPr>
    </w:p>
    <w:p w14:paraId="1B3F7CCE" w14:textId="77777777" w:rsidR="00B71C5A" w:rsidRPr="00B71C5A" w:rsidRDefault="00B71C5A" w:rsidP="002B69A8">
      <w:pPr>
        <w:pStyle w:val="ListParagraph"/>
        <w:spacing w:line="240" w:lineRule="auto"/>
        <w:ind w:left="0"/>
        <w:contextualSpacing w:val="0"/>
        <w:jc w:val="both"/>
        <w:rPr>
          <w:rFonts w:ascii="Times New Roman" w:hAnsi="Times New Roman" w:cs="Times New Roman"/>
          <w:sz w:val="24"/>
          <w:szCs w:val="24"/>
        </w:rPr>
      </w:pPr>
    </w:p>
    <w:p w14:paraId="6DA39BFD" w14:textId="77777777" w:rsidR="00B71C5A" w:rsidRPr="00B71C5A" w:rsidRDefault="00B71C5A" w:rsidP="002B69A8">
      <w:pPr>
        <w:pStyle w:val="ListParagraph"/>
        <w:spacing w:line="240" w:lineRule="auto"/>
        <w:ind w:left="0"/>
        <w:contextualSpacing w:val="0"/>
        <w:jc w:val="both"/>
        <w:rPr>
          <w:rFonts w:ascii="Times New Roman" w:hAnsi="Times New Roman" w:cs="Times New Roman"/>
          <w:sz w:val="24"/>
          <w:szCs w:val="24"/>
        </w:rPr>
      </w:pPr>
    </w:p>
    <w:p w14:paraId="38A418BF" w14:textId="77777777" w:rsidR="00B71C5A" w:rsidRPr="00B71C5A" w:rsidRDefault="00B71C5A" w:rsidP="002B69A8">
      <w:pPr>
        <w:pStyle w:val="ListParagraph"/>
        <w:spacing w:line="240" w:lineRule="auto"/>
        <w:ind w:left="0"/>
        <w:contextualSpacing w:val="0"/>
        <w:jc w:val="both"/>
        <w:rPr>
          <w:rFonts w:ascii="Times New Roman" w:hAnsi="Times New Roman" w:cs="Times New Roman"/>
          <w:sz w:val="24"/>
          <w:szCs w:val="24"/>
        </w:rPr>
      </w:pPr>
    </w:p>
    <w:p w14:paraId="0A561728" w14:textId="77777777" w:rsidR="00B71C5A" w:rsidRPr="00B71C5A" w:rsidRDefault="00B71C5A" w:rsidP="002B69A8">
      <w:pPr>
        <w:pStyle w:val="ListParagraph"/>
        <w:spacing w:line="240" w:lineRule="auto"/>
        <w:ind w:left="0"/>
        <w:contextualSpacing w:val="0"/>
        <w:jc w:val="both"/>
        <w:rPr>
          <w:rFonts w:ascii="Times New Roman" w:hAnsi="Times New Roman" w:cs="Times New Roman"/>
          <w:sz w:val="24"/>
          <w:szCs w:val="24"/>
        </w:rPr>
        <w:sectPr w:rsidR="00B71C5A" w:rsidRPr="00B71C5A" w:rsidSect="00F96822">
          <w:endnotePr>
            <w:numFmt w:val="decimal"/>
          </w:endnotePr>
          <w:pgSz w:w="12240" w:h="15840"/>
          <w:pgMar w:top="1166" w:right="1440" w:bottom="1267" w:left="1440" w:header="720" w:footer="720" w:gutter="0"/>
          <w:cols w:space="720"/>
          <w:docGrid w:linePitch="360"/>
        </w:sectPr>
      </w:pPr>
    </w:p>
    <w:p w14:paraId="23C2FCC0" w14:textId="77777777" w:rsidR="00A81C89" w:rsidRPr="00A81C89" w:rsidRDefault="00A81C89" w:rsidP="00A81C89">
      <w:pPr>
        <w:pStyle w:val="Caption"/>
        <w:spacing w:after="240"/>
        <w:jc w:val="center"/>
        <w:rPr>
          <w:rFonts w:ascii="Times New Roman" w:hAnsi="Times New Roman" w:cs="Times New Roman"/>
          <w:sz w:val="24"/>
          <w:szCs w:val="24"/>
        </w:rPr>
      </w:pPr>
      <w:bookmarkStart w:id="11" w:name="_Toc387342571"/>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10</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Devolution: Challenges and Opportunities</w:t>
      </w:r>
      <w:bookmarkEnd w:id="11"/>
    </w:p>
    <w:p w14:paraId="0A671377"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sz w:val="24"/>
          <w:szCs w:val="24"/>
          <w:u w:val="single"/>
        </w:rPr>
      </w:pPr>
      <w:r w:rsidRPr="00985F1A">
        <w:rPr>
          <w:rFonts w:ascii="Times New Roman" w:eastAsia="Times New Roman" w:hAnsi="Times New Roman" w:cs="Times New Roman"/>
          <w:b/>
          <w:bCs/>
          <w:sz w:val="24"/>
          <w:szCs w:val="24"/>
        </w:rPr>
        <w:t>Main ways in which devolution can help end poverty and promote shared prosperity through (a) driving growth; (b) reducing inequality; (c) improving institutions and governance</w:t>
      </w:r>
      <w:r w:rsidRPr="00985F1A">
        <w:rPr>
          <w:rFonts w:ascii="Times New Roman" w:eastAsia="Times New Roman" w:hAnsi="Times New Roman" w:cs="Times New Roman"/>
          <w:b/>
          <w:bCs/>
          <w:sz w:val="24"/>
          <w:szCs w:val="24"/>
          <w:u w:val="single"/>
        </w:rPr>
        <w:t>.</w:t>
      </w:r>
    </w:p>
    <w:p w14:paraId="2F627B2C" w14:textId="1AF0ED65"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sz w:val="24"/>
          <w:szCs w:val="24"/>
        </w:rPr>
      </w:pPr>
      <w:r w:rsidRPr="00985F1A">
        <w:rPr>
          <w:rFonts w:ascii="Times New Roman" w:hAnsi="Times New Roman" w:cs="Times New Roman"/>
          <w:sz w:val="24"/>
          <w:szCs w:val="24"/>
        </w:rPr>
        <w:t xml:space="preserve">Amidst many other reforms, devolution is arguably the most far-reaching reform under Kenya’s 2010 Constitution.  It is also one of the most ambitious devolutions underway in the world, involving large-scale political, fiscal, and administrative decentralization.  As per the Constitution, Kenya’s devolution puts in place a whole new </w:t>
      </w:r>
      <w:r w:rsidR="00804542">
        <w:rPr>
          <w:rFonts w:ascii="Times New Roman" w:hAnsi="Times New Roman" w:cs="Times New Roman"/>
          <w:sz w:val="24"/>
          <w:szCs w:val="24"/>
        </w:rPr>
        <w:t>subnational</w:t>
      </w:r>
      <w:r w:rsidRPr="00985F1A">
        <w:rPr>
          <w:rFonts w:ascii="Times New Roman" w:hAnsi="Times New Roman" w:cs="Times New Roman"/>
          <w:sz w:val="24"/>
          <w:szCs w:val="24"/>
        </w:rPr>
        <w:t xml:space="preserve"> layer of government, including 47 counties each with an elected governor and assembly, responsible for a significant portion of service delivery. </w:t>
      </w:r>
    </w:p>
    <w:p w14:paraId="701C10A3"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sz w:val="24"/>
          <w:szCs w:val="24"/>
        </w:rPr>
      </w:pPr>
      <w:r w:rsidRPr="00985F1A">
        <w:rPr>
          <w:rFonts w:ascii="Times New Roman" w:hAnsi="Times New Roman" w:cs="Times New Roman"/>
          <w:sz w:val="24"/>
          <w:szCs w:val="24"/>
        </w:rPr>
        <w:t xml:space="preserve">Devolution seeks to address multiple objectives such as: tackle long-term, deeply entrenched disparities between regions; increase the responsiveness of government to citizen needs; allow greater degrees of autonomy to different regions and groups; strengthen governance and accountability to citizens.  </w:t>
      </w:r>
    </w:p>
    <w:p w14:paraId="7FB72C41"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sz w:val="24"/>
          <w:szCs w:val="24"/>
        </w:rPr>
      </w:pPr>
      <w:r w:rsidRPr="00985F1A">
        <w:rPr>
          <w:rFonts w:ascii="Times New Roman" w:eastAsia="Times New Roman" w:hAnsi="Times New Roman" w:cs="Times New Roman"/>
          <w:b/>
          <w:bCs/>
          <w:sz w:val="24"/>
          <w:szCs w:val="24"/>
        </w:rPr>
        <w:t>Results, prospects, promises to date</w:t>
      </w:r>
    </w:p>
    <w:p w14:paraId="3129C14F"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sz w:val="24"/>
          <w:szCs w:val="24"/>
        </w:rPr>
      </w:pPr>
      <w:r w:rsidRPr="00985F1A">
        <w:rPr>
          <w:rFonts w:ascii="Times New Roman" w:hAnsi="Times New Roman" w:cs="Times New Roman"/>
          <w:sz w:val="24"/>
          <w:szCs w:val="24"/>
        </w:rPr>
        <w:t xml:space="preserve">Since 2010, Kenya has successfully put in place the legal framework for devolution, and a set of Constitutional bodies (the Transition Authority, the Commission on Revenue Allocation, Constitutional Implementation Commission, Senate, etc.), largely in line with the Constitution.   </w:t>
      </w:r>
    </w:p>
    <w:p w14:paraId="29E9CBBE"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sz w:val="24"/>
          <w:szCs w:val="24"/>
        </w:rPr>
      </w:pPr>
      <w:r w:rsidRPr="00985F1A">
        <w:rPr>
          <w:rFonts w:ascii="Times New Roman" w:hAnsi="Times New Roman" w:cs="Times New Roman"/>
          <w:sz w:val="24"/>
          <w:szCs w:val="24"/>
        </w:rPr>
        <w:t xml:space="preserve">The 2013 elections, which proceeded peacefully without widespread violence or disruptions to growth, kicked off the implementation period for devolution.  </w:t>
      </w:r>
      <w:r w:rsidRPr="00985F1A">
        <w:rPr>
          <w:rFonts w:ascii="Times New Roman" w:hAnsi="Times New Roman" w:cs="Times New Roman"/>
          <w:bCs/>
          <w:sz w:val="24"/>
          <w:szCs w:val="24"/>
        </w:rPr>
        <w:t xml:space="preserve">The first six months of devolution have been characterized by coordination challenges that have been exacerbated by an even faster transition than was envisioned under the Constitution. Whereas the Constitution envisaged that functions would be transferred gradually over a three-year period, most county functions have already been transferred (along with approximately 30 percent of government revenues, versus a Constitutional minimum of 15 percent, leaving some national government functions potentially under-funded).  Kenya has also adopted a highly progressive formula for sharing these revenues across the 47 new counties, such that historically privileged counties (which include the largest urban centers) are receiving much smaller resource transfers, on a per capita basis, while historically marginalized areas (largely arid and semi-arid counties) receive much larger per capita shares.  Over time, this has the potential to address development disparities.  </w:t>
      </w:r>
    </w:p>
    <w:p w14:paraId="0939FBEA"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color w:val="000000"/>
          <w:sz w:val="24"/>
          <w:szCs w:val="24"/>
        </w:rPr>
      </w:pPr>
      <w:r w:rsidRPr="00985F1A">
        <w:rPr>
          <w:rFonts w:ascii="Times New Roman" w:eastAsia="Times New Roman" w:hAnsi="Times New Roman" w:cs="Times New Roman"/>
          <w:b/>
          <w:bCs/>
          <w:color w:val="000000"/>
          <w:sz w:val="24"/>
          <w:szCs w:val="24"/>
        </w:rPr>
        <w:t>Opportunities, binding constraints, key challenges, highest priorities</w:t>
      </w:r>
    </w:p>
    <w:p w14:paraId="1081E2DA"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color w:val="000000"/>
          <w:sz w:val="24"/>
          <w:szCs w:val="24"/>
        </w:rPr>
      </w:pPr>
      <w:r w:rsidRPr="00985F1A">
        <w:rPr>
          <w:rFonts w:ascii="Times New Roman" w:eastAsia="Times New Roman" w:hAnsi="Times New Roman" w:cs="Times New Roman"/>
          <w:bCs/>
          <w:color w:val="000000"/>
          <w:sz w:val="24"/>
          <w:szCs w:val="24"/>
        </w:rPr>
        <w:t xml:space="preserve">Devolution reforms seek to tackle long-term, deeply entrenched disparities and to strengthen governance. </w:t>
      </w:r>
    </w:p>
    <w:p w14:paraId="61E88A6D"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color w:val="000000"/>
          <w:sz w:val="24"/>
          <w:szCs w:val="24"/>
        </w:rPr>
      </w:pPr>
      <w:r w:rsidRPr="00985F1A">
        <w:rPr>
          <w:rFonts w:ascii="Times New Roman" w:eastAsia="Times New Roman" w:hAnsi="Times New Roman" w:cs="Times New Roman"/>
          <w:bCs/>
          <w:color w:val="000000"/>
          <w:sz w:val="24"/>
          <w:szCs w:val="24"/>
        </w:rPr>
        <w:t>Yet g</w:t>
      </w:r>
      <w:r w:rsidRPr="00985F1A">
        <w:rPr>
          <w:rFonts w:ascii="Times New Roman" w:hAnsi="Times New Roman" w:cs="Times New Roman"/>
          <w:bCs/>
          <w:sz w:val="24"/>
          <w:szCs w:val="24"/>
        </w:rPr>
        <w:t xml:space="preserve">iven the speed and scope of Kenya’s devolution, there are risks for service delivery disruption, including in devolved functions in key sectors like urban management, water, health, agriculture, and local roads. </w:t>
      </w:r>
      <w:r w:rsidRPr="00985F1A">
        <w:rPr>
          <w:rFonts w:ascii="Times New Roman" w:hAnsi="Times New Roman" w:cs="Times New Roman"/>
          <w:sz w:val="24"/>
          <w:szCs w:val="24"/>
        </w:rPr>
        <w:t xml:space="preserve"> </w:t>
      </w:r>
    </w:p>
    <w:p w14:paraId="31137182"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color w:val="000000"/>
          <w:sz w:val="24"/>
          <w:szCs w:val="24"/>
        </w:rPr>
      </w:pPr>
      <w:r w:rsidRPr="00985F1A">
        <w:rPr>
          <w:rFonts w:ascii="Times New Roman" w:hAnsi="Times New Roman" w:cs="Times New Roman"/>
          <w:bCs/>
          <w:sz w:val="24"/>
          <w:szCs w:val="24"/>
        </w:rPr>
        <w:t xml:space="preserve">The first six months of devolution have been characterized by coordination challenges that have been exacerbated by an even faster transition than was envisioned under the Constitution. Whereas the Constitution envisaged that functions would be transferred gradually </w:t>
      </w:r>
      <w:r w:rsidRPr="00985F1A">
        <w:rPr>
          <w:rFonts w:ascii="Times New Roman" w:hAnsi="Times New Roman" w:cs="Times New Roman"/>
          <w:bCs/>
          <w:sz w:val="24"/>
          <w:szCs w:val="24"/>
        </w:rPr>
        <w:lastRenderedPageBreak/>
        <w:t xml:space="preserve">over a three-year period, most county functions have already been transferred (along with approximately 30 percent of government revenues, versus a Constitutional minimum of 15 percent, leaving some national government functions potentially under-funded).  </w:t>
      </w:r>
    </w:p>
    <w:p w14:paraId="51F65002"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color w:val="000000"/>
          <w:sz w:val="24"/>
          <w:szCs w:val="24"/>
        </w:rPr>
      </w:pPr>
      <w:r w:rsidRPr="00985F1A">
        <w:rPr>
          <w:rFonts w:ascii="Times New Roman" w:hAnsi="Times New Roman" w:cs="Times New Roman"/>
          <w:bCs/>
          <w:sz w:val="24"/>
          <w:szCs w:val="24"/>
        </w:rPr>
        <w:t xml:space="preserve">Kenya has also adopted a highly progressive formula for sharing these revenues across the 47 new counties, such that historically privileged counties (which include the largest urban centers) are receiving smaller resource transfers, on a per capita basis, while historically marginalized areas (largely arid and semi-arid counties) receive larger per capita shares. Over time, this has the potential to address development disparities. </w:t>
      </w:r>
    </w:p>
    <w:p w14:paraId="71683703"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eastAsia="Times New Roman" w:hAnsi="Times New Roman" w:cs="Times New Roman"/>
          <w:bCs/>
          <w:color w:val="000000"/>
          <w:sz w:val="24"/>
          <w:szCs w:val="24"/>
        </w:rPr>
      </w:pPr>
      <w:r w:rsidRPr="00985F1A">
        <w:rPr>
          <w:rFonts w:ascii="Times New Roman" w:hAnsi="Times New Roman" w:cs="Times New Roman"/>
          <w:bCs/>
          <w:sz w:val="24"/>
          <w:szCs w:val="24"/>
        </w:rPr>
        <w:t xml:space="preserve">But in the short- and medium-term, Kenya’s ambitious and rapid devolution poses significant risks.  These include: </w:t>
      </w:r>
    </w:p>
    <w:p w14:paraId="46136992" w14:textId="77777777" w:rsidR="00985F1A" w:rsidRPr="00787936" w:rsidRDefault="00985F1A" w:rsidP="00787936">
      <w:pPr>
        <w:pStyle w:val="ListParagraph"/>
        <w:numPr>
          <w:ilvl w:val="0"/>
          <w:numId w:val="34"/>
        </w:numPr>
        <w:spacing w:line="240" w:lineRule="auto"/>
        <w:ind w:left="720"/>
        <w:jc w:val="both"/>
        <w:rPr>
          <w:rFonts w:ascii="Times New Roman" w:hAnsi="Times New Roman" w:cs="Times New Roman"/>
          <w:sz w:val="24"/>
          <w:szCs w:val="24"/>
        </w:rPr>
      </w:pPr>
      <w:r w:rsidRPr="00787936">
        <w:rPr>
          <w:rFonts w:ascii="Times New Roman" w:hAnsi="Times New Roman" w:cs="Times New Roman"/>
          <w:bCs/>
          <w:sz w:val="24"/>
          <w:szCs w:val="24"/>
        </w:rPr>
        <w:t xml:space="preserve">Major capacity challenges to get core county planning, PFM, and HR systems in place, transfer staff, clarify county versus national functions, and build interfaces with citizens.  In particular, it will be important to put in place a basic data-driven performance monitoring system, focused initially on core county systems (rather than on outputs or outcomes), to identify key needs and inform capacity building efforts. </w:t>
      </w:r>
    </w:p>
    <w:p w14:paraId="71C5ED10" w14:textId="77777777" w:rsidR="00985F1A" w:rsidRPr="00787936" w:rsidRDefault="00985F1A" w:rsidP="00787936">
      <w:pPr>
        <w:pStyle w:val="ListParagraph"/>
        <w:numPr>
          <w:ilvl w:val="0"/>
          <w:numId w:val="34"/>
        </w:numPr>
        <w:spacing w:line="240" w:lineRule="auto"/>
        <w:ind w:left="720"/>
        <w:jc w:val="both"/>
        <w:rPr>
          <w:rFonts w:ascii="Times New Roman" w:hAnsi="Times New Roman" w:cs="Times New Roman"/>
          <w:sz w:val="24"/>
          <w:szCs w:val="24"/>
        </w:rPr>
      </w:pPr>
      <w:r w:rsidRPr="00787936">
        <w:rPr>
          <w:rFonts w:ascii="Times New Roman" w:hAnsi="Times New Roman" w:cs="Times New Roman"/>
          <w:bCs/>
          <w:sz w:val="24"/>
          <w:szCs w:val="24"/>
        </w:rPr>
        <w:t xml:space="preserve">Addressing the unique risks of urban areas.  Although they are the key drivers of growth, large urban counties like Nairobi and Mombasa have inherited significant payroll and debt obligations, at the same time as reduced central transfers.  Smaller urban areas lack dedicated urban management units, and there are risks that urban services will not be adequately funded by county assemblies elected predominantly from rural areas.  </w:t>
      </w:r>
    </w:p>
    <w:p w14:paraId="512475A6" w14:textId="77777777" w:rsidR="00985F1A" w:rsidRPr="00787936" w:rsidRDefault="00985F1A" w:rsidP="00787936">
      <w:pPr>
        <w:pStyle w:val="ListParagraph"/>
        <w:numPr>
          <w:ilvl w:val="0"/>
          <w:numId w:val="34"/>
        </w:numPr>
        <w:spacing w:line="240" w:lineRule="auto"/>
        <w:ind w:left="720"/>
        <w:jc w:val="both"/>
        <w:rPr>
          <w:rFonts w:ascii="Times New Roman" w:hAnsi="Times New Roman" w:cs="Times New Roman"/>
          <w:sz w:val="24"/>
          <w:szCs w:val="24"/>
        </w:rPr>
      </w:pPr>
      <w:r w:rsidRPr="00787936">
        <w:rPr>
          <w:rFonts w:ascii="Times New Roman" w:hAnsi="Times New Roman" w:cs="Times New Roman"/>
          <w:bCs/>
          <w:sz w:val="24"/>
          <w:szCs w:val="24"/>
        </w:rPr>
        <w:t xml:space="preserve">Addressing the unique challenges of historically marginalized areas.  Larger transfers to counties in arid and semi-arid regions provide an opportunity to address long-standing infrastructure and service delivery gaps.  But these counties typically face major capacity gaps and will require support to strengthen capacity to design and implement productive investments.   </w:t>
      </w:r>
    </w:p>
    <w:p w14:paraId="7EC23E70" w14:textId="77777777" w:rsidR="00985F1A" w:rsidRPr="00787936" w:rsidRDefault="00985F1A" w:rsidP="00787936">
      <w:pPr>
        <w:pStyle w:val="ListParagraph"/>
        <w:numPr>
          <w:ilvl w:val="0"/>
          <w:numId w:val="34"/>
        </w:numPr>
        <w:spacing w:line="240" w:lineRule="auto"/>
        <w:ind w:left="720"/>
        <w:jc w:val="both"/>
        <w:rPr>
          <w:rFonts w:ascii="Times New Roman" w:hAnsi="Times New Roman" w:cs="Times New Roman"/>
          <w:sz w:val="24"/>
          <w:szCs w:val="24"/>
        </w:rPr>
      </w:pPr>
      <w:r w:rsidRPr="00787936">
        <w:rPr>
          <w:rFonts w:ascii="Times New Roman" w:hAnsi="Times New Roman" w:cs="Times New Roman"/>
          <w:bCs/>
          <w:sz w:val="24"/>
          <w:szCs w:val="24"/>
        </w:rPr>
        <w:t>Supporting the sectors that are being devolved to counties the fastest, including health, agriculture, and local infrastructure service delivery</w:t>
      </w:r>
      <w:r w:rsidRPr="00787936">
        <w:rPr>
          <w:rFonts w:ascii="Times New Roman" w:hAnsi="Times New Roman" w:cs="Times New Roman"/>
          <w:i/>
          <w:sz w:val="24"/>
          <w:szCs w:val="24"/>
        </w:rPr>
        <w:t xml:space="preserve">. </w:t>
      </w:r>
      <w:r w:rsidRPr="00787936">
        <w:rPr>
          <w:rFonts w:ascii="Times New Roman" w:hAnsi="Times New Roman" w:cs="Times New Roman"/>
          <w:sz w:val="24"/>
          <w:szCs w:val="24"/>
        </w:rPr>
        <w:t xml:space="preserve">These sectors, and associated WB-financed programs, face major transition challenges. </w:t>
      </w:r>
    </w:p>
    <w:p w14:paraId="7CE2466B" w14:textId="77777777" w:rsidR="00985F1A" w:rsidRPr="00787936" w:rsidRDefault="00985F1A" w:rsidP="00787936">
      <w:pPr>
        <w:pStyle w:val="ListParagraph"/>
        <w:numPr>
          <w:ilvl w:val="0"/>
          <w:numId w:val="34"/>
        </w:numPr>
        <w:spacing w:line="240" w:lineRule="auto"/>
        <w:ind w:left="720"/>
        <w:jc w:val="both"/>
        <w:rPr>
          <w:rFonts w:ascii="Times New Roman" w:hAnsi="Times New Roman" w:cs="Times New Roman"/>
          <w:sz w:val="24"/>
          <w:szCs w:val="24"/>
        </w:rPr>
      </w:pPr>
      <w:r w:rsidRPr="00787936">
        <w:rPr>
          <w:rFonts w:ascii="Times New Roman" w:hAnsi="Times New Roman" w:cs="Times New Roman"/>
          <w:bCs/>
          <w:sz w:val="24"/>
          <w:szCs w:val="24"/>
        </w:rPr>
        <w:t>Operationalizing Constitutional provisions to improve transparency and citizen participation in county planning, budgeting, and performance management systems</w:t>
      </w:r>
      <w:r w:rsidRPr="00787936">
        <w:rPr>
          <w:rFonts w:ascii="Times New Roman" w:hAnsi="Times New Roman" w:cs="Times New Roman"/>
          <w:sz w:val="24"/>
          <w:szCs w:val="24"/>
        </w:rPr>
        <w:t>.</w:t>
      </w:r>
    </w:p>
    <w:p w14:paraId="0FB48144"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color w:val="000000"/>
          <w:sz w:val="24"/>
          <w:szCs w:val="24"/>
        </w:rPr>
      </w:pPr>
      <w:r w:rsidRPr="00985F1A">
        <w:rPr>
          <w:rFonts w:ascii="Times New Roman" w:eastAsia="Times New Roman" w:hAnsi="Times New Roman" w:cs="Times New Roman"/>
          <w:b/>
          <w:bCs/>
          <w:color w:val="000000"/>
          <w:sz w:val="24"/>
          <w:szCs w:val="24"/>
        </w:rPr>
        <w:t>How we can be selective – priorities</w:t>
      </w:r>
    </w:p>
    <w:p w14:paraId="1ACFD410"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Support county capacity to carry out core planning and public financial management functions</w:t>
      </w:r>
      <w:r w:rsidRPr="00985F1A">
        <w:rPr>
          <w:rFonts w:ascii="Times New Roman" w:hAnsi="Times New Roman" w:cs="Times New Roman"/>
          <w:sz w:val="24"/>
          <w:szCs w:val="24"/>
        </w:rPr>
        <w:t xml:space="preserve"> (building on ongoing support for county planning, PFM capacity, and the continued roll-out of the integrated financial management information system (IFMIS).  </w:t>
      </w:r>
    </w:p>
    <w:p w14:paraId="320732CB"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Support the design, testing and roll-out of </w:t>
      </w:r>
      <w:r w:rsidRPr="00985F1A">
        <w:rPr>
          <w:rFonts w:ascii="Times New Roman" w:hAnsi="Times New Roman" w:cs="Times New Roman"/>
          <w:b/>
          <w:bCs/>
          <w:sz w:val="24"/>
          <w:szCs w:val="24"/>
        </w:rPr>
        <w:t>a performance assessment tool/system</w:t>
      </w:r>
      <w:r w:rsidRPr="00985F1A">
        <w:rPr>
          <w:rFonts w:ascii="Times New Roman" w:hAnsi="Times New Roman" w:cs="Times New Roman"/>
          <w:bCs/>
          <w:sz w:val="24"/>
          <w:szCs w:val="24"/>
        </w:rPr>
        <w:t xml:space="preserve"> for county governments.  A </w:t>
      </w:r>
      <w:r w:rsidRPr="00985F1A">
        <w:rPr>
          <w:rFonts w:ascii="Times New Roman" w:hAnsi="Times New Roman" w:cs="Times New Roman"/>
          <w:sz w:val="24"/>
          <w:szCs w:val="24"/>
        </w:rPr>
        <w:t>basic data-driven performance monitoring system, focused initially on core county systems, will be needed to identify key needs and inform capacity building efforts</w:t>
      </w:r>
      <w:r w:rsidRPr="00985F1A">
        <w:rPr>
          <w:rFonts w:ascii="Times New Roman" w:hAnsi="Times New Roman" w:cs="Times New Roman"/>
          <w:bCs/>
          <w:sz w:val="24"/>
          <w:szCs w:val="24"/>
        </w:rPr>
        <w:t xml:space="preserve">. </w:t>
      </w:r>
    </w:p>
    <w:p w14:paraId="59346C70"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Analyze fiscal impacts of devolution</w:t>
      </w:r>
      <w:r w:rsidRPr="00985F1A">
        <w:rPr>
          <w:rFonts w:ascii="Times New Roman" w:hAnsi="Times New Roman" w:cs="Times New Roman"/>
          <w:sz w:val="24"/>
          <w:szCs w:val="24"/>
        </w:rPr>
        <w:t xml:space="preserve"> with particular attention to vertical and horizontal imbalances.  However, although significant risks are emerging, little systematic analysis has been done to understand the fiscal impacts of vertical and horizontal revenue sharing.  </w:t>
      </w:r>
    </w:p>
    <w:p w14:paraId="4B30E498"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Address the different risks faced by urban and marginalized rural areas</w:t>
      </w:r>
      <w:r w:rsidRPr="00985F1A">
        <w:rPr>
          <w:rFonts w:ascii="Times New Roman" w:hAnsi="Times New Roman" w:cs="Times New Roman"/>
          <w:sz w:val="24"/>
          <w:szCs w:val="24"/>
        </w:rPr>
        <w:t xml:space="preserve">.  Not surprisingly, revenue sharing under Kenya’s rapid devolution has created significant imbalances. </w:t>
      </w:r>
      <w:r w:rsidRPr="00985F1A">
        <w:rPr>
          <w:rFonts w:ascii="Times New Roman" w:hAnsi="Times New Roman" w:cs="Times New Roman"/>
          <w:sz w:val="24"/>
          <w:szCs w:val="24"/>
        </w:rPr>
        <w:lastRenderedPageBreak/>
        <w:t xml:space="preserve">On one hand, although they are the key drivers of growth, large urban counties like Nairobi and Mombasa have inherited significant payroll and debt obligations, at the same time they face reduced central government transfers.  By contrast, counties in arid and semi-arid regions have new resources that provide opportunity to address long-standing infrastructure and service delivery disparities.  But these counties typically face major capacity gaps.   </w:t>
      </w:r>
    </w:p>
    <w:p w14:paraId="2DBE883E"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Support roll-out of basic transparency and citizen participation mechanisms</w:t>
      </w:r>
      <w:r w:rsidRPr="00985F1A">
        <w:rPr>
          <w:rFonts w:ascii="Times New Roman" w:hAnsi="Times New Roman" w:cs="Times New Roman"/>
          <w:sz w:val="24"/>
          <w:szCs w:val="24"/>
        </w:rPr>
        <w:t xml:space="preserve"> in county planning, budgeting, and performance management, as per the Constitution and legal framework and drawing on growing global experience linking social accountability with enhanced development outcomes. </w:t>
      </w:r>
    </w:p>
    <w:p w14:paraId="017D7105"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color w:val="000000"/>
          <w:sz w:val="24"/>
          <w:szCs w:val="24"/>
        </w:rPr>
      </w:pPr>
      <w:r w:rsidRPr="00985F1A">
        <w:rPr>
          <w:rFonts w:ascii="Times New Roman" w:eastAsia="Times New Roman" w:hAnsi="Times New Roman" w:cs="Times New Roman"/>
          <w:b/>
          <w:bCs/>
          <w:color w:val="000000"/>
          <w:sz w:val="24"/>
          <w:szCs w:val="24"/>
        </w:rPr>
        <w:t>High potential for World Bank Group</w:t>
      </w:r>
    </w:p>
    <w:p w14:paraId="44656CA9"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Analysis and TA on devolution that brings global experience to bear on key Kenya devolution challenges. </w:t>
      </w:r>
    </w:p>
    <w:p w14:paraId="020670CE"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Data and statistics.  Significant experience on strengthening data and statistical capacity in Kenya, including support for county data and the ongoing Kenya open data initiative. </w:t>
      </w:r>
    </w:p>
    <w:p w14:paraId="4C2252DF"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Extensive ongoing portfolio and program in key devolved sectors (health, agriculture, local service delivery – water, urban services, energy, and CDD) and with local service delivery providers.</w:t>
      </w:r>
    </w:p>
    <w:p w14:paraId="5BD20C27"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Expertise and experience on Kenya public financial management, including support to IFMIS, public expenditure reviews, participation in Kenya’s PFM donor group.</w:t>
      </w:r>
    </w:p>
    <w:p w14:paraId="24292E87"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Expertise on mainstreaming citizen engagement and social accountability tools into county systems. </w:t>
      </w:r>
    </w:p>
    <w:p w14:paraId="5AEABC45" w14:textId="77777777" w:rsidR="00985F1A" w:rsidRPr="00985F1A" w:rsidRDefault="00985F1A" w:rsidP="00787936">
      <w:pPr>
        <w:pStyle w:val="ListParagraph"/>
        <w:numPr>
          <w:ilvl w:val="0"/>
          <w:numId w:val="91"/>
        </w:numPr>
        <w:spacing w:line="240" w:lineRule="auto"/>
        <w:contextualSpacing w:val="0"/>
        <w:jc w:val="both"/>
        <w:rPr>
          <w:rFonts w:ascii="Times New Roman" w:eastAsia="Times New Roman" w:hAnsi="Times New Roman" w:cs="Times New Roman"/>
          <w:b/>
          <w:bCs/>
          <w:color w:val="000000"/>
          <w:sz w:val="24"/>
          <w:szCs w:val="24"/>
        </w:rPr>
      </w:pPr>
      <w:r w:rsidRPr="00985F1A">
        <w:rPr>
          <w:rFonts w:ascii="Times New Roman" w:eastAsia="Times New Roman" w:hAnsi="Times New Roman" w:cs="Times New Roman"/>
          <w:b/>
          <w:bCs/>
          <w:color w:val="000000"/>
          <w:sz w:val="24"/>
          <w:szCs w:val="24"/>
        </w:rPr>
        <w:t>Instruments and cross-sectoral linkages</w:t>
      </w:r>
    </w:p>
    <w:p w14:paraId="7A458AFD"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Ongoing analysis and TA on devolution under the Kenya Accountable Devolution program. </w:t>
      </w:r>
    </w:p>
    <w:p w14:paraId="58F209A3"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Ongoing IDA portfolio – provide support for enhancing the functioning of devolved service delivery through the Bank's portfolio and providing on-demand TA to teams in sectors that are being devolved to counties (e.g., health, agriculture, and local infrastructure service delivery). </w:t>
      </w:r>
    </w:p>
    <w:p w14:paraId="5868AAA0"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Ongoing support to strengthening PFM systems, including analytical work, roll-out of IFMIS.</w:t>
      </w:r>
    </w:p>
    <w:p w14:paraId="426691FE"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Technical assistance on strengthening open data (under KTCIP) and social accountability in specific projects.  </w:t>
      </w:r>
    </w:p>
    <w:p w14:paraId="73FB9D41" w14:textId="77777777" w:rsidR="00985F1A" w:rsidRPr="00985F1A" w:rsidRDefault="00985F1A" w:rsidP="007B5E57">
      <w:pPr>
        <w:pStyle w:val="ListParagraph"/>
        <w:numPr>
          <w:ilvl w:val="0"/>
          <w:numId w:val="55"/>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sz w:val="24"/>
          <w:szCs w:val="24"/>
        </w:rPr>
        <w:t xml:space="preserve">New operations focused on strengthening core county systems, through performance-based grants that enhance core county capacities. </w:t>
      </w:r>
    </w:p>
    <w:p w14:paraId="16CCBA9B" w14:textId="77777777" w:rsidR="00985F1A" w:rsidRPr="00985F1A" w:rsidRDefault="00985F1A" w:rsidP="00636B62">
      <w:pPr>
        <w:spacing w:line="240" w:lineRule="auto"/>
        <w:jc w:val="center"/>
        <w:rPr>
          <w:rFonts w:ascii="Times New Roman" w:hAnsi="Times New Roman" w:cs="Times New Roman"/>
          <w:b/>
          <w:sz w:val="24"/>
          <w:szCs w:val="24"/>
        </w:rPr>
        <w:sectPr w:rsidR="00985F1A" w:rsidRPr="00985F1A" w:rsidSect="00F96822">
          <w:endnotePr>
            <w:numFmt w:val="decimal"/>
          </w:endnotePr>
          <w:pgSz w:w="12240" w:h="15840" w:code="1"/>
          <w:pgMar w:top="1296" w:right="1440" w:bottom="1296" w:left="1440" w:header="706" w:footer="706" w:gutter="0"/>
          <w:cols w:space="708"/>
          <w:docGrid w:linePitch="360"/>
        </w:sectPr>
      </w:pPr>
    </w:p>
    <w:p w14:paraId="471F86AD" w14:textId="77777777" w:rsidR="00985F1A" w:rsidRPr="00985F1A" w:rsidRDefault="00985F1A" w:rsidP="00636B62">
      <w:pPr>
        <w:spacing w:line="240" w:lineRule="auto"/>
        <w:jc w:val="center"/>
        <w:rPr>
          <w:rFonts w:ascii="Times New Roman" w:hAnsi="Times New Roman" w:cs="Times New Roman"/>
          <w:b/>
          <w:sz w:val="24"/>
          <w:szCs w:val="24"/>
        </w:rPr>
        <w:sectPr w:rsidR="00985F1A" w:rsidRPr="00985F1A" w:rsidSect="00F96822">
          <w:endnotePr>
            <w:numFmt w:val="decimal"/>
          </w:endnotePr>
          <w:type w:val="continuous"/>
          <w:pgSz w:w="12240" w:h="15840" w:code="1"/>
          <w:pgMar w:top="1440" w:right="1440" w:bottom="1440" w:left="1440" w:header="708" w:footer="708" w:gutter="0"/>
          <w:cols w:space="708"/>
          <w:docGrid w:linePitch="360"/>
        </w:sectPr>
      </w:pPr>
    </w:p>
    <w:p w14:paraId="1F7E87CC" w14:textId="77777777" w:rsidR="00A81C89" w:rsidRPr="00A81C89" w:rsidRDefault="00A81C89" w:rsidP="00A81C89">
      <w:pPr>
        <w:pStyle w:val="Caption"/>
        <w:spacing w:after="240"/>
        <w:jc w:val="center"/>
        <w:rPr>
          <w:rFonts w:ascii="Times New Roman" w:hAnsi="Times New Roman" w:cs="Times New Roman"/>
          <w:color w:val="auto"/>
          <w:sz w:val="24"/>
          <w:szCs w:val="24"/>
        </w:rPr>
      </w:pPr>
      <w:bookmarkStart w:id="12" w:name="_Toc387342572"/>
      <w:r w:rsidRPr="00A81C89">
        <w:rPr>
          <w:rFonts w:ascii="Times New Roman" w:hAnsi="Times New Roman" w:cs="Times New Roman"/>
          <w:color w:val="auto"/>
          <w:sz w:val="24"/>
          <w:szCs w:val="24"/>
        </w:rPr>
        <w:lastRenderedPageBreak/>
        <w:t xml:space="preserve">Annex </w:t>
      </w:r>
      <w:r w:rsidRPr="00A81C89">
        <w:rPr>
          <w:rFonts w:ascii="Times New Roman" w:hAnsi="Times New Roman" w:cs="Times New Roman"/>
          <w:color w:val="auto"/>
          <w:sz w:val="24"/>
          <w:szCs w:val="24"/>
        </w:rPr>
        <w:fldChar w:fldCharType="begin"/>
      </w:r>
      <w:r w:rsidRPr="00A81C89">
        <w:rPr>
          <w:rFonts w:ascii="Times New Roman" w:hAnsi="Times New Roman" w:cs="Times New Roman"/>
          <w:color w:val="auto"/>
          <w:sz w:val="24"/>
          <w:szCs w:val="24"/>
        </w:rPr>
        <w:instrText xml:space="preserve"> SEQ Annex \* ARABIC </w:instrText>
      </w:r>
      <w:r w:rsidRPr="00A81C89">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11</w:t>
      </w:r>
      <w:r w:rsidRPr="00A81C89">
        <w:rPr>
          <w:rFonts w:ascii="Times New Roman" w:hAnsi="Times New Roman" w:cs="Times New Roman"/>
          <w:color w:val="auto"/>
          <w:sz w:val="24"/>
          <w:szCs w:val="24"/>
        </w:rPr>
        <w:fldChar w:fldCharType="end"/>
      </w:r>
      <w:r w:rsidRPr="00A81C89">
        <w:rPr>
          <w:rFonts w:ascii="Times New Roman" w:hAnsi="Times New Roman" w:cs="Times New Roman"/>
          <w:color w:val="auto"/>
          <w:sz w:val="24"/>
          <w:szCs w:val="24"/>
        </w:rPr>
        <w:t>: Statistics for Results</w:t>
      </w:r>
      <w:bookmarkEnd w:id="12"/>
    </w:p>
    <w:p w14:paraId="542C54A1" w14:textId="77777777" w:rsidR="00985F1A" w:rsidRPr="00985F1A" w:rsidRDefault="00985F1A" w:rsidP="007B5E57">
      <w:pPr>
        <w:pStyle w:val="ListParagraph"/>
        <w:numPr>
          <w:ilvl w:val="0"/>
          <w:numId w:val="48"/>
        </w:numPr>
        <w:autoSpaceDE w:val="0"/>
        <w:autoSpaceDN w:val="0"/>
        <w:adjustRightInd w:val="0"/>
        <w:spacing w:line="240" w:lineRule="auto"/>
        <w:ind w:left="0" w:firstLine="0"/>
        <w:contextualSpacing w:val="0"/>
        <w:rPr>
          <w:rFonts w:ascii="Times New Roman" w:hAnsi="Times New Roman" w:cs="Times New Roman"/>
          <w:b/>
          <w:bCs/>
          <w:sz w:val="24"/>
          <w:szCs w:val="24"/>
        </w:rPr>
      </w:pPr>
      <w:r w:rsidRPr="00985F1A">
        <w:rPr>
          <w:rFonts w:ascii="Times New Roman" w:hAnsi="Times New Roman" w:cs="Times New Roman"/>
          <w:b/>
          <w:bCs/>
          <w:sz w:val="24"/>
          <w:szCs w:val="24"/>
        </w:rPr>
        <w:t>Overview</w:t>
      </w:r>
    </w:p>
    <w:p w14:paraId="43B7952E"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Kenya has seen significant improvement in data collection, compilation and analysis of statistical information</w:t>
      </w:r>
      <w:r w:rsidRPr="00985F1A">
        <w:rPr>
          <w:rFonts w:ascii="Times New Roman" w:hAnsi="Times New Roman" w:cs="Times New Roman"/>
          <w:sz w:val="24"/>
          <w:szCs w:val="24"/>
        </w:rPr>
        <w:t xml:space="preserve"> since the Kenya National Bureau of Statistics (KNBS) was created in 2006 as a semi-autonomous government agency. Yet there are significant gaps, most notably in poverty data which remain woefully out of date given the vintage of the last household survey. The Bank-supported project to build statistical capacity helped somewhat, but was not satisfactory, and we need greater Government commitment to help push a new engagement which we could offer. </w:t>
      </w:r>
    </w:p>
    <w:p w14:paraId="74E2E6BD"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Integrated Household Budget Survey (IHBS): The last integrated household survey was undertaken in 2005/06</w:t>
      </w:r>
      <w:r w:rsidRPr="00985F1A">
        <w:rPr>
          <w:rFonts w:ascii="Times New Roman" w:hAnsi="Times New Roman" w:cs="Times New Roman"/>
          <w:sz w:val="24"/>
          <w:szCs w:val="24"/>
        </w:rPr>
        <w:t>. Although such IHBS were targeted for every 5 years, KNBS has been unable to undertake further surveys due to lack of adequate funding. As a result, we do not know precisely how recent economic gains and government policy have generated pathways out of poverty. The last survey indicated a poverty rate of 46 percent (2006). Without updated survey numbers, it has been hard for policy makers and development partners to update poverty estimates, and inform poverty reduction strategies—our best estimate is that poverty now stands around 38 percent.</w:t>
      </w:r>
    </w:p>
    <w:p w14:paraId="3FBAE97B"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Core statistics:</w:t>
      </w:r>
      <w:r w:rsidRPr="00985F1A">
        <w:rPr>
          <w:rFonts w:ascii="Times New Roman" w:hAnsi="Times New Roman" w:cs="Times New Roman"/>
          <w:sz w:val="24"/>
          <w:szCs w:val="24"/>
        </w:rPr>
        <w:t xml:space="preserve"> The overall quality, timeliness and coverage of macroeconomic statistics (national accounts and CPI) have improved over the last CPS period. CPI data is published at the end of each month while national accounts are produced quarterly. The KNBS also produces, monthly, the </w:t>
      </w:r>
      <w:r w:rsidRPr="00985F1A">
        <w:rPr>
          <w:rFonts w:ascii="Times New Roman" w:hAnsi="Times New Roman" w:cs="Times New Roman"/>
          <w:i/>
          <w:sz w:val="24"/>
          <w:szCs w:val="24"/>
        </w:rPr>
        <w:t>leading economic indicators</w:t>
      </w:r>
      <w:r w:rsidRPr="00985F1A">
        <w:rPr>
          <w:rFonts w:ascii="Times New Roman" w:hAnsi="Times New Roman" w:cs="Times New Roman"/>
          <w:sz w:val="24"/>
          <w:szCs w:val="24"/>
        </w:rPr>
        <w:t xml:space="preserve"> of high frequency data (trade and monetary statistics) in hard copies and through their website. Fiscal data is produced quarterly by the National Treasury through the ministry’s </w:t>
      </w:r>
      <w:r w:rsidRPr="00985F1A">
        <w:rPr>
          <w:rFonts w:ascii="Times New Roman" w:hAnsi="Times New Roman" w:cs="Times New Roman"/>
          <w:i/>
          <w:sz w:val="24"/>
          <w:szCs w:val="24"/>
        </w:rPr>
        <w:t>Quarterly Economic and Budget Reviews</w:t>
      </w:r>
      <w:r w:rsidRPr="00985F1A">
        <w:rPr>
          <w:rFonts w:ascii="Times New Roman" w:hAnsi="Times New Roman" w:cs="Times New Roman"/>
          <w:sz w:val="24"/>
          <w:szCs w:val="24"/>
        </w:rPr>
        <w:t xml:space="preserve"> and uploaded on website.  </w:t>
      </w:r>
      <w:r w:rsidRPr="00985F1A">
        <w:rPr>
          <w:rFonts w:ascii="Times New Roman" w:hAnsi="Times New Roman" w:cs="Times New Roman"/>
          <w:sz w:val="24"/>
          <w:szCs w:val="24"/>
          <w:lang w:val="en"/>
        </w:rPr>
        <w:t>KNBS is in the process of rebasing its GDP figure (</w:t>
      </w:r>
      <w:r w:rsidRPr="00985F1A">
        <w:rPr>
          <w:rFonts w:ascii="Times New Roman" w:hAnsi="Times New Roman" w:cs="Times New Roman"/>
          <w:color w:val="000000"/>
          <w:sz w:val="24"/>
          <w:szCs w:val="24"/>
        </w:rPr>
        <w:t>replacing the present price and quantity structure of the base year used to compile real measures of GDP with a new or more recent price structure)</w:t>
      </w:r>
      <w:r w:rsidRPr="00985F1A">
        <w:rPr>
          <w:rFonts w:ascii="Times New Roman" w:hAnsi="Times New Roman" w:cs="Times New Roman"/>
          <w:sz w:val="24"/>
          <w:szCs w:val="24"/>
          <w:lang w:val="en"/>
        </w:rPr>
        <w:t xml:space="preserve">. The last time this was done was in 2003/04.  </w:t>
      </w:r>
      <w:r w:rsidRPr="00985F1A">
        <w:rPr>
          <w:rFonts w:ascii="Times New Roman" w:hAnsi="Times New Roman" w:cs="Times New Roman"/>
          <w:color w:val="000000"/>
          <w:sz w:val="24"/>
          <w:szCs w:val="24"/>
        </w:rPr>
        <w:t>Despite improvements in</w:t>
      </w:r>
      <w:r w:rsidRPr="00985F1A">
        <w:rPr>
          <w:rFonts w:ascii="Times New Roman" w:hAnsi="Times New Roman" w:cs="Times New Roman"/>
          <w:sz w:val="24"/>
          <w:szCs w:val="24"/>
        </w:rPr>
        <w:t xml:space="preserve"> overall quality and timeliness in some macro statistics</w:t>
      </w:r>
      <w:r w:rsidRPr="00985F1A">
        <w:rPr>
          <w:rFonts w:ascii="Times New Roman" w:hAnsi="Times New Roman" w:cs="Times New Roman"/>
          <w:color w:val="000000"/>
          <w:sz w:val="24"/>
          <w:szCs w:val="24"/>
        </w:rPr>
        <w:t xml:space="preserve"> </w:t>
      </w:r>
      <w:r w:rsidRPr="00985F1A">
        <w:rPr>
          <w:rFonts w:ascii="Times New Roman" w:hAnsi="Times New Roman" w:cs="Times New Roman"/>
          <w:sz w:val="24"/>
          <w:szCs w:val="24"/>
        </w:rPr>
        <w:t xml:space="preserve">further improvements in the methodology in compiling real, fiscal and external sectors is needed. For example, there are concerns that FDI data are under-reported. </w:t>
      </w:r>
    </w:p>
    <w:p w14:paraId="009BE13D" w14:textId="77777777" w:rsidR="00985F1A" w:rsidRPr="00985F1A" w:rsidRDefault="00985F1A" w:rsidP="007B5E57">
      <w:pPr>
        <w:pStyle w:val="ListParagraph"/>
        <w:numPr>
          <w:ilvl w:val="0"/>
          <w:numId w:val="50"/>
        </w:numPr>
        <w:tabs>
          <w:tab w:val="left" w:pos="90"/>
        </w:tabs>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Data Access: </w:t>
      </w:r>
      <w:r w:rsidRPr="00985F1A">
        <w:rPr>
          <w:rFonts w:ascii="Times New Roman" w:hAnsi="Times New Roman" w:cs="Times New Roman"/>
          <w:sz w:val="24"/>
          <w:szCs w:val="24"/>
        </w:rPr>
        <w:t xml:space="preserve">Even though KNBS has an open data policy, it has proved very hard in practice for researchers and development partners (including the World Bank) to get data (such as simple census information) from them.  The open policy needs to be properly put into practice. </w:t>
      </w:r>
    </w:p>
    <w:p w14:paraId="771C948F" w14:textId="77777777" w:rsidR="00985F1A" w:rsidRPr="00985F1A" w:rsidRDefault="00985F1A" w:rsidP="007B5E57">
      <w:pPr>
        <w:pStyle w:val="ListParagraph"/>
        <w:numPr>
          <w:ilvl w:val="0"/>
          <w:numId w:val="48"/>
        </w:numPr>
        <w:autoSpaceDE w:val="0"/>
        <w:autoSpaceDN w:val="0"/>
        <w:adjustRightInd w:val="0"/>
        <w:spacing w:line="240" w:lineRule="auto"/>
        <w:ind w:left="0" w:firstLine="0"/>
        <w:contextualSpacing w:val="0"/>
        <w:rPr>
          <w:rFonts w:ascii="Times New Roman" w:hAnsi="Times New Roman" w:cs="Times New Roman"/>
          <w:b/>
          <w:bCs/>
          <w:sz w:val="24"/>
          <w:szCs w:val="24"/>
        </w:rPr>
      </w:pPr>
      <w:r w:rsidRPr="00985F1A">
        <w:rPr>
          <w:rFonts w:ascii="Times New Roman" w:hAnsi="Times New Roman" w:cs="Times New Roman"/>
          <w:b/>
          <w:bCs/>
          <w:sz w:val="24"/>
          <w:szCs w:val="24"/>
        </w:rPr>
        <w:t>Sectoral and Institutional Context</w:t>
      </w:r>
    </w:p>
    <w:p w14:paraId="1E7C2305"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Statistics is a crucial element for informed, evidence-based decision making, and monitoring of progress and implementation of government’s medium term plans. </w:t>
      </w:r>
      <w:r w:rsidRPr="00985F1A">
        <w:rPr>
          <w:rFonts w:ascii="Times New Roman" w:hAnsi="Times New Roman" w:cs="Times New Roman"/>
          <w:sz w:val="24"/>
          <w:szCs w:val="24"/>
        </w:rPr>
        <w:t xml:space="preserve">The Kenya National Bureau of Statistics (KNBS) is the coordinator of the National Statistics System (NSS) and is responsible for producing a wide range of key social and economic statistics, including demographics, poverty, labor, price, trade, production, and national accounts data. Kenya has a well-established system for collection of regular production of social and economic data and has embraced the Open Data Initiative, which opens up new ways to generate and disseminate statistics in a more efficient and timely manner. The Kenya National Bureau of </w:t>
      </w:r>
      <w:r w:rsidRPr="00985F1A">
        <w:rPr>
          <w:rFonts w:ascii="Times New Roman" w:hAnsi="Times New Roman" w:cs="Times New Roman"/>
          <w:sz w:val="24"/>
          <w:szCs w:val="24"/>
        </w:rPr>
        <w:lastRenderedPageBreak/>
        <w:t>Statistics (KNBS) is the main institution responsible for collecting and disseminating official statistics. The transformation of the KNBS from a Department in the Ministry of Planning to an independent national statistics office governed by a Board of Directors was supported by a World Bank STATCAP Project (P085414) and financed by a 5-year IDA-credit. The support from the World Bank and other partners enabled KNBS to make several improvements including the enactment of a new statistics law that facilitated greater and better coordination of the national statistics system, human resource development, upgrade of physical and statistical infrastructure, and the development of new and better data products.</w:t>
      </w:r>
    </w:p>
    <w:p w14:paraId="1B583995"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Statistical capacity and constraints. </w:t>
      </w:r>
      <w:r w:rsidRPr="00985F1A">
        <w:rPr>
          <w:rFonts w:ascii="Times New Roman" w:hAnsi="Times New Roman" w:cs="Times New Roman"/>
          <w:sz w:val="24"/>
          <w:szCs w:val="24"/>
        </w:rPr>
        <w:t>Despite the progress made in recent years, Kenya’s statistical system faces several challenges. Collecting data in Kenya is a time, labor and resource intensive endeavor, particularly in the semi-arid areas where populations are scarcely distributed. Given the modest allocation for statistics in the national budget, much of the institutional budget is allocated for salaries, wages and field operations, leaving little discretionary resources for innovation, reform and capacity development. As a consequence, KNBS has not produced regular data that could be used by policy makers to monitor trends in the labor market and household living conditions and poverty. A Labor Force Survey was last undertaken in the 1990s and the last Household Budget Survey was completed in 2005/6. Data dissemination has also been below user expectations. The three national databases are neither comprehensive nor updated regularly. The upload of data in KenInfo is not systematic so while some indicators are up-to-date, many are several years out of date. Second, important datasets, such as detailed information relating to the 2009 Population and Housing Census, have not yet been uploaded on KNBS’ website despite being publicly launched in 2010. Although the National Data Archive (NADA) is designed as a database for micro data, no data sets are currently available online. Lastly, publications, such as the Economic Survey or the Statistical Abstract, are not available online, and out of the thirteen STATCAP funded surveys, only three are available online for public use. Improving the online availability of its products is a major challenge for KNBS in order to regain the confidence of its users as the main provider of statistics, which is a public good.</w:t>
      </w:r>
    </w:p>
    <w:p w14:paraId="22A5B68A"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There is a growing demand in government for statistics for use in planning and budgeting, targeting of policies and programs, as well as outcome monitoring and evaluation. </w:t>
      </w:r>
      <w:r w:rsidRPr="00985F1A">
        <w:rPr>
          <w:rFonts w:ascii="Times New Roman" w:hAnsi="Times New Roman" w:cs="Times New Roman"/>
          <w:sz w:val="24"/>
          <w:szCs w:val="24"/>
        </w:rPr>
        <w:t>Relevant and accurate statistics, that are made available in a timely manner to policy makers and the general public alike, are essential ingredients for formulating informed policies and for monitoring and evaluating their development impacts. The Government’s second Medium Term Plan 2013-2017 articulates its development strategy whose objectives includes implementing devolution, accelerating growth, reducing poverty, transforming the structure of the economy and creating more quality jobs as the country prepares to achieve middle income status by 2030.  Underpinned in this strategy is the government commitment to strengthen the national statistical system to support planning, monitoring and evaluation of government policies and programmes. The momentum for major reform in KNBS is now stronger than ever, based on external demands both within the government and from the public. For example, in the second MTP, the government directed that five major surveys and censuses be carried out within four years to improve the quality of data. This includes: Kenya Integrated Household Budget Survey (KIHBS) II; census of agriculture; labour force survey; census of business establishments; and generation of county statistical profiles.</w:t>
      </w:r>
    </w:p>
    <w:p w14:paraId="4A588275"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sz w:val="24"/>
          <w:szCs w:val="24"/>
        </w:rPr>
        <w:lastRenderedPageBreak/>
        <w:t xml:space="preserve">With the creation of 47 counties under the new constitution, in which statistics is a shared function, KNBS will have to restructure to build and increase its ability to compile county and sector statistics to meet the demand for relevant, accurate, timely, and disaggregated data. </w:t>
      </w:r>
      <w:r w:rsidRPr="00985F1A">
        <w:rPr>
          <w:rFonts w:ascii="Times New Roman" w:hAnsi="Times New Roman" w:cs="Times New Roman"/>
          <w:sz w:val="24"/>
          <w:szCs w:val="24"/>
        </w:rPr>
        <w:t>The KNBS has mainly been a centralized agency without substantive presence in all districts. However, when county governments as administrative units came into effect in March 2013, the system has become highly decentralized, which has created a high demand for more geographically disaggregated data. With the new constitution there is pressure for the establishment of statistics offices in all the 47 counties, which will supervise and coordinate statistical programmes at the county level and ensure that international standards are applied in the production and dissemination of county statistics, and that there will be harmony between national data and aggregated county data.</w:t>
      </w:r>
    </w:p>
    <w:p w14:paraId="4091906E" w14:textId="77777777" w:rsidR="00985F1A" w:rsidRPr="00985F1A" w:rsidRDefault="00985F1A" w:rsidP="007B5E57">
      <w:pPr>
        <w:pStyle w:val="ListParagraph"/>
        <w:numPr>
          <w:ilvl w:val="0"/>
          <w:numId w:val="48"/>
        </w:numPr>
        <w:autoSpaceDE w:val="0"/>
        <w:autoSpaceDN w:val="0"/>
        <w:adjustRightInd w:val="0"/>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sz w:val="24"/>
          <w:szCs w:val="24"/>
        </w:rPr>
        <w:t xml:space="preserve">Relationship to CPS </w:t>
      </w:r>
    </w:p>
    <w:p w14:paraId="2B5EA234"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sz w:val="24"/>
          <w:szCs w:val="24"/>
        </w:rPr>
        <w:t xml:space="preserve">Support to Statistics will contribute to the Kenya Country Partnership Strategy and the governments Medium-Term Priorities (PRSP) to support evidence-based decision-making through, amongst other initiatives, strengthened national statistics. </w:t>
      </w:r>
      <w:r w:rsidRPr="00985F1A">
        <w:rPr>
          <w:rFonts w:ascii="Times New Roman" w:hAnsi="Times New Roman" w:cs="Times New Roman"/>
          <w:sz w:val="24"/>
          <w:szCs w:val="24"/>
        </w:rPr>
        <w:t>Kenya has already benefitted from the World Bank STACAP project, which was rated moderately unsatisfactory as a result of unresolved financial management and procurement issues as well as lack of progress in data dissemination. Support to strengthening the national statistical system is consistent with the results based focus and is consistent with IDA’s leadership role in the global partnership for statistical capacity building. In addition, as part of IDA 15 and IDA 16 Results Measurement System, results based Country Assistance or Partnership Strategies are expected to include a review of the national statistical systems and an indication of what is needed to strengthen the capacity both to generate and to use statistical data.  The program will contribute to this agenda by improving the quantity and quality of statistics and ensuring that they are analyzed and disseminated widely.</w:t>
      </w:r>
    </w:p>
    <w:p w14:paraId="6881815A" w14:textId="77777777" w:rsidR="00985F1A" w:rsidRPr="00985F1A" w:rsidRDefault="00985F1A" w:rsidP="007B5E57">
      <w:pPr>
        <w:pStyle w:val="ListParagraph"/>
        <w:numPr>
          <w:ilvl w:val="0"/>
          <w:numId w:val="50"/>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Support to Statistics is also consistent with Africa’s region and the Bank’s twin goals of eradicating extreme poverty and boosting shared prosperity, as well as growing interest by foreign investors in the quality of national accounts. </w:t>
      </w:r>
      <w:r w:rsidRPr="00985F1A">
        <w:rPr>
          <w:rFonts w:ascii="Times New Roman" w:hAnsi="Times New Roman" w:cs="Times New Roman"/>
          <w:sz w:val="24"/>
          <w:szCs w:val="24"/>
        </w:rPr>
        <w:t xml:space="preserve">The goal of the Africa Region’s effort is to help these countries generate more and better-quality data; develop a model for collaborating with the Fund, which has the lead role on National Accounts; and, more broadly, build capacity to promote greater use of statistics. </w:t>
      </w:r>
    </w:p>
    <w:p w14:paraId="4B4C3914" w14:textId="77777777" w:rsidR="00985F1A" w:rsidRPr="00985F1A" w:rsidRDefault="00985F1A" w:rsidP="007B5E57">
      <w:pPr>
        <w:pStyle w:val="ListParagraph"/>
        <w:numPr>
          <w:ilvl w:val="0"/>
          <w:numId w:val="48"/>
        </w:numPr>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sz w:val="24"/>
          <w:szCs w:val="24"/>
        </w:rPr>
        <w:t>Lessons learnt and Client perspectives</w:t>
      </w:r>
    </w:p>
    <w:p w14:paraId="463696DF" w14:textId="77777777" w:rsidR="00985F1A" w:rsidRPr="00985F1A" w:rsidRDefault="00985F1A" w:rsidP="007B5E57">
      <w:pPr>
        <w:pStyle w:val="ListParagraph"/>
        <w:numPr>
          <w:ilvl w:val="0"/>
          <w:numId w:val="51"/>
        </w:numPr>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color w:val="000000"/>
          <w:sz w:val="24"/>
          <w:szCs w:val="24"/>
        </w:rPr>
        <w:t>The STATCAP ICR recommended continued Bank support to statistics in Kenya.</w:t>
      </w:r>
      <w:r w:rsidRPr="00985F1A">
        <w:rPr>
          <w:rFonts w:ascii="Times New Roman" w:hAnsi="Times New Roman" w:cs="Times New Roman"/>
          <w:color w:val="000000"/>
          <w:sz w:val="24"/>
          <w:szCs w:val="24"/>
        </w:rPr>
        <w:t xml:space="preserve"> </w:t>
      </w:r>
      <w:r w:rsidRPr="00985F1A">
        <w:rPr>
          <w:rFonts w:ascii="Times New Roman" w:hAnsi="Times New Roman" w:cs="Times New Roman"/>
          <w:sz w:val="24"/>
          <w:szCs w:val="24"/>
        </w:rPr>
        <w:t>Our AAA/NLTA includes working with KNBS counterparts in areas of poverty maps and consumer price index. On investments, the Bank supported STATCAP project helped institutional reform but overall did not achieve its other developmental objectives and was rated unsatisfactory. Lessons have been learnt on both sides. The KNBS leadership has indicated to bank staff of a need for both non leading technical assistance and any other instrument to enable them build its capacity and improve collection, compilation and analysis of statistical information, publication and dissemination of statistical information for public use and coordinating, monitoring and supervising the national statistical system.</w:t>
      </w:r>
      <w:r w:rsidRPr="00985F1A">
        <w:rPr>
          <w:rFonts w:ascii="Times New Roman" w:hAnsi="Times New Roman" w:cs="Times New Roman"/>
          <w:color w:val="000000"/>
          <w:sz w:val="24"/>
          <w:szCs w:val="24"/>
        </w:rPr>
        <w:t xml:space="preserve">  A World Bank team has met KNBS management team in September 2013 to discuss potential areas for collaboration in the short to medium run. The KNBS management team requested a combination of technical and financial support and this is something to be considered within the CPS deliberations.</w:t>
      </w:r>
    </w:p>
    <w:p w14:paraId="3746C45A" w14:textId="77777777" w:rsidR="00985F1A" w:rsidRPr="00985F1A" w:rsidRDefault="00985F1A" w:rsidP="00636B62">
      <w:pPr>
        <w:pStyle w:val="ListParagraph"/>
        <w:spacing w:line="240" w:lineRule="auto"/>
        <w:ind w:left="0"/>
        <w:contextualSpacing w:val="0"/>
        <w:jc w:val="both"/>
        <w:rPr>
          <w:rFonts w:ascii="Times New Roman" w:hAnsi="Times New Roman" w:cs="Times New Roman"/>
          <w:b/>
          <w:sz w:val="24"/>
          <w:szCs w:val="24"/>
        </w:rPr>
        <w:sectPr w:rsidR="00985F1A" w:rsidRPr="00985F1A" w:rsidSect="00F96822">
          <w:endnotePr>
            <w:numFmt w:val="decimal"/>
          </w:endnotePr>
          <w:pgSz w:w="12240" w:h="15840" w:code="1"/>
          <w:pgMar w:top="1296" w:right="1440" w:bottom="1296" w:left="1440" w:header="706" w:footer="706" w:gutter="0"/>
          <w:cols w:space="708"/>
          <w:docGrid w:linePitch="360"/>
        </w:sectPr>
      </w:pPr>
    </w:p>
    <w:p w14:paraId="30E77448" w14:textId="77777777" w:rsidR="00985F1A" w:rsidRPr="00985F1A" w:rsidRDefault="00985F1A" w:rsidP="00636B62">
      <w:pPr>
        <w:pStyle w:val="ListParagraph"/>
        <w:spacing w:line="240" w:lineRule="auto"/>
        <w:ind w:left="0"/>
        <w:contextualSpacing w:val="0"/>
        <w:jc w:val="center"/>
        <w:rPr>
          <w:rFonts w:ascii="Times New Roman" w:hAnsi="Times New Roman" w:cs="Times New Roman"/>
          <w:b/>
          <w:sz w:val="24"/>
          <w:szCs w:val="24"/>
        </w:rPr>
        <w:sectPr w:rsidR="00985F1A" w:rsidRPr="00985F1A" w:rsidSect="00F96822">
          <w:endnotePr>
            <w:numFmt w:val="decimal"/>
          </w:endnotePr>
          <w:type w:val="continuous"/>
          <w:pgSz w:w="12240" w:h="15840" w:code="1"/>
          <w:pgMar w:top="1440" w:right="1440" w:bottom="1440" w:left="1440" w:header="708" w:footer="708" w:gutter="0"/>
          <w:cols w:space="708"/>
          <w:docGrid w:linePitch="360"/>
        </w:sectPr>
      </w:pPr>
    </w:p>
    <w:p w14:paraId="3A64C1DA" w14:textId="77777777" w:rsidR="00A81C89" w:rsidRPr="00B3553D" w:rsidRDefault="00A81C89" w:rsidP="00B3553D">
      <w:pPr>
        <w:pStyle w:val="Caption"/>
        <w:spacing w:after="240"/>
        <w:jc w:val="center"/>
        <w:rPr>
          <w:rFonts w:ascii="Times New Roman" w:hAnsi="Times New Roman" w:cs="Times New Roman"/>
          <w:color w:val="auto"/>
          <w:sz w:val="24"/>
          <w:szCs w:val="24"/>
        </w:rPr>
      </w:pPr>
      <w:bookmarkStart w:id="13" w:name="_Toc387342573"/>
      <w:bookmarkStart w:id="14" w:name="_Toc385259412"/>
      <w:r w:rsidRPr="00B3553D">
        <w:rPr>
          <w:rFonts w:ascii="Times New Roman" w:hAnsi="Times New Roman" w:cs="Times New Roman"/>
          <w:color w:val="auto"/>
          <w:sz w:val="24"/>
          <w:szCs w:val="24"/>
        </w:rPr>
        <w:lastRenderedPageBreak/>
        <w:t xml:space="preserve">Annex </w:t>
      </w:r>
      <w:r w:rsidRPr="00B3553D">
        <w:rPr>
          <w:rFonts w:ascii="Times New Roman" w:hAnsi="Times New Roman" w:cs="Times New Roman"/>
          <w:color w:val="auto"/>
          <w:sz w:val="24"/>
          <w:szCs w:val="24"/>
        </w:rPr>
        <w:fldChar w:fldCharType="begin"/>
      </w:r>
      <w:r w:rsidRPr="00B3553D">
        <w:rPr>
          <w:rFonts w:ascii="Times New Roman" w:hAnsi="Times New Roman" w:cs="Times New Roman"/>
          <w:color w:val="auto"/>
          <w:sz w:val="24"/>
          <w:szCs w:val="24"/>
        </w:rPr>
        <w:instrText xml:space="preserve"> SEQ Annex \* ARABIC </w:instrText>
      </w:r>
      <w:r w:rsidRPr="00B3553D">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12</w:t>
      </w:r>
      <w:r w:rsidRPr="00B3553D">
        <w:rPr>
          <w:rFonts w:ascii="Times New Roman" w:hAnsi="Times New Roman" w:cs="Times New Roman"/>
          <w:color w:val="auto"/>
          <w:sz w:val="24"/>
          <w:szCs w:val="24"/>
        </w:rPr>
        <w:fldChar w:fldCharType="end"/>
      </w:r>
      <w:r w:rsidRPr="00B3553D">
        <w:rPr>
          <w:rFonts w:ascii="Times New Roman" w:hAnsi="Times New Roman" w:cs="Times New Roman"/>
          <w:color w:val="auto"/>
          <w:sz w:val="24"/>
          <w:szCs w:val="24"/>
        </w:rPr>
        <w:t>: Gender</w:t>
      </w:r>
      <w:bookmarkEnd w:id="13"/>
    </w:p>
    <w:p w14:paraId="466D9DEA" w14:textId="77777777" w:rsidR="00985F1A" w:rsidRPr="00787936" w:rsidRDefault="00985F1A" w:rsidP="00FB6DD3">
      <w:pPr>
        <w:rPr>
          <w:rFonts w:ascii="Times New Roman" w:hAnsi="Times New Roman" w:cs="Times New Roman"/>
          <w:b/>
          <w:i/>
          <w:sz w:val="24"/>
          <w:szCs w:val="24"/>
        </w:rPr>
      </w:pPr>
      <w:r w:rsidRPr="00787936">
        <w:rPr>
          <w:rFonts w:ascii="Times New Roman" w:hAnsi="Times New Roman" w:cs="Times New Roman"/>
          <w:b/>
          <w:i/>
          <w:sz w:val="24"/>
          <w:szCs w:val="24"/>
        </w:rPr>
        <w:t>A.</w:t>
      </w:r>
      <w:r w:rsidRPr="00787936">
        <w:rPr>
          <w:rFonts w:ascii="Times New Roman" w:hAnsi="Times New Roman" w:cs="Times New Roman"/>
          <w:b/>
          <w:i/>
          <w:sz w:val="24"/>
          <w:szCs w:val="24"/>
        </w:rPr>
        <w:tab/>
        <w:t>Position of Women in Kenya</w:t>
      </w:r>
      <w:bookmarkEnd w:id="14"/>
    </w:p>
    <w:p w14:paraId="764FEC0D" w14:textId="77777777" w:rsid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Gender equality and women’s empowerment are development goals with intrinsic value. They are also central to economic development and the current development context in Kenya – devolution, the constitution, and other policy reforms - offer compelling opportunities to advance these values.</w:t>
      </w:r>
      <w:r w:rsidRPr="00985F1A">
        <w:rPr>
          <w:rFonts w:ascii="Times New Roman" w:hAnsi="Times New Roman" w:cs="Times New Roman"/>
          <w:sz w:val="24"/>
          <w:szCs w:val="24"/>
        </w:rPr>
        <w:t xml:space="preserve"> However, if Kenya wants to achieve 10% economic growth rate per annum as stipulated in the Vision 2030, it has to continue to increase economic opportunities for women.</w:t>
      </w:r>
    </w:p>
    <w:p w14:paraId="731FAAF3" w14:textId="77777777" w:rsidR="00FB6DD3" w:rsidRPr="00FB6DD3" w:rsidRDefault="00FB6DD3" w:rsidP="00FB6DD3">
      <w:pPr>
        <w:pStyle w:val="ListParagraph"/>
        <w:numPr>
          <w:ilvl w:val="3"/>
          <w:numId w:val="48"/>
        </w:numPr>
        <w:spacing w:line="240" w:lineRule="auto"/>
        <w:ind w:left="0" w:firstLine="0"/>
        <w:contextualSpacing w:val="0"/>
        <w:jc w:val="both"/>
        <w:rPr>
          <w:rFonts w:ascii="Times New Roman" w:hAnsi="Times New Roman" w:cs="Times New Roman"/>
          <w:b/>
          <w:sz w:val="24"/>
          <w:szCs w:val="24"/>
        </w:rPr>
      </w:pPr>
      <w:r w:rsidRPr="00FB6DD3">
        <w:rPr>
          <w:rFonts w:ascii="Times New Roman" w:hAnsi="Times New Roman" w:cs="Times New Roman"/>
          <w:b/>
          <w:sz w:val="24"/>
          <w:szCs w:val="24"/>
        </w:rPr>
        <w:t>Health</w:t>
      </w:r>
    </w:p>
    <w:p w14:paraId="20EE32C7"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Maternal mortality in Kenya has remained unacceptably high at 488 maternal deaths (per 100,000 live births) in 2008/9, an increase from 414 in 2003.</w:t>
      </w:r>
      <w:r w:rsidRPr="00985F1A">
        <w:rPr>
          <w:rFonts w:ascii="Times New Roman" w:hAnsi="Times New Roman" w:cs="Times New Roman"/>
          <w:sz w:val="24"/>
          <w:szCs w:val="24"/>
        </w:rPr>
        <w:t xml:space="preserve"> The situation is not helped by stagnating maternal care indicators: over the last ten years the proportion of deliveries performed by skilled attendants has remained at around 44 percent. Skilled birth attendance is vital to protecting the health of newborns as the majority of perinatal deaths occur during labor and delivery or within the first 48 hours after delivery (UNFPA, 2007).</w:t>
      </w:r>
    </w:p>
    <w:p w14:paraId="6D1EB191"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Violence against women and girls remains endemic across the country and is supported by the cultural context.</w:t>
      </w:r>
      <w:r w:rsidRPr="00985F1A">
        <w:rPr>
          <w:rFonts w:ascii="Times New Roman" w:hAnsi="Times New Roman" w:cs="Times New Roman"/>
          <w:sz w:val="24"/>
          <w:szCs w:val="24"/>
        </w:rPr>
        <w:t xml:space="preserve"> Almost half (45%) of women aged 15-49 years report experiencing either physical or sexual violence</w:t>
      </w:r>
      <w:r w:rsidRPr="00985F1A">
        <w:rPr>
          <w:rStyle w:val="FootnoteReference"/>
          <w:rFonts w:ascii="Times New Roman" w:hAnsi="Times New Roman" w:cs="Times New Roman"/>
          <w:sz w:val="24"/>
          <w:szCs w:val="24"/>
        </w:rPr>
        <w:footnoteReference w:id="16"/>
      </w:r>
      <w:r w:rsidRPr="00985F1A">
        <w:rPr>
          <w:rFonts w:ascii="Times New Roman" w:hAnsi="Times New Roman" w:cs="Times New Roman"/>
          <w:sz w:val="24"/>
          <w:szCs w:val="24"/>
        </w:rPr>
        <w:t>.</w:t>
      </w:r>
      <w:r w:rsidRPr="00985F1A">
        <w:rPr>
          <w:rFonts w:ascii="Times New Roman" w:hAnsi="Times New Roman" w:cs="Times New Roman"/>
          <w:position w:val="10"/>
          <w:sz w:val="24"/>
          <w:szCs w:val="24"/>
        </w:rPr>
        <w:t xml:space="preserve"> </w:t>
      </w:r>
      <w:r w:rsidRPr="00985F1A">
        <w:rPr>
          <w:rFonts w:ascii="Times New Roman" w:hAnsi="Times New Roman" w:cs="Times New Roman"/>
          <w:sz w:val="24"/>
          <w:szCs w:val="24"/>
        </w:rPr>
        <w:t>According to the first ever national-level study on violence against children published by PUNOs in 2012, 31.9% of females and 17.5% of males experience at least one incident of sexual violence before the age of 18</w:t>
      </w:r>
      <w:r w:rsidRPr="00985F1A">
        <w:rPr>
          <w:rStyle w:val="FootnoteReference"/>
          <w:rFonts w:ascii="Times New Roman" w:hAnsi="Times New Roman" w:cs="Times New Roman"/>
          <w:sz w:val="24"/>
          <w:szCs w:val="24"/>
        </w:rPr>
        <w:footnoteReference w:id="17"/>
      </w:r>
      <w:r w:rsidRPr="00985F1A">
        <w:rPr>
          <w:rFonts w:ascii="Times New Roman" w:hAnsi="Times New Roman" w:cs="Times New Roman"/>
          <w:sz w:val="24"/>
          <w:szCs w:val="24"/>
        </w:rPr>
        <w:t>. The socio-cultural environment in Kenya is conducive to gender-based violence, with 5 out of 10 women and 6 out of 10 men aged 18-24 years believing that it is acceptable for a husband to beat his wife. Despite a recent increase in reporting, data suggest that 45% of women who have experienced GBV did not seek help or tell anyone</w:t>
      </w:r>
      <w:r w:rsidR="00773ABA">
        <w:rPr>
          <w:rFonts w:ascii="Times New Roman" w:hAnsi="Times New Roman" w:cs="Times New Roman"/>
          <w:sz w:val="24"/>
          <w:szCs w:val="24"/>
        </w:rPr>
        <w:t>.</w:t>
      </w:r>
      <w:r w:rsidRPr="00985F1A">
        <w:rPr>
          <w:rStyle w:val="FootnoteReference"/>
          <w:rFonts w:ascii="Times New Roman" w:hAnsi="Times New Roman" w:cs="Times New Roman"/>
          <w:sz w:val="24"/>
          <w:szCs w:val="24"/>
        </w:rPr>
        <w:footnoteReference w:id="18"/>
      </w:r>
    </w:p>
    <w:p w14:paraId="4D8EE722"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Partly thanks to sustained public awareness campaigns, Kenya has witnessed impressive progress in the decline in incidents of Female Genital Mutilation/Cutting (FGM/C).</w:t>
      </w:r>
      <w:r w:rsidRPr="00985F1A">
        <w:rPr>
          <w:rFonts w:ascii="Times New Roman" w:hAnsi="Times New Roman" w:cs="Times New Roman"/>
          <w:sz w:val="24"/>
          <w:szCs w:val="24"/>
        </w:rPr>
        <w:t xml:space="preserve"> However, there are striking regional differences - in North Eastern province, nearly all women aged 15-49 years have experienced FGM/C, while in Western province, only 0.8% of women have undergone the practice</w:t>
      </w:r>
      <w:r w:rsidR="00773ABA">
        <w:rPr>
          <w:rFonts w:ascii="Times New Roman" w:hAnsi="Times New Roman" w:cs="Times New Roman"/>
          <w:sz w:val="24"/>
          <w:szCs w:val="24"/>
        </w:rPr>
        <w:t>.</w:t>
      </w:r>
      <w:r w:rsidRPr="00985F1A">
        <w:rPr>
          <w:rStyle w:val="FootnoteReference"/>
          <w:rFonts w:ascii="Times New Roman" w:hAnsi="Times New Roman" w:cs="Times New Roman"/>
          <w:sz w:val="24"/>
          <w:szCs w:val="24"/>
        </w:rPr>
        <w:footnoteReference w:id="19"/>
      </w:r>
    </w:p>
    <w:p w14:paraId="7E45ED12" w14:textId="77777777" w:rsidR="00985F1A" w:rsidRDefault="00985F1A" w:rsidP="007B5E57">
      <w:pPr>
        <w:pStyle w:val="ListParagraph"/>
        <w:numPr>
          <w:ilvl w:val="0"/>
          <w:numId w:val="49"/>
        </w:numPr>
        <w:spacing w:line="240" w:lineRule="auto"/>
        <w:ind w:left="0" w:firstLine="0"/>
        <w:contextualSpacing w:val="0"/>
        <w:rPr>
          <w:rFonts w:ascii="Times New Roman" w:hAnsi="Times New Roman" w:cs="Times New Roman"/>
          <w:sz w:val="24"/>
          <w:szCs w:val="24"/>
        </w:rPr>
      </w:pPr>
      <w:r w:rsidRPr="00985F1A">
        <w:rPr>
          <w:rFonts w:ascii="Times New Roman" w:hAnsi="Times New Roman" w:cs="Times New Roman"/>
          <w:b/>
          <w:sz w:val="24"/>
          <w:szCs w:val="24"/>
        </w:rPr>
        <w:t>One out of every eight adults in rural Kenya and almost one out of every five adults in urban areas are infected with HIV, with women being particularly vulnerable.</w:t>
      </w:r>
      <w:r w:rsidRPr="00985F1A">
        <w:rPr>
          <w:rFonts w:ascii="Times New Roman" w:hAnsi="Times New Roman" w:cs="Times New Roman"/>
          <w:sz w:val="24"/>
          <w:szCs w:val="24"/>
        </w:rPr>
        <w:t xml:space="preserve"> The infection rate in girls and young women is exponentially higher than in their male counterparts. Women’s greater vulnerability is connected to their lower social status. For example, there is a ritual cleansing practice which requires widows to have sex with a man of low social standing to "cleanse" them of their dead husband's "evil spirits."</w:t>
      </w:r>
    </w:p>
    <w:p w14:paraId="5BA4D70E" w14:textId="77777777" w:rsidR="00FB6DD3" w:rsidRPr="00FB6DD3" w:rsidRDefault="00FB6DD3" w:rsidP="00FB6DD3">
      <w:pPr>
        <w:pStyle w:val="ListParagraph"/>
        <w:numPr>
          <w:ilvl w:val="3"/>
          <w:numId w:val="48"/>
        </w:numPr>
        <w:spacing w:line="240" w:lineRule="auto"/>
        <w:ind w:left="0" w:firstLine="0"/>
        <w:contextualSpacing w:val="0"/>
        <w:rPr>
          <w:rFonts w:ascii="Times New Roman" w:hAnsi="Times New Roman" w:cs="Times New Roman"/>
          <w:b/>
          <w:sz w:val="24"/>
          <w:szCs w:val="24"/>
        </w:rPr>
      </w:pPr>
      <w:r w:rsidRPr="00FB6DD3">
        <w:rPr>
          <w:rFonts w:ascii="Times New Roman" w:hAnsi="Times New Roman" w:cs="Times New Roman"/>
          <w:b/>
          <w:sz w:val="24"/>
          <w:szCs w:val="24"/>
        </w:rPr>
        <w:t>Education</w:t>
      </w:r>
    </w:p>
    <w:p w14:paraId="5DDB1651"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lastRenderedPageBreak/>
        <w:t>Primary education has recorded remarkable gains in enrolment since the implementation of free primary education:  gender parity has almost been achieved, although there are still sharp regional and income disparities</w:t>
      </w:r>
      <w:r w:rsidRPr="00985F1A">
        <w:rPr>
          <w:rFonts w:ascii="Times New Roman" w:hAnsi="Times New Roman" w:cs="Times New Roman"/>
          <w:sz w:val="24"/>
          <w:szCs w:val="24"/>
        </w:rPr>
        <w:t xml:space="preserve">. The ratio of female to male primary enrollment is estimated at around 98 percent. However, girls in arid and semi-arid regions have significantly lower enrollment rates, while primary-age girls from the poorest 60 per cent of households are three times more likely to be out of school as those from the wealthiest households (the same disparities apply even more at secondary level). </w:t>
      </w:r>
    </w:p>
    <w:p w14:paraId="38F40049"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While the ratio of female to male enrollment is lower at the secondary level (90 percent), it is still better than in many other countries in the region and there have been continued efforts from the government to improve the situation.</w:t>
      </w:r>
      <w:r w:rsidRPr="00985F1A">
        <w:rPr>
          <w:rFonts w:ascii="Times New Roman" w:hAnsi="Times New Roman" w:cs="Times New Roman"/>
          <w:sz w:val="24"/>
          <w:szCs w:val="24"/>
        </w:rPr>
        <w:t xml:space="preserve"> The government has continued with the implementation of the free secondary tuition which started in 2008, and has provided infrastructural support through the Quick Wins Initiative, which has given desks and sanitation facilities to selected schools. This has led to a rise in the primary to secondary school transition rate from 64.1 per cent in 2008 to 66.9 per cent in 2012. The relatively larger gender gap in enrollment at the secondary level is due to numerous reasons, including early marriages, pregnancy, the lower social status of girls, and girls’ greater domestic responsibilities</w:t>
      </w:r>
      <w:r w:rsidRPr="00985F1A">
        <w:rPr>
          <w:rStyle w:val="FootnoteReference"/>
          <w:rFonts w:ascii="Times New Roman" w:hAnsi="Times New Roman" w:cs="Times New Roman"/>
          <w:sz w:val="24"/>
          <w:szCs w:val="24"/>
        </w:rPr>
        <w:footnoteReference w:id="20"/>
      </w:r>
      <w:r w:rsidRPr="00985F1A">
        <w:rPr>
          <w:rFonts w:ascii="Times New Roman" w:hAnsi="Times New Roman" w:cs="Times New Roman"/>
          <w:sz w:val="24"/>
          <w:szCs w:val="24"/>
        </w:rPr>
        <w:t>.</w:t>
      </w:r>
    </w:p>
    <w:p w14:paraId="03BBC8B7" w14:textId="77777777" w:rsid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Partly due to their weaker progress to secondary level education, more women are not able to gain a university education and thus rely more heavily on technical and vocational education.</w:t>
      </w:r>
      <w:r w:rsidRPr="00985F1A">
        <w:rPr>
          <w:rFonts w:ascii="Times New Roman" w:hAnsi="Times New Roman" w:cs="Times New Roman"/>
          <w:sz w:val="24"/>
          <w:szCs w:val="24"/>
        </w:rPr>
        <w:t xml:space="preserve"> The female share enrolment in public Technical, Industrial, Vocational and Entrepreneurship Training is around 49%, while data for 2009/10 suggests that the same figure for university enrollments is only 37.9 percent.</w:t>
      </w:r>
    </w:p>
    <w:p w14:paraId="560FBFF0" w14:textId="77777777" w:rsidR="00FB6DD3" w:rsidRPr="00FB6DD3" w:rsidRDefault="00FB6DD3" w:rsidP="00FB6DD3">
      <w:pPr>
        <w:pStyle w:val="ListParagraph"/>
        <w:numPr>
          <w:ilvl w:val="3"/>
          <w:numId w:val="48"/>
        </w:numPr>
        <w:spacing w:after="240" w:line="240" w:lineRule="auto"/>
        <w:ind w:left="0" w:firstLine="0"/>
        <w:contextualSpacing w:val="0"/>
        <w:jc w:val="both"/>
        <w:rPr>
          <w:rFonts w:ascii="Times New Roman" w:hAnsi="Times New Roman" w:cs="Times New Roman"/>
          <w:b/>
          <w:sz w:val="24"/>
          <w:szCs w:val="24"/>
        </w:rPr>
      </w:pPr>
      <w:r w:rsidRPr="00FB6DD3">
        <w:rPr>
          <w:rFonts w:ascii="Times New Roman" w:hAnsi="Times New Roman" w:cs="Times New Roman"/>
          <w:b/>
          <w:sz w:val="24"/>
          <w:szCs w:val="24"/>
        </w:rPr>
        <w:t>Governance</w:t>
      </w:r>
    </w:p>
    <w:p w14:paraId="35434184" w14:textId="77777777" w:rsid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Even though women account for 51% of the Kenyan population, they remain underrepresented in key governance positions.</w:t>
      </w:r>
      <w:r w:rsidRPr="00985F1A">
        <w:rPr>
          <w:rFonts w:ascii="Times New Roman" w:hAnsi="Times New Roman" w:cs="Times New Roman"/>
          <w:sz w:val="24"/>
          <w:szCs w:val="24"/>
        </w:rPr>
        <w:t xml:space="preserve"> In 2012, women accounted for just15% of the key leadership positions in the public sector and less than 10% of parliamentarians (compared to the sub-Saharan average of 20.4%)</w:t>
      </w:r>
      <w:r w:rsidRPr="00985F1A">
        <w:rPr>
          <w:rStyle w:val="FootnoteReference"/>
          <w:rFonts w:ascii="Times New Roman" w:hAnsi="Times New Roman" w:cs="Times New Roman"/>
          <w:sz w:val="24"/>
          <w:szCs w:val="24"/>
        </w:rPr>
        <w:footnoteReference w:id="21"/>
      </w:r>
      <w:r w:rsidRPr="00985F1A">
        <w:rPr>
          <w:rFonts w:ascii="Times New Roman" w:hAnsi="Times New Roman" w:cs="Times New Roman"/>
          <w:sz w:val="24"/>
          <w:szCs w:val="24"/>
        </w:rPr>
        <w:t xml:space="preserve">. Only 38% of the Kenyan population agrees that they can vote for a female president, reflecting the cultural bias against women’s suitability for public office. Additionally, there is still disagreement about the implementation of the ‘not more than two-thirds’ gender principle outlined in the constitution: the Supreme Court has declared that the Constitution called for its progressive realization in enforcing the rule but not immediate implementation in the upcoming 2013 General Elections. It is expected that women’s numerical representation at the county level will meet the not more than two-thirds principle through nomination to meet any gaps following the election for county assembly seats. By 2012, most political parties also met the gender requirement of not more than two-thirds principle. </w:t>
      </w:r>
    </w:p>
    <w:p w14:paraId="70352AEF" w14:textId="77777777" w:rsidR="00FB6DD3" w:rsidRPr="00FB6DD3" w:rsidRDefault="00FB6DD3" w:rsidP="00FB6DD3">
      <w:pPr>
        <w:pStyle w:val="ListParagraph"/>
        <w:widowControl w:val="0"/>
        <w:numPr>
          <w:ilvl w:val="3"/>
          <w:numId w:val="48"/>
        </w:numPr>
        <w:autoSpaceDE w:val="0"/>
        <w:autoSpaceDN w:val="0"/>
        <w:adjustRightInd w:val="0"/>
        <w:spacing w:line="240" w:lineRule="auto"/>
        <w:ind w:left="0" w:firstLine="0"/>
        <w:contextualSpacing w:val="0"/>
        <w:jc w:val="both"/>
        <w:rPr>
          <w:rFonts w:ascii="Times New Roman" w:hAnsi="Times New Roman" w:cs="Times New Roman"/>
          <w:b/>
          <w:sz w:val="24"/>
          <w:szCs w:val="24"/>
        </w:rPr>
      </w:pPr>
      <w:r w:rsidRPr="00FB6DD3">
        <w:rPr>
          <w:rFonts w:ascii="Times New Roman" w:hAnsi="Times New Roman" w:cs="Times New Roman"/>
          <w:b/>
          <w:sz w:val="24"/>
          <w:szCs w:val="24"/>
        </w:rPr>
        <w:t>Economic empowerment</w:t>
      </w:r>
    </w:p>
    <w:p w14:paraId="42BD05B1"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Kenyan women are making a significant yet often ignored contribution to the country’s economy.</w:t>
      </w:r>
      <w:r w:rsidRPr="00985F1A">
        <w:rPr>
          <w:rFonts w:ascii="Times New Roman" w:hAnsi="Times New Roman" w:cs="Times New Roman"/>
          <w:sz w:val="24"/>
          <w:szCs w:val="24"/>
        </w:rPr>
        <w:t xml:space="preserve"> While women perform the vast majority of household chores such as cooking, collecting firewood, fetching water and caring for family members, these are not included in the country’s National Accounts and so are less visible in the policy-making context.</w:t>
      </w:r>
    </w:p>
    <w:p w14:paraId="68901C4F"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lastRenderedPageBreak/>
        <w:t>While women are well represented as entrepreneurs, they are more concentrated amongst the smallest businesses and have less access to finance.</w:t>
      </w:r>
      <w:r w:rsidRPr="00985F1A">
        <w:rPr>
          <w:rFonts w:ascii="Times New Roman" w:hAnsi="Times New Roman" w:cs="Times New Roman"/>
          <w:sz w:val="24"/>
          <w:szCs w:val="24"/>
        </w:rPr>
        <w:t xml:space="preserve"> According to a 2010 IFC study, women–owned businesses account for 48% of MSMEs, contributing 20% to Kenya’s GDP</w:t>
      </w:r>
      <w:r w:rsidRPr="00985F1A">
        <w:rPr>
          <w:rStyle w:val="FootnoteReference"/>
          <w:rFonts w:ascii="Times New Roman" w:hAnsi="Times New Roman" w:cs="Times New Roman"/>
          <w:sz w:val="24"/>
          <w:szCs w:val="24"/>
        </w:rPr>
        <w:footnoteReference w:id="22"/>
      </w:r>
      <w:r w:rsidRPr="00985F1A">
        <w:rPr>
          <w:rFonts w:ascii="Times New Roman" w:hAnsi="Times New Roman" w:cs="Times New Roman"/>
          <w:sz w:val="24"/>
          <w:szCs w:val="24"/>
        </w:rPr>
        <w:t>. Despite women’s extensive representation in the SME sector, they access less than 10% of available credit and less than 1% of agricultural credit.</w:t>
      </w:r>
      <w:r w:rsidRPr="00985F1A">
        <w:rPr>
          <w:rFonts w:ascii="Times New Roman" w:hAnsi="Times New Roman" w:cs="Times New Roman"/>
          <w:position w:val="10"/>
          <w:sz w:val="24"/>
          <w:szCs w:val="24"/>
        </w:rPr>
        <w:t xml:space="preserve"> </w:t>
      </w:r>
      <w:r w:rsidRPr="00985F1A">
        <w:rPr>
          <w:rFonts w:ascii="Times New Roman" w:hAnsi="Times New Roman" w:cs="Times New Roman"/>
          <w:sz w:val="24"/>
          <w:szCs w:val="24"/>
        </w:rPr>
        <w:t>Women’s lower access to land (which is often required as collateral) and the tendency for banks to require the permission of husbands in order to grant credit to married women are some of the factors impeding women’s access to finance. Furthermore, as access to finance for women entrepreneurs is guaranteed mainly through microfinance, there is a ”missing middle” as the women who wish to grow their businesses beyond the micro-level have only limited options. In addition to problems accessing finance, the locating of the business registration process in Nairobi presents a challenge to time-poor women, who are less able to travel long distances. The decentralization reform process therefore has great potential for supporting women’s entrepreneurship.</w:t>
      </w:r>
    </w:p>
    <w:p w14:paraId="7B9AE7B3"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Gender gaps in the agriculture sector are particularly significant as this sector provides support to the poorest people.</w:t>
      </w:r>
      <w:r w:rsidRPr="00985F1A">
        <w:rPr>
          <w:rFonts w:ascii="Times New Roman" w:hAnsi="Times New Roman" w:cs="Times New Roman"/>
          <w:sz w:val="24"/>
          <w:szCs w:val="24"/>
        </w:rPr>
        <w:t xml:space="preserve"> Kenyan women are the major force in agriculture and provide over 70% of the labor force – yet they own only a fraction of land titles</w:t>
      </w:r>
      <w:r w:rsidRPr="00985F1A">
        <w:rPr>
          <w:rStyle w:val="FootnoteReference"/>
          <w:rFonts w:ascii="Times New Roman" w:hAnsi="Times New Roman" w:cs="Times New Roman"/>
          <w:sz w:val="24"/>
          <w:szCs w:val="24"/>
        </w:rPr>
        <w:footnoteReference w:id="23"/>
      </w:r>
      <w:r w:rsidRPr="00985F1A">
        <w:rPr>
          <w:rFonts w:ascii="Times New Roman" w:hAnsi="Times New Roman" w:cs="Times New Roman"/>
          <w:sz w:val="24"/>
          <w:szCs w:val="24"/>
        </w:rPr>
        <w:t>.  Research suggests that weaker land rights reduce incentives to invest in land and may contribute to lower productivity. Women are also disadvantaged in their access to various other agricultural inputs  and a recent World Bank survey revealed that a significantly larger proportion of male (54 percent) than female (41 percent) primary farmers had received extension services over the previous year</w:t>
      </w:r>
      <w:r w:rsidRPr="00985F1A">
        <w:rPr>
          <w:rStyle w:val="FootnoteReference"/>
          <w:rFonts w:ascii="Times New Roman" w:hAnsi="Times New Roman" w:cs="Times New Roman"/>
          <w:sz w:val="24"/>
          <w:szCs w:val="24"/>
        </w:rPr>
        <w:footnoteReference w:id="24"/>
      </w:r>
      <w:r w:rsidRPr="00985F1A">
        <w:rPr>
          <w:rFonts w:ascii="Times New Roman" w:hAnsi="Times New Roman" w:cs="Times New Roman"/>
          <w:sz w:val="24"/>
          <w:szCs w:val="24"/>
        </w:rPr>
        <w:t>, with the African Development Bank estimating that women only 7 percent of agricultural extension information</w:t>
      </w:r>
      <w:r w:rsidRPr="00985F1A">
        <w:rPr>
          <w:rStyle w:val="FootnoteReference"/>
          <w:rFonts w:ascii="Times New Roman" w:hAnsi="Times New Roman" w:cs="Times New Roman"/>
          <w:sz w:val="24"/>
          <w:szCs w:val="24"/>
        </w:rPr>
        <w:footnoteReference w:id="25"/>
      </w:r>
      <w:r w:rsidRPr="00985F1A">
        <w:rPr>
          <w:rFonts w:ascii="Times New Roman" w:hAnsi="Times New Roman" w:cs="Times New Roman"/>
          <w:sz w:val="24"/>
          <w:szCs w:val="24"/>
        </w:rPr>
        <w:t>. The consequences of these gender disparities are serious, with some  research suggesting that allocating land, labor, capital, and fertilizer more equally would increase agricultural yields in Kenya by more than 20 percent</w:t>
      </w:r>
      <w:r w:rsidRPr="00985F1A">
        <w:rPr>
          <w:rStyle w:val="FootnoteReference"/>
          <w:rFonts w:ascii="Times New Roman" w:hAnsi="Times New Roman" w:cs="Times New Roman"/>
          <w:sz w:val="24"/>
          <w:szCs w:val="24"/>
        </w:rPr>
        <w:footnoteReference w:id="26"/>
      </w:r>
      <w:r w:rsidRPr="00985F1A">
        <w:rPr>
          <w:rFonts w:ascii="Times New Roman" w:hAnsi="Times New Roman" w:cs="Times New Roman"/>
          <w:sz w:val="24"/>
          <w:szCs w:val="24"/>
        </w:rPr>
        <w:t>.</w:t>
      </w:r>
    </w:p>
    <w:p w14:paraId="00B7B88A"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While the female to male labor force participation ratio is not too low (86 percent), women are less likely to work in formal sector wage jobs.</w:t>
      </w:r>
      <w:r w:rsidRPr="00985F1A">
        <w:rPr>
          <w:rFonts w:ascii="Times New Roman" w:hAnsi="Times New Roman" w:cs="Times New Roman"/>
          <w:sz w:val="24"/>
          <w:szCs w:val="24"/>
        </w:rPr>
        <w:t xml:space="preserve"> Only 29 percent of those earning a formal wage are women, leaving a huge percentage of women to work in the informal sector without any government support. Women’s vulnerability in terms of employment is also highlighted by the fact that 79 percent of women aged 30-64 are estimated to work as own account or unpaid family workers, compared to 54 percent of men</w:t>
      </w:r>
      <w:r w:rsidRPr="00985F1A">
        <w:rPr>
          <w:rStyle w:val="FootnoteReference"/>
          <w:rFonts w:ascii="Times New Roman" w:hAnsi="Times New Roman" w:cs="Times New Roman"/>
          <w:sz w:val="24"/>
          <w:szCs w:val="24"/>
        </w:rPr>
        <w:footnoteReference w:id="27"/>
      </w:r>
      <w:r w:rsidRPr="00985F1A">
        <w:rPr>
          <w:rFonts w:ascii="Times New Roman" w:hAnsi="Times New Roman" w:cs="Times New Roman"/>
          <w:sz w:val="24"/>
          <w:szCs w:val="24"/>
        </w:rPr>
        <w:t xml:space="preserve"> - the effect is severe as nearly 40 percent of households are run solely by women. Female youth appear to perform particularly poorly in the labor market: unlike in many African countries, young women have a higher unemployment rate than young men, and the ratio of female youth to adult unemployment is 2.18</w:t>
      </w:r>
      <w:r w:rsidRPr="00985F1A">
        <w:rPr>
          <w:rStyle w:val="FootnoteReference"/>
          <w:rFonts w:ascii="Times New Roman" w:hAnsi="Times New Roman" w:cs="Times New Roman"/>
          <w:sz w:val="24"/>
          <w:szCs w:val="24"/>
        </w:rPr>
        <w:footnoteReference w:id="28"/>
      </w:r>
      <w:r w:rsidRPr="00985F1A">
        <w:rPr>
          <w:rFonts w:ascii="Times New Roman" w:hAnsi="Times New Roman" w:cs="Times New Roman"/>
          <w:sz w:val="24"/>
          <w:szCs w:val="24"/>
        </w:rPr>
        <w:t>. However, there are some positive trends: women appear to have been successfully shifting from agricultural employment. The 2008-9 DHS suggests that the proportion of women doing professional, technical, and managerial jobs has been growing and is higher than the proportion of men (31 percent versus 20 percent)</w:t>
      </w:r>
      <w:r w:rsidRPr="00985F1A">
        <w:rPr>
          <w:rStyle w:val="FootnoteReference"/>
          <w:rFonts w:ascii="Times New Roman" w:hAnsi="Times New Roman" w:cs="Times New Roman"/>
          <w:sz w:val="24"/>
          <w:szCs w:val="24"/>
        </w:rPr>
        <w:footnoteReference w:id="29"/>
      </w:r>
      <w:r w:rsidRPr="00985F1A">
        <w:rPr>
          <w:rFonts w:ascii="Times New Roman" w:hAnsi="Times New Roman" w:cs="Times New Roman"/>
          <w:sz w:val="24"/>
          <w:szCs w:val="24"/>
        </w:rPr>
        <w:t>.</w:t>
      </w:r>
    </w:p>
    <w:p w14:paraId="232F3903" w14:textId="77777777" w:rsidR="00985F1A" w:rsidRPr="00787936" w:rsidRDefault="00985F1A" w:rsidP="00FB6DD3">
      <w:pPr>
        <w:rPr>
          <w:rFonts w:ascii="Times New Roman" w:hAnsi="Times New Roman" w:cs="Times New Roman"/>
          <w:b/>
          <w:i/>
          <w:sz w:val="24"/>
          <w:szCs w:val="24"/>
        </w:rPr>
      </w:pPr>
      <w:r w:rsidRPr="00787936">
        <w:rPr>
          <w:rFonts w:ascii="Times New Roman" w:hAnsi="Times New Roman" w:cs="Times New Roman"/>
          <w:b/>
          <w:i/>
          <w:sz w:val="24"/>
          <w:szCs w:val="24"/>
        </w:rPr>
        <w:lastRenderedPageBreak/>
        <w:t>B.</w:t>
      </w:r>
      <w:r w:rsidRPr="00787936">
        <w:rPr>
          <w:rFonts w:ascii="Times New Roman" w:hAnsi="Times New Roman" w:cs="Times New Roman"/>
          <w:b/>
          <w:i/>
          <w:sz w:val="24"/>
          <w:szCs w:val="24"/>
        </w:rPr>
        <w:tab/>
      </w:r>
      <w:bookmarkStart w:id="15" w:name="_Toc385259417"/>
      <w:r w:rsidRPr="00787936">
        <w:rPr>
          <w:rFonts w:ascii="Times New Roman" w:hAnsi="Times New Roman" w:cs="Times New Roman"/>
          <w:b/>
          <w:i/>
          <w:sz w:val="24"/>
          <w:szCs w:val="24"/>
        </w:rPr>
        <w:t>The Institutional Climate for Gender</w:t>
      </w:r>
      <w:bookmarkEnd w:id="15"/>
    </w:p>
    <w:p w14:paraId="65AAE861" w14:textId="77777777" w:rsidR="00846541" w:rsidRPr="00846541" w:rsidRDefault="00846541" w:rsidP="00FB6DD3">
      <w:pPr>
        <w:rPr>
          <w:rFonts w:ascii="Times New Roman" w:hAnsi="Times New Roman" w:cs="Times New Roman"/>
          <w:b/>
          <w:sz w:val="24"/>
          <w:szCs w:val="24"/>
        </w:rPr>
      </w:pPr>
      <w:r w:rsidRPr="00846541">
        <w:rPr>
          <w:rFonts w:ascii="Times New Roman" w:hAnsi="Times New Roman" w:cs="Times New Roman"/>
          <w:b/>
          <w:sz w:val="24"/>
          <w:szCs w:val="24"/>
        </w:rPr>
        <w:t xml:space="preserve">1. </w:t>
      </w:r>
      <w:r w:rsidRPr="00846541">
        <w:rPr>
          <w:rFonts w:ascii="Times New Roman" w:hAnsi="Times New Roman" w:cs="Times New Roman"/>
          <w:b/>
          <w:sz w:val="24"/>
          <w:szCs w:val="24"/>
        </w:rPr>
        <w:tab/>
        <w:t>The overall policy and legal context</w:t>
      </w:r>
    </w:p>
    <w:p w14:paraId="68A1B0BB"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 Government of Kenya (GoK) has institutionalized gender mainstreaming as a key strategy for achieving equitable national development.</w:t>
      </w:r>
      <w:r w:rsidRPr="00985F1A">
        <w:rPr>
          <w:rFonts w:ascii="Times New Roman" w:hAnsi="Times New Roman" w:cs="Times New Roman"/>
          <w:sz w:val="24"/>
          <w:szCs w:val="24"/>
        </w:rPr>
        <w:t xml:space="preserve"> The Ministry of Gender, Children and Social Development is mandated to facilitate the process of mainstreaming gender by building the capacities of all government ministries and State Corporations. In the process of mainstreaming gender within the government structure, the GoK has encountered some key challenges such as inadequate financing for gender activities, a lack of gender- sensitive budgeting processes, and inadequate staff capacity. </w:t>
      </w:r>
    </w:p>
    <w:p w14:paraId="1E05F637" w14:textId="77777777" w:rsid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 government has also lent its support to gender issues through various policies and initiatives.</w:t>
      </w:r>
      <w:r w:rsidRPr="00985F1A">
        <w:rPr>
          <w:rFonts w:ascii="Times New Roman" w:hAnsi="Times New Roman" w:cs="Times New Roman"/>
          <w:sz w:val="24"/>
          <w:szCs w:val="24"/>
        </w:rPr>
        <w:t xml:space="preserve"> In 2012, the GoK finalized and validated the National Affirmative Action Policy to guide the implementation of the gender equality principles as enshrined in the Constitution. Other significant policies include: the abolition of user fees in all public maternity hospitals and clinics; Article 7 (2) of the Political Parties Act (2011), which stipulates that not more than two-thirds of a political party’s governing body can be of the same gender; the Children’s Act 2001 and government declaration in 2003 that ushered in free primary education; and the development of a National Gender-Based Violence Policy (though enforcement of the laws relating to GBV remains an issue). Some significant initiatives from the government include: the Youth Enterprise Fund, established in 2006, which aims to tackle youth unemployment, with a focus on gender; and the Women Enterprise Fund (WEF), which was set up by the GoK in 2007 to provide accessible and affordable credit to support women to start or expand businesses.</w:t>
      </w:r>
    </w:p>
    <w:p w14:paraId="65C34E41" w14:textId="77777777" w:rsidR="00FB6DD3" w:rsidRPr="00FB6DD3" w:rsidRDefault="00FB6DD3" w:rsidP="00FB6DD3">
      <w:pPr>
        <w:pStyle w:val="ListParagraph"/>
        <w:widowControl w:val="0"/>
        <w:autoSpaceDE w:val="0"/>
        <w:autoSpaceDN w:val="0"/>
        <w:adjustRightInd w:val="0"/>
        <w:spacing w:line="240" w:lineRule="auto"/>
        <w:ind w:left="0"/>
        <w:contextualSpacing w:val="0"/>
        <w:jc w:val="both"/>
        <w:rPr>
          <w:rFonts w:ascii="Times New Roman" w:hAnsi="Times New Roman" w:cs="Times New Roman"/>
          <w:b/>
          <w:sz w:val="24"/>
          <w:szCs w:val="24"/>
        </w:rPr>
      </w:pPr>
      <w:r w:rsidRPr="00FB6DD3">
        <w:rPr>
          <w:rFonts w:ascii="Times New Roman" w:hAnsi="Times New Roman" w:cs="Times New Roman"/>
          <w:b/>
          <w:sz w:val="24"/>
          <w:szCs w:val="24"/>
        </w:rPr>
        <w:t>2.</w:t>
      </w:r>
      <w:r w:rsidRPr="00FB6DD3">
        <w:rPr>
          <w:rFonts w:ascii="Times New Roman" w:hAnsi="Times New Roman" w:cs="Times New Roman"/>
          <w:b/>
          <w:sz w:val="24"/>
          <w:szCs w:val="24"/>
        </w:rPr>
        <w:tab/>
        <w:t>The Constitution</w:t>
      </w:r>
    </w:p>
    <w:p w14:paraId="109E0F40"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b/>
          <w:bCs/>
          <w:sz w:val="24"/>
          <w:szCs w:val="24"/>
        </w:rPr>
      </w:pPr>
      <w:r w:rsidRPr="00985F1A">
        <w:rPr>
          <w:rFonts w:ascii="Times New Roman" w:hAnsi="Times New Roman" w:cs="Times New Roman"/>
          <w:b/>
          <w:sz w:val="24"/>
          <w:szCs w:val="24"/>
        </w:rPr>
        <w:t>The adoption of a new Constitution by Kenya in 2010 was a major step forward on women’s rights.</w:t>
      </w:r>
      <w:r w:rsidRPr="00985F1A">
        <w:rPr>
          <w:rFonts w:ascii="Times New Roman" w:hAnsi="Times New Roman" w:cs="Times New Roman"/>
          <w:sz w:val="24"/>
          <w:szCs w:val="24"/>
        </w:rPr>
        <w:t xml:space="preserve"> Women and men now formally have the right to equal treatment and opportunities in political, economic, cultural and social spheres without discrimination. </w:t>
      </w:r>
    </w:p>
    <w:p w14:paraId="1ABBB27D" w14:textId="77777777" w:rsidR="00985F1A" w:rsidRPr="00985F1A"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 Constitution provides that not more than two-thirds of the members of elective public bodies shall be of the same sex (including at the county level), and calls on political parties to respect gender equity.</w:t>
      </w:r>
      <w:r w:rsidRPr="00985F1A">
        <w:rPr>
          <w:rFonts w:ascii="Times New Roman" w:hAnsi="Times New Roman" w:cs="Times New Roman"/>
          <w:sz w:val="24"/>
          <w:szCs w:val="24"/>
        </w:rPr>
        <w:t xml:space="preserve"> The fact that the two-thirds rule applies to the county level is particularly relevant in the current context of decentralization. As a result of advocacy and sensitization campaigns related to the two-thirds rule, there has been an increase in the participation of women as voters and candidates. More women have been elected or nominated into the National Assembly, Senate and County Assemblies. </w:t>
      </w:r>
    </w:p>
    <w:p w14:paraId="2DBB2DA4" w14:textId="77777777" w:rsidR="00985F1A" w:rsidRPr="00FB6DD3" w:rsidRDefault="00985F1A" w:rsidP="007B5E57">
      <w:pPr>
        <w:pStyle w:val="ListParagraph"/>
        <w:widowControl w:val="0"/>
        <w:numPr>
          <w:ilvl w:val="0"/>
          <w:numId w:val="49"/>
        </w:numPr>
        <w:autoSpaceDE w:val="0"/>
        <w:autoSpaceDN w:val="0"/>
        <w:adjustRightInd w:val="0"/>
        <w:spacing w:line="240" w:lineRule="auto"/>
        <w:ind w:left="0" w:firstLine="0"/>
        <w:contextualSpacing w:val="0"/>
        <w:jc w:val="both"/>
        <w:rPr>
          <w:rFonts w:ascii="Times New Roman" w:hAnsi="Times New Roman" w:cs="Times New Roman"/>
          <w:b/>
          <w:bCs/>
          <w:sz w:val="24"/>
          <w:szCs w:val="24"/>
        </w:rPr>
      </w:pPr>
      <w:r w:rsidRPr="00985F1A">
        <w:rPr>
          <w:rFonts w:ascii="Times New Roman" w:hAnsi="Times New Roman" w:cs="Times New Roman"/>
          <w:b/>
          <w:sz w:val="24"/>
          <w:szCs w:val="24"/>
        </w:rPr>
        <w:t>The constitution also provides for numerous other rights for women, including those related to citizenship, marriage/divorce, land, and public service opportunities.</w:t>
      </w:r>
      <w:r w:rsidRPr="00985F1A">
        <w:rPr>
          <w:rFonts w:ascii="Times New Roman" w:hAnsi="Times New Roman" w:cs="Times New Roman"/>
          <w:sz w:val="24"/>
          <w:szCs w:val="24"/>
        </w:rPr>
        <w:t xml:space="preserve"> </w:t>
      </w:r>
      <w:r w:rsidRPr="00985F1A">
        <w:rPr>
          <w:rFonts w:ascii="Times New Roman" w:hAnsi="Times New Roman" w:cs="Times New Roman"/>
          <w:b/>
          <w:sz w:val="24"/>
          <w:szCs w:val="24"/>
        </w:rPr>
        <w:t>However, there is still much progress to be made in ensuring that women are able to realize these rights in practice.</w:t>
      </w:r>
      <w:r w:rsidRPr="00985F1A">
        <w:rPr>
          <w:rFonts w:ascii="Times New Roman" w:hAnsi="Times New Roman" w:cs="Times New Roman"/>
          <w:sz w:val="24"/>
          <w:szCs w:val="24"/>
        </w:rPr>
        <w:t xml:space="preserve"> Kenyan women are now able to pass on citizenship to their children regardless of whether or not they are married to Kenyans. </w:t>
      </w:r>
      <w:r w:rsidRPr="00985F1A">
        <w:rPr>
          <w:rFonts w:ascii="Times New Roman" w:hAnsi="Times New Roman" w:cs="Times New Roman"/>
          <w:bCs/>
          <w:sz w:val="24"/>
          <w:szCs w:val="24"/>
        </w:rPr>
        <w:t xml:space="preserve">Both </w:t>
      </w:r>
      <w:r w:rsidRPr="00985F1A">
        <w:rPr>
          <w:rFonts w:ascii="Times New Roman" w:hAnsi="Times New Roman" w:cs="Times New Roman"/>
          <w:sz w:val="24"/>
          <w:szCs w:val="24"/>
        </w:rPr>
        <w:t xml:space="preserve">parties to a marriage are now entitled to equal rights at the time of marriage, during the marriage and at the dissolution of the marriage. </w:t>
      </w:r>
      <w:r w:rsidRPr="00985F1A">
        <w:rPr>
          <w:rFonts w:ascii="Times New Roman" w:hAnsi="Times New Roman" w:cs="Times New Roman"/>
          <w:b/>
          <w:bCs/>
          <w:sz w:val="24"/>
          <w:szCs w:val="24"/>
        </w:rPr>
        <w:t xml:space="preserve"> </w:t>
      </w:r>
      <w:r w:rsidRPr="00985F1A">
        <w:rPr>
          <w:rFonts w:ascii="Times New Roman" w:hAnsi="Times New Roman" w:cs="Times New Roman"/>
          <w:sz w:val="24"/>
          <w:szCs w:val="24"/>
        </w:rPr>
        <w:t xml:space="preserve">Parental responsibility for children—as it is laid out in the constitution--is now shared between both parents regardless of marital status. The constitution also prohibits sex discrimination in law, customs and practices related to land and property in land, and provides </w:t>
      </w:r>
      <w:r w:rsidRPr="00985F1A">
        <w:rPr>
          <w:rFonts w:ascii="Times New Roman" w:hAnsi="Times New Roman" w:cs="Times New Roman"/>
          <w:sz w:val="24"/>
          <w:szCs w:val="24"/>
        </w:rPr>
        <w:lastRenderedPageBreak/>
        <w:t xml:space="preserve">for the protection of matrimonial property with special interest on the matrimonial home during and upon the termination of marriage. </w:t>
      </w:r>
      <w:r w:rsidRPr="00985F1A">
        <w:rPr>
          <w:rFonts w:ascii="Times New Roman" w:hAnsi="Times New Roman" w:cs="Times New Roman"/>
          <w:bCs/>
          <w:sz w:val="24"/>
          <w:szCs w:val="24"/>
        </w:rPr>
        <w:t xml:space="preserve">Finally, </w:t>
      </w:r>
      <w:r w:rsidRPr="00985F1A">
        <w:rPr>
          <w:rFonts w:ascii="Times New Roman" w:hAnsi="Times New Roman" w:cs="Times New Roman"/>
          <w:sz w:val="24"/>
          <w:szCs w:val="24"/>
        </w:rPr>
        <w:t>the constitution provides for equal opportunities for the appointment, training and advancement for men and women at all levels of public service.</w:t>
      </w:r>
    </w:p>
    <w:p w14:paraId="00D2CA51" w14:textId="77777777" w:rsidR="00FB6DD3" w:rsidRPr="00787936" w:rsidRDefault="00FB6DD3" w:rsidP="00FB6DD3">
      <w:pPr>
        <w:pStyle w:val="ListParagraph"/>
        <w:widowControl w:val="0"/>
        <w:numPr>
          <w:ilvl w:val="0"/>
          <w:numId w:val="44"/>
        </w:numPr>
        <w:autoSpaceDE w:val="0"/>
        <w:autoSpaceDN w:val="0"/>
        <w:adjustRightInd w:val="0"/>
        <w:spacing w:line="240" w:lineRule="auto"/>
        <w:ind w:left="0" w:firstLine="0"/>
        <w:contextualSpacing w:val="0"/>
        <w:jc w:val="both"/>
        <w:rPr>
          <w:rFonts w:ascii="Times New Roman" w:hAnsi="Times New Roman" w:cs="Times New Roman"/>
          <w:b/>
          <w:bCs/>
          <w:i/>
          <w:sz w:val="24"/>
          <w:szCs w:val="24"/>
        </w:rPr>
      </w:pPr>
      <w:r w:rsidRPr="00787936">
        <w:rPr>
          <w:rFonts w:ascii="Times New Roman" w:hAnsi="Times New Roman" w:cs="Times New Roman"/>
          <w:b/>
          <w:bCs/>
          <w:i/>
          <w:sz w:val="24"/>
          <w:szCs w:val="24"/>
        </w:rPr>
        <w:t>What the World Bank is Doing on Gender</w:t>
      </w:r>
    </w:p>
    <w:p w14:paraId="31A841D2"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The World Bank is committed to increasing the focus on gender issues in its work and is measuring this through gender-related indicators and targets in IDA16, for which gender equality is a Special Theme. </w:t>
      </w:r>
      <w:r w:rsidRPr="00985F1A">
        <w:rPr>
          <w:rFonts w:ascii="Times New Roman" w:hAnsi="Times New Roman" w:cs="Times New Roman"/>
          <w:sz w:val="24"/>
          <w:szCs w:val="24"/>
        </w:rPr>
        <w:t>This</w:t>
      </w:r>
      <w:r w:rsidRPr="00985F1A">
        <w:rPr>
          <w:rFonts w:ascii="Times New Roman" w:hAnsi="Times New Roman" w:cs="Times New Roman"/>
          <w:b/>
          <w:sz w:val="24"/>
          <w:szCs w:val="24"/>
        </w:rPr>
        <w:t xml:space="preserve"> </w:t>
      </w:r>
      <w:r w:rsidRPr="00985F1A">
        <w:rPr>
          <w:rFonts w:ascii="Times New Roman" w:hAnsi="Times New Roman" w:cs="Times New Roman"/>
          <w:sz w:val="24"/>
          <w:szCs w:val="24"/>
        </w:rPr>
        <w:t>includes a target of 60 percent of country portfolio activities to be gender-informed, and a target of 100 percent of CPSs to draw on the findings of a gender assessment (a requirement already established in OP4.20). Integrating gender into the CPS, particularly into the Results Framework, will allow the Bank to: (1) ensure clarity of purpose in the overall gender-related objectives of the country portfolio; (2) ensure alignment with the priorities of the Government of Kenya; (3) highlight progress; and (4) ensure effective accountability of the CMU for achieving such progress.</w:t>
      </w:r>
    </w:p>
    <w:p w14:paraId="1EF1D834"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In order to assist with the effective integration of gender into the CPS, a gender portfolio review was undertaken by the CMU, with support from the Africa Region Gender Practice. This review </w:t>
      </w:r>
      <w:r w:rsidRPr="00985F1A">
        <w:rPr>
          <w:rFonts w:ascii="Times New Roman" w:hAnsi="Times New Roman" w:cs="Times New Roman"/>
          <w:sz w:val="24"/>
          <w:szCs w:val="24"/>
        </w:rPr>
        <w:t xml:space="preserve">provides an assessment of the coverage of gender work in the current portfolio, with a focus on the integration of gender in project analysis, actions, and M&amp;E, as outlined in project preparation documents. </w:t>
      </w:r>
    </w:p>
    <w:p w14:paraId="3F0009BC"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The main focus of the gender portfolio review is the portfolio of 25 active and pipeline IDA projects – the review finds that 19 out of these 25 projects (76 percent) are gender-informed.  </w:t>
      </w:r>
      <w:r w:rsidRPr="00985F1A">
        <w:rPr>
          <w:rFonts w:ascii="Times New Roman" w:hAnsi="Times New Roman" w:cs="Times New Roman"/>
          <w:sz w:val="24"/>
          <w:szCs w:val="24"/>
        </w:rPr>
        <w:t>The current portfolio is supporting a wide range of gender-related outcomes, including: women’s decision-making capacity at community and project levels; women’s access to financial resources; rural women’s income generation and agricultural productivity; female youth employment opportunities; women’s access to land and sustainable land management capacity; access to basic infrastructure of importance to key gender issues (water, sanitation, health); women’s vulnerability to HIV/AIDS; maternal health; and women’s access to justice.</w:t>
      </w:r>
    </w:p>
    <w:p w14:paraId="7F825463"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 World Bank’s Kenya portfolio includes some gender-informed work that provides good opportunities for leveraging the current development and political context of the country.</w:t>
      </w:r>
      <w:r w:rsidRPr="00985F1A">
        <w:rPr>
          <w:rFonts w:ascii="Times New Roman" w:hAnsi="Times New Roman" w:cs="Times New Roman"/>
          <w:sz w:val="24"/>
          <w:szCs w:val="24"/>
        </w:rPr>
        <w:t xml:space="preserve"> The focus on female youth in the Youth Empowerment Project could enable the country to leverage the skills of women and take advantage of the demographic dividend, with over 40 percent of Kenya’s population estimated to be under 15 years of age. The Bank’s portfolio also presents opportunities for ensuring that the current process of devolution is gender informed: several projects include measures to involve women in project and community level decision-making, and the Accountable Devolution project will allow the team to track changes in men’s and women’s perceptions of governance, as the devolution process unfolds. </w:t>
      </w:r>
    </w:p>
    <w:p w14:paraId="45EC4F74"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The Bank’s coverage of gender in ESW work is low, with some missed opportunities that should be addressed in the body of work being planned for the coming period. </w:t>
      </w:r>
      <w:r w:rsidRPr="00985F1A">
        <w:rPr>
          <w:rFonts w:ascii="Times New Roman" w:hAnsi="Times New Roman" w:cs="Times New Roman"/>
          <w:sz w:val="24"/>
          <w:szCs w:val="24"/>
        </w:rPr>
        <w:t xml:space="preserve">The team should ensure that it generates sufficient gender knowledge to prioritize the most suitable investments in gender given the situation on the ground—and to find ways to mainstream gender in the most suitable way in pipeline interventions. There are some good examples of gender-informed knowledge work being undertaken through other products: the Youth Empowerment Project plans to conduct a gender-sensitive impact evaluation, which will provide valuable </w:t>
      </w:r>
      <w:r w:rsidRPr="00985F1A">
        <w:rPr>
          <w:rFonts w:ascii="Times New Roman" w:hAnsi="Times New Roman" w:cs="Times New Roman"/>
          <w:sz w:val="24"/>
          <w:szCs w:val="24"/>
        </w:rPr>
        <w:lastRenderedPageBreak/>
        <w:t xml:space="preserve">knowledge on the effectiveness of interventions to improve young women’s entry into the labor market; and the Gender Policy Note, ‘Tapping the Potential of Farming in Kenya’ (2013), contributes to the knowledge base on gender differences in agriculture and access to inputs. In addition, there are some good examples of knowledge being generated within projects. For example, the Kenya Agricultural Productivity and Agribusiness Project will contribute to a sector gender policy, and the Petroleum Technical Assistance Project (P145234) plans a sector gender analysis, which would be highly appropriate given the burgeoning oil sector. </w:t>
      </w:r>
    </w:p>
    <w:p w14:paraId="15B0E7CA"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 team may want to consider producing a new Kenya Country Gender Assessment or to include gender as part of a joint Poverty and Gender Assessment.</w:t>
      </w:r>
      <w:r w:rsidRPr="00985F1A">
        <w:rPr>
          <w:rFonts w:ascii="Times New Roman" w:hAnsi="Times New Roman" w:cs="Times New Roman"/>
          <w:sz w:val="24"/>
          <w:szCs w:val="24"/>
        </w:rPr>
        <w:t xml:space="preserve"> The current CPS is informed by numerous gender diagnostics and an extensive assessment of recent literature and statistics on gender that was carried out as an additional component of the gender portfolio review. However, the most recent examples of country gender diagnostics are fairly old and predate the new constitution: e.g. from 2003 (World Bank Country Gender Assessment), 2007 (AfDB Country Gender Profile), and 2008 (World Bank Poverty and Inequality Assessment)</w:t>
      </w:r>
      <w:r w:rsidRPr="00985F1A">
        <w:rPr>
          <w:rStyle w:val="FootnoteReference"/>
          <w:rFonts w:ascii="Times New Roman" w:hAnsi="Times New Roman" w:cs="Times New Roman"/>
          <w:sz w:val="24"/>
          <w:szCs w:val="24"/>
        </w:rPr>
        <w:footnoteReference w:id="30"/>
      </w:r>
      <w:r w:rsidRPr="00985F1A">
        <w:rPr>
          <w:rFonts w:ascii="Times New Roman" w:hAnsi="Times New Roman" w:cs="Times New Roman"/>
          <w:sz w:val="24"/>
          <w:szCs w:val="24"/>
        </w:rPr>
        <w:t>. For the team to ensure compliance with OP 4.20, the CPS needs to integrate the findings of one of the existing gender diagnostics into the CPS—it can be produced by the Bank or another agency, as long as it is explicitly referenced as feeding into the CPS. If an assessment cannot be undertaken by the Bank or another institution within this CPS preparation period, this should be mentioned in the CPS along with a timeline for when a gender assessment will be undertaken. Senior Management is now reviewing all CPSs, preventing any from going to the Board of Executive Directors unless it is in compliance with OP4.20. Finally, the team could use impact evaluations to generate knowledge on the effectiveness of specific interventions, allowing the team to adjust its approach to certain gender issues as it moves forward. In this regard, the team may want to consult with the Gender Innovation Lab of the Africa Region Gender Practice, which specializes in designing rigorous impact evaluations focused on key gender policy questions.</w:t>
      </w:r>
    </w:p>
    <w:p w14:paraId="3EB8F145" w14:textId="77777777" w:rsid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There are a few sectors in which the team may consider expanding their focus, with particular attention to gender.</w:t>
      </w:r>
      <w:r w:rsidRPr="00985F1A">
        <w:rPr>
          <w:rFonts w:ascii="Times New Roman" w:hAnsi="Times New Roman" w:cs="Times New Roman"/>
          <w:sz w:val="24"/>
          <w:szCs w:val="24"/>
        </w:rPr>
        <w:t xml:space="preserve"> Despite continuing gender gaps, the team does not have any operations in the education sector. However, increasing the attention to gender in the integrated education database EFO could serve as a good analytical starting point to inform any future gender-informed re-engagement in the education sector. Given the increasing importance of the oil industry to the Kenyan economy, the team could also consider using the sector gender analysis planned for the Petroleum Technical Assistance Project as an opportunity to develop a gender-informed oil operation. Given the relative competitiveness of Kenya’s ICT sector, the country team could also consider increasing attention to gender in the KTCIP. Not only could the sector contribute to female employment, but internet connectivity and e-government applications could have particular implications for women, given their generally lower geographical mobility (due to personal safety, culture, access to private transport) and greater time-poverty (due to unequal domestic responsibilities). In the context of the new constitution, the team could carry out analytical work to examine the obstacles preventing women from realizing their rights in practice.</w:t>
      </w:r>
    </w:p>
    <w:p w14:paraId="580CC971" w14:textId="77777777" w:rsidR="00FB6DD3" w:rsidRPr="00787936" w:rsidRDefault="00FB6DD3" w:rsidP="00FB6DD3">
      <w:pPr>
        <w:pStyle w:val="ListParagraph"/>
        <w:numPr>
          <w:ilvl w:val="0"/>
          <w:numId w:val="44"/>
        </w:numPr>
        <w:spacing w:line="240" w:lineRule="auto"/>
        <w:ind w:left="0" w:firstLine="0"/>
        <w:contextualSpacing w:val="0"/>
        <w:jc w:val="both"/>
        <w:rPr>
          <w:rFonts w:ascii="Times New Roman" w:hAnsi="Times New Roman" w:cs="Times New Roman"/>
          <w:b/>
          <w:i/>
          <w:sz w:val="24"/>
          <w:szCs w:val="24"/>
        </w:rPr>
      </w:pPr>
      <w:r w:rsidRPr="00787936">
        <w:rPr>
          <w:rFonts w:ascii="Times New Roman" w:hAnsi="Times New Roman" w:cs="Times New Roman"/>
          <w:b/>
          <w:i/>
          <w:sz w:val="24"/>
          <w:szCs w:val="24"/>
        </w:rPr>
        <w:t>Moving Forward: A Strategy for the World Bank</w:t>
      </w:r>
    </w:p>
    <w:p w14:paraId="7D98EB09" w14:textId="77777777" w:rsidR="00985F1A" w:rsidRPr="00985F1A"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lastRenderedPageBreak/>
        <w:t>With the exception of the lack of a recent country gender assessment and the low levels of gender-informed ESW, the country portfolio is looking strong on gender, with projects having met and exceeded the gender targets related to IDA16 (e.g. 60% or projects rated gender-informed and 100 percent of the CPSs).</w:t>
      </w:r>
      <w:r w:rsidRPr="00985F1A">
        <w:rPr>
          <w:rFonts w:ascii="Times New Roman" w:hAnsi="Times New Roman" w:cs="Times New Roman"/>
          <w:sz w:val="24"/>
          <w:szCs w:val="24"/>
        </w:rPr>
        <w:t xml:space="preserve"> This CPS process is a good opportunity to put the program ahead of the curve on coming gender commitments associated with the IDA17 replenishment.</w:t>
      </w:r>
    </w:p>
    <w:p w14:paraId="6E7DA331" w14:textId="77777777" w:rsidR="00985F1A" w:rsidRPr="00CA0174" w:rsidRDefault="00985F1A" w:rsidP="007B5E57">
      <w:pPr>
        <w:pStyle w:val="ListParagraph"/>
        <w:numPr>
          <w:ilvl w:val="0"/>
          <w:numId w:val="49"/>
        </w:numPr>
        <w:spacing w:line="240" w:lineRule="auto"/>
        <w:ind w:left="0" w:firstLine="0"/>
        <w:contextualSpacing w:val="0"/>
        <w:jc w:val="both"/>
        <w:rPr>
          <w:rFonts w:ascii="Times New Roman" w:hAnsi="Times New Roman" w:cs="Times New Roman"/>
          <w:b/>
          <w:sz w:val="24"/>
          <w:szCs w:val="24"/>
        </w:rPr>
      </w:pPr>
      <w:r w:rsidRPr="00985F1A">
        <w:rPr>
          <w:rFonts w:ascii="Times New Roman" w:hAnsi="Times New Roman" w:cs="Times New Roman"/>
          <w:b/>
          <w:sz w:val="24"/>
          <w:szCs w:val="24"/>
        </w:rPr>
        <w:t>Gender will be made a special theme again for IDA17 when replenishment negotiations conclude in December 2013, leading to additional targets and monitoring on gender in the IDA portfolio.</w:t>
      </w:r>
      <w:r w:rsidRPr="00985F1A">
        <w:rPr>
          <w:rFonts w:ascii="Times New Roman" w:hAnsi="Times New Roman" w:cs="Times New Roman"/>
          <w:sz w:val="24"/>
          <w:szCs w:val="24"/>
        </w:rPr>
        <w:t xml:space="preserve"> In particular, while design-stage integration of gender in the portfolio is now good in most IDA countries, we are performing poorly in follow-up: supervision reports and completion reports more often than not fail to report on any gender-relevant outcomes.  While the precise targets are yet to be finalized, Senior Management has stressed the importance of moving beyond a focus on gender analysis and project design, to establish and pursue ambitious and time-bound targets, effectively tracking results and outcomes. There will also be a stronger emphasis on gender in supervision and completion. IDA CPSs are likely to be required to be gender-informed in all three of the dimensions tracked: drawing on previous analysis (a country gender assessment), in the proposed actions (in the results matrix), and in the monitoring indicators and evaluation efforts.</w:t>
      </w:r>
    </w:p>
    <w:p w14:paraId="64EA706E" w14:textId="77777777" w:rsidR="00985F1A" w:rsidRPr="00985F1A" w:rsidRDefault="00CA0174" w:rsidP="00636B62">
      <w:pPr>
        <w:tabs>
          <w:tab w:val="left" w:pos="54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B</w:t>
      </w:r>
      <w:r w:rsidR="00985F1A" w:rsidRPr="00985F1A">
        <w:rPr>
          <w:rFonts w:ascii="Times New Roman" w:hAnsi="Times New Roman" w:cs="Times New Roman"/>
          <w:b/>
          <w:sz w:val="24"/>
          <w:szCs w:val="24"/>
        </w:rPr>
        <w:t>ox 1. IFC’s support to mainstreaming gender issues</w:t>
      </w:r>
    </w:p>
    <w:tbl>
      <w:tblPr>
        <w:tblStyle w:val="TableGrid"/>
        <w:tblW w:w="0" w:type="auto"/>
        <w:jc w:val="center"/>
        <w:tblLook w:val="04A0" w:firstRow="1" w:lastRow="0" w:firstColumn="1" w:lastColumn="0" w:noHBand="0" w:noVBand="1"/>
      </w:tblPr>
      <w:tblGrid>
        <w:gridCol w:w="8866"/>
      </w:tblGrid>
      <w:tr w:rsidR="00985F1A" w:rsidRPr="00985F1A" w14:paraId="3033D738" w14:textId="77777777" w:rsidTr="00985F1A">
        <w:trPr>
          <w:trHeight w:val="2510"/>
          <w:jc w:val="center"/>
        </w:trPr>
        <w:tc>
          <w:tcPr>
            <w:tcW w:w="8866" w:type="dxa"/>
            <w:shd w:val="clear" w:color="auto" w:fill="F2F2F2" w:themeFill="background1" w:themeFillShade="F2"/>
          </w:tcPr>
          <w:p w14:paraId="10E81FE1" w14:textId="77777777" w:rsidR="00985F1A" w:rsidRPr="00CA0174" w:rsidRDefault="00985F1A" w:rsidP="00CA0174">
            <w:pPr>
              <w:spacing w:line="0" w:lineRule="atLeast"/>
              <w:ind w:firstLine="0"/>
              <w:rPr>
                <w:rFonts w:ascii="Times New Roman" w:hAnsi="Times New Roman" w:cs="Times New Roman"/>
                <w:b/>
                <w:color w:val="000000"/>
                <w:sz w:val="20"/>
                <w:szCs w:val="20"/>
              </w:rPr>
            </w:pPr>
            <w:r w:rsidRPr="00CA0174">
              <w:rPr>
                <w:rFonts w:ascii="Times New Roman" w:hAnsi="Times New Roman" w:cs="Times New Roman"/>
                <w:b/>
                <w:color w:val="000000"/>
                <w:sz w:val="20"/>
                <w:szCs w:val="20"/>
              </w:rPr>
              <w:t>The IFC portfolio includes the following gender-focused activities:</w:t>
            </w:r>
          </w:p>
          <w:p w14:paraId="341BAE24"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An agribusiness and value chain diagnostic and gender tool kit will be used to mainstream gender in all IFC agribusiness activities aimed at improving the productivity of smallholder tea producers.</w:t>
            </w:r>
          </w:p>
          <w:p w14:paraId="24F465C9"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The SME Banking Advisory program incorporates a gender component that aims to improve financial services provided to women by training bank staff and female customers and supporting the development of specific products aimed at women.</w:t>
            </w:r>
          </w:p>
          <w:p w14:paraId="4EF1872B"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Numerous gender-relevant activities in the health sector:</w:t>
            </w:r>
          </w:p>
          <w:p w14:paraId="22DB4A79"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 xml:space="preserve">The Health in Africa Initiative (HiA) recently completed a gender assessment of the private health sector in 6 countries to document the disparities that prevent the equitable participation of men, women and youth in the sector. HiA has also supported the development of the health bill, which seeks to ensure a level playing field for men and women health practitioners. </w:t>
            </w:r>
          </w:p>
          <w:p w14:paraId="51C4D33B"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 xml:space="preserve">Under the African Health Markets for Equity program, the IFC is seeking to reform National Hospital Insurance Fund regulation that does not allow nurse-owned/run clinics to be part of its accredited facilities (the majority of nurses in Kenya are female). </w:t>
            </w:r>
          </w:p>
          <w:p w14:paraId="06E85F05"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The IFC is currently rolling out a health insurance subsidy program targeting the poorest people who cannot afford to pay insurance premiums.</w:t>
            </w:r>
          </w:p>
          <w:p w14:paraId="1B91FB77" w14:textId="77777777" w:rsidR="00985F1A" w:rsidRPr="008329FF" w:rsidRDefault="00985F1A" w:rsidP="008329FF">
            <w:pPr>
              <w:pStyle w:val="ListParagraph"/>
              <w:numPr>
                <w:ilvl w:val="0"/>
                <w:numId w:val="34"/>
              </w:numPr>
              <w:spacing w:line="0" w:lineRule="atLeast"/>
              <w:rPr>
                <w:rFonts w:ascii="Times New Roman" w:hAnsi="Times New Roman" w:cs="Times New Roman"/>
                <w:color w:val="000000"/>
                <w:sz w:val="20"/>
                <w:szCs w:val="20"/>
              </w:rPr>
            </w:pPr>
            <w:r w:rsidRPr="008329FF">
              <w:rPr>
                <w:rFonts w:ascii="Times New Roman" w:hAnsi="Times New Roman" w:cs="Times New Roman"/>
                <w:color w:val="000000"/>
                <w:sz w:val="20"/>
                <w:szCs w:val="20"/>
              </w:rPr>
              <w:t>The Lighting Africa program includes a focus on inclusive business models that will integrate women’s groups into the supply chain of off-grid lighting products in the rural market. The program is also engaging these groups to adopt modern off-grid technologies that will help women to undertake more income generating activities that are today restricted to the day time.</w:t>
            </w:r>
          </w:p>
          <w:p w14:paraId="4A68C3FE" w14:textId="77777777" w:rsidR="00985F1A" w:rsidRPr="008329FF" w:rsidRDefault="00985F1A" w:rsidP="008329FF">
            <w:pPr>
              <w:pStyle w:val="ListParagraph"/>
              <w:numPr>
                <w:ilvl w:val="0"/>
                <w:numId w:val="34"/>
              </w:numPr>
              <w:tabs>
                <w:tab w:val="left" w:pos="540"/>
              </w:tabs>
              <w:spacing w:line="0" w:lineRule="atLeast"/>
              <w:rPr>
                <w:rFonts w:ascii="Times New Roman" w:hAnsi="Times New Roman" w:cs="Times New Roman"/>
                <w:sz w:val="24"/>
                <w:szCs w:val="24"/>
              </w:rPr>
            </w:pPr>
            <w:r w:rsidRPr="008329FF">
              <w:rPr>
                <w:rFonts w:ascii="Times New Roman" w:hAnsi="Times New Roman" w:cs="Times New Roman"/>
                <w:color w:val="000000"/>
                <w:sz w:val="20"/>
                <w:szCs w:val="20"/>
              </w:rPr>
              <w:t>Activities supporting clean cooking (planed for Q3 &amp;4 FY14) will provide women with entrepreneurship training, consumer education, and the integration of women into supply chains.</w:t>
            </w:r>
          </w:p>
        </w:tc>
      </w:tr>
    </w:tbl>
    <w:p w14:paraId="4FD4410E" w14:textId="77777777" w:rsidR="00985F1A" w:rsidRPr="00985F1A" w:rsidRDefault="00985F1A" w:rsidP="00636B62">
      <w:pPr>
        <w:spacing w:line="240" w:lineRule="auto"/>
        <w:rPr>
          <w:rFonts w:ascii="Times New Roman" w:hAnsi="Times New Roman" w:cs="Times New Roman"/>
          <w:b/>
          <w:sz w:val="24"/>
          <w:szCs w:val="24"/>
        </w:rPr>
        <w:sectPr w:rsidR="00985F1A" w:rsidRPr="00985F1A" w:rsidSect="00F96822">
          <w:footnotePr>
            <w:numRestart w:val="eachSect"/>
          </w:footnotePr>
          <w:endnotePr>
            <w:numFmt w:val="decimal"/>
          </w:endnotePr>
          <w:pgSz w:w="12240" w:h="15840" w:code="1"/>
          <w:pgMar w:top="1440" w:right="1440" w:bottom="1440" w:left="1440" w:header="708" w:footer="708" w:gutter="0"/>
          <w:cols w:space="708"/>
          <w:docGrid w:linePitch="360"/>
        </w:sectPr>
      </w:pPr>
    </w:p>
    <w:p w14:paraId="1CD09B64" w14:textId="77777777" w:rsidR="00B3553D" w:rsidRPr="00B3553D" w:rsidRDefault="00B3553D" w:rsidP="00B3553D">
      <w:pPr>
        <w:pStyle w:val="Caption"/>
        <w:spacing w:after="240"/>
        <w:jc w:val="center"/>
        <w:rPr>
          <w:rFonts w:ascii="Times New Roman" w:hAnsi="Times New Roman" w:cs="Times New Roman"/>
          <w:color w:val="auto"/>
          <w:sz w:val="24"/>
          <w:szCs w:val="24"/>
        </w:rPr>
      </w:pPr>
      <w:bookmarkStart w:id="16" w:name="_Toc387342574"/>
      <w:r w:rsidRPr="00B3553D">
        <w:rPr>
          <w:rFonts w:ascii="Times New Roman" w:hAnsi="Times New Roman" w:cs="Times New Roman"/>
          <w:color w:val="auto"/>
          <w:sz w:val="24"/>
          <w:szCs w:val="24"/>
        </w:rPr>
        <w:lastRenderedPageBreak/>
        <w:t xml:space="preserve">Annex </w:t>
      </w:r>
      <w:r w:rsidRPr="00B3553D">
        <w:rPr>
          <w:rFonts w:ascii="Times New Roman" w:hAnsi="Times New Roman" w:cs="Times New Roman"/>
          <w:color w:val="auto"/>
          <w:sz w:val="24"/>
          <w:szCs w:val="24"/>
        </w:rPr>
        <w:fldChar w:fldCharType="begin"/>
      </w:r>
      <w:r w:rsidRPr="00B3553D">
        <w:rPr>
          <w:rFonts w:ascii="Times New Roman" w:hAnsi="Times New Roman" w:cs="Times New Roman"/>
          <w:color w:val="auto"/>
          <w:sz w:val="24"/>
          <w:szCs w:val="24"/>
        </w:rPr>
        <w:instrText xml:space="preserve"> SEQ Annex \* ARABIC </w:instrText>
      </w:r>
      <w:r w:rsidRPr="00B3553D">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13</w:t>
      </w:r>
      <w:r w:rsidRPr="00B3553D">
        <w:rPr>
          <w:rFonts w:ascii="Times New Roman" w:hAnsi="Times New Roman" w:cs="Times New Roman"/>
          <w:color w:val="auto"/>
          <w:sz w:val="24"/>
          <w:szCs w:val="24"/>
        </w:rPr>
        <w:fldChar w:fldCharType="end"/>
      </w:r>
      <w:r w:rsidRPr="00B3553D">
        <w:rPr>
          <w:rFonts w:ascii="Times New Roman" w:hAnsi="Times New Roman" w:cs="Times New Roman"/>
          <w:color w:val="auto"/>
          <w:sz w:val="24"/>
          <w:szCs w:val="24"/>
        </w:rPr>
        <w:t>: Client and Stakeholder Views</w:t>
      </w:r>
      <w:bookmarkEnd w:id="16"/>
    </w:p>
    <w:p w14:paraId="09E614FC" w14:textId="77777777" w:rsidR="008329FF" w:rsidRPr="00985F1A"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Pr>
          <w:rFonts w:ascii="Times New Roman" w:hAnsi="Times New Roman" w:cs="Times New Roman"/>
          <w:b/>
          <w:sz w:val="24"/>
          <w:szCs w:val="24"/>
        </w:rPr>
        <w:t xml:space="preserve">In formulating </w:t>
      </w:r>
      <w:r w:rsidRPr="00985F1A">
        <w:rPr>
          <w:rFonts w:ascii="Times New Roman" w:hAnsi="Times New Roman" w:cs="Times New Roman"/>
          <w:b/>
          <w:sz w:val="24"/>
          <w:szCs w:val="24"/>
        </w:rPr>
        <w:t>the FY14-FY18 CPS</w:t>
      </w:r>
      <w:r>
        <w:rPr>
          <w:rFonts w:ascii="Times New Roman" w:hAnsi="Times New Roman" w:cs="Times New Roman"/>
          <w:b/>
          <w:sz w:val="24"/>
          <w:szCs w:val="24"/>
        </w:rPr>
        <w:t>,</w:t>
      </w:r>
      <w:r w:rsidRPr="00985F1A">
        <w:rPr>
          <w:rFonts w:ascii="Times New Roman" w:hAnsi="Times New Roman" w:cs="Times New Roman"/>
          <w:b/>
          <w:sz w:val="24"/>
          <w:szCs w:val="24"/>
        </w:rPr>
        <w:t xml:space="preserve"> the Bank</w:t>
      </w:r>
      <w:r>
        <w:rPr>
          <w:rFonts w:ascii="Times New Roman" w:hAnsi="Times New Roman" w:cs="Times New Roman"/>
          <w:b/>
          <w:sz w:val="24"/>
          <w:szCs w:val="24"/>
        </w:rPr>
        <w:t xml:space="preserve"> Group has drawn from relevant sources. </w:t>
      </w:r>
      <w:r w:rsidRPr="00B154E7">
        <w:rPr>
          <w:rFonts w:ascii="Times New Roman" w:hAnsi="Times New Roman" w:cs="Times New Roman"/>
          <w:b/>
          <w:sz w:val="24"/>
          <w:szCs w:val="24"/>
        </w:rPr>
        <w:t>Extensive consultations involved stakeholders in government, the private sector, development partners, NGOs, women’s groups, the Association of County Governors, and 24 out of 47 new counties in Kenya.</w:t>
      </w:r>
      <w:r>
        <w:rPr>
          <w:rFonts w:ascii="Times New Roman" w:hAnsi="Times New Roman" w:cs="Times New Roman"/>
          <w:b/>
          <w:sz w:val="24"/>
          <w:szCs w:val="24"/>
        </w:rPr>
        <w:t xml:space="preserve"> </w:t>
      </w:r>
      <w:r w:rsidRPr="00985F1A">
        <w:rPr>
          <w:rFonts w:ascii="Times New Roman" w:hAnsi="Times New Roman" w:cs="Times New Roman"/>
          <w:b/>
          <w:sz w:val="24"/>
          <w:szCs w:val="24"/>
        </w:rPr>
        <w:t xml:space="preserve"> </w:t>
      </w:r>
      <w:r w:rsidRPr="00985F1A">
        <w:rPr>
          <w:rFonts w:ascii="Times New Roman" w:hAnsi="Times New Roman" w:cs="Times New Roman"/>
          <w:sz w:val="24"/>
          <w:szCs w:val="24"/>
        </w:rPr>
        <w:t xml:space="preserve">Key insights </w:t>
      </w:r>
      <w:r>
        <w:rPr>
          <w:rFonts w:ascii="Times New Roman" w:hAnsi="Times New Roman" w:cs="Times New Roman"/>
          <w:sz w:val="24"/>
          <w:szCs w:val="24"/>
        </w:rPr>
        <w:t>are summarized in the boxes below.</w:t>
      </w:r>
    </w:p>
    <w:p w14:paraId="5ABFD03A" w14:textId="77777777" w:rsidR="008329FF" w:rsidRPr="00985F1A"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A wider group of the Bank’s stakeholders were also invited to provide their feedback and insights through the latest client survey undertaken in 2012.</w:t>
      </w:r>
      <w:r w:rsidRPr="00985F1A">
        <w:rPr>
          <w:rFonts w:ascii="Times New Roman" w:hAnsi="Times New Roman" w:cs="Times New Roman"/>
          <w:sz w:val="24"/>
          <w:szCs w:val="24"/>
        </w:rPr>
        <w:t xml:space="preserve"> Their responses raised a number of important questions and issues. These include the following issues and challenges (together with page references from the Client Survey) for the country team:</w:t>
      </w:r>
    </w:p>
    <w:p w14:paraId="0BA42241" w14:textId="77777777" w:rsidR="008329FF" w:rsidRPr="00985F1A"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 xml:space="preserve">WBG efficiency: </w:t>
      </w:r>
      <w:r w:rsidRPr="002F4306">
        <w:rPr>
          <w:rFonts w:ascii="Times New Roman" w:hAnsi="Times New Roman" w:cs="Times New Roman"/>
          <w:sz w:val="24"/>
          <w:szCs w:val="24"/>
        </w:rPr>
        <w:t>According to stakeholders, the Bank’s greatest value lies in its financial resources. 53% of all respondents took this position in the 2012 survey (and 61% in the 2005 survey).</w:t>
      </w:r>
      <w:r w:rsidRPr="00985F1A">
        <w:rPr>
          <w:rFonts w:ascii="Times New Roman" w:hAnsi="Times New Roman" w:cs="Times New Roman"/>
          <w:b/>
          <w:sz w:val="24"/>
          <w:szCs w:val="24"/>
        </w:rPr>
        <w:t xml:space="preserve"> </w:t>
      </w:r>
      <w:r w:rsidRPr="00985F1A">
        <w:rPr>
          <w:rFonts w:ascii="Times New Roman" w:hAnsi="Times New Roman" w:cs="Times New Roman"/>
          <w:sz w:val="24"/>
          <w:szCs w:val="24"/>
        </w:rPr>
        <w:t>Yet stakeholders rate its ability to disburse promptly very low. Given the fundamental importance of the Bank’s financial resources to its clients, and the relatively low level of satisfaction among respondents with respect to speed of disbursement, the challenge for the Bank is to continue to search for ways of increasing the  efficiency of disbursement.</w:t>
      </w:r>
    </w:p>
    <w:p w14:paraId="32C2E1A5" w14:textId="77777777" w:rsidR="008329FF"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CD3A12">
        <w:rPr>
          <w:rFonts w:ascii="Times New Roman" w:hAnsi="Times New Roman" w:cs="Times New Roman"/>
          <w:b/>
          <w:sz w:val="24"/>
          <w:szCs w:val="24"/>
        </w:rPr>
        <w:t>Sectors:</w:t>
      </w:r>
      <w:r w:rsidRPr="00CD3A12">
        <w:rPr>
          <w:rFonts w:ascii="Times New Roman" w:hAnsi="Times New Roman" w:cs="Times New Roman"/>
          <w:sz w:val="24"/>
          <w:szCs w:val="24"/>
        </w:rPr>
        <w:t xml:space="preserve"> Agriculture, education, and job creation are the top three sectors for poverty reduction and growth according to stakeholders; yet in some respects, for reasons discussed above in this CPSCR (see Annex 2), the Bank has struggled to have an impact in these sectors during FY10-13. In agriculture, the challenges lie particularly in the overall policy and regulatory framework, transport, access, and storage. In education, the Bank’s experience has been traumatic with the suspension of its flagship education project as a result of financial irregularities. </w:t>
      </w:r>
      <w:r>
        <w:rPr>
          <w:rFonts w:ascii="Times New Roman" w:hAnsi="Times New Roman" w:cs="Times New Roman"/>
          <w:sz w:val="24"/>
          <w:szCs w:val="24"/>
        </w:rPr>
        <w:t xml:space="preserve">Job creation </w:t>
      </w:r>
      <w:r w:rsidRPr="000F3C88">
        <w:rPr>
          <w:rFonts w:ascii="Times New Roman" w:hAnsi="Times New Roman" w:cs="Times New Roman"/>
          <w:sz w:val="24"/>
          <w:szCs w:val="24"/>
        </w:rPr>
        <w:t xml:space="preserve">was also a theme that was emphasized in the July 2013 Nairobi CPS workshop by external speakers. Nearly 80% of Kenya’s population is 35 years old or less while young people aged between 18 and 34 comprise a third of the population. Population growth has outpaced economic growth and the unemployment rate among young people is 12.7% or twice the national average. Yet this is the sector where stakeholders rate the Bank second lowest. </w:t>
      </w:r>
    </w:p>
    <w:p w14:paraId="79573C19" w14:textId="77777777" w:rsidR="008329FF" w:rsidRPr="000F3C88"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0F3C88">
        <w:rPr>
          <w:rFonts w:ascii="Times New Roman" w:hAnsi="Times New Roman" w:cs="Times New Roman"/>
          <w:b/>
          <w:sz w:val="24"/>
          <w:szCs w:val="24"/>
        </w:rPr>
        <w:t>Cross-cutting issues:</w:t>
      </w:r>
      <w:r w:rsidRPr="000F3C88">
        <w:rPr>
          <w:rFonts w:ascii="Times New Roman" w:hAnsi="Times New Roman" w:cs="Times New Roman"/>
          <w:sz w:val="24"/>
          <w:szCs w:val="24"/>
        </w:rPr>
        <w:t xml:space="preserve"> External speakers at the July CPS workshop in Nairobi emphasized the importance of addressing the position of women. Respondents were asked the question ‘which three areas of development would contribute most to reducing poverty in Kenya’? Just 2% of respondents cited gender, 3% environmental sustainability and 4% natural resource management. </w:t>
      </w:r>
    </w:p>
    <w:p w14:paraId="22A97E06" w14:textId="77777777" w:rsidR="008329FF" w:rsidRPr="00CD3A12"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CD3A12">
        <w:rPr>
          <w:rFonts w:ascii="Times New Roman" w:hAnsi="Times New Roman" w:cs="Times New Roman"/>
          <w:b/>
          <w:sz w:val="24"/>
          <w:szCs w:val="24"/>
        </w:rPr>
        <w:t>Financial resources:</w:t>
      </w:r>
      <w:r w:rsidRPr="00CD3A12">
        <w:rPr>
          <w:rFonts w:ascii="Times New Roman" w:hAnsi="Times New Roman" w:cs="Times New Roman"/>
          <w:sz w:val="24"/>
          <w:szCs w:val="24"/>
        </w:rPr>
        <w:t xml:space="preserve"> According to stakeholders the Bank should be playing a very significant role in Kenya’s development </w:t>
      </w:r>
      <w:r>
        <w:rPr>
          <w:rFonts w:ascii="Times New Roman" w:hAnsi="Times New Roman" w:cs="Times New Roman"/>
          <w:sz w:val="24"/>
          <w:szCs w:val="24"/>
        </w:rPr>
        <w:t>by providing</w:t>
      </w:r>
      <w:r w:rsidRPr="00CD3A12">
        <w:rPr>
          <w:rFonts w:ascii="Times New Roman" w:hAnsi="Times New Roman" w:cs="Times New Roman"/>
          <w:sz w:val="24"/>
          <w:szCs w:val="24"/>
        </w:rPr>
        <w:t xml:space="preserve"> financial resources</w:t>
      </w:r>
      <w:r>
        <w:rPr>
          <w:rFonts w:ascii="Times New Roman" w:hAnsi="Times New Roman" w:cs="Times New Roman"/>
          <w:sz w:val="24"/>
          <w:szCs w:val="24"/>
        </w:rPr>
        <w:t xml:space="preserve">, or </w:t>
      </w:r>
      <w:r w:rsidRPr="00CD3A12">
        <w:rPr>
          <w:rFonts w:ascii="Times New Roman" w:hAnsi="Times New Roman" w:cs="Times New Roman"/>
          <w:sz w:val="24"/>
          <w:szCs w:val="24"/>
        </w:rPr>
        <w:t xml:space="preserve">the Bank’s most important asset. </w:t>
      </w:r>
    </w:p>
    <w:p w14:paraId="5B54783B" w14:textId="77777777" w:rsidR="008329FF" w:rsidRPr="00985F1A"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985F1A">
        <w:rPr>
          <w:rFonts w:ascii="Times New Roman" w:hAnsi="Times New Roman" w:cs="Times New Roman"/>
          <w:b/>
          <w:sz w:val="24"/>
          <w:szCs w:val="24"/>
        </w:rPr>
        <w:t>Stimulating debate:</w:t>
      </w:r>
      <w:r w:rsidRPr="00985F1A">
        <w:rPr>
          <w:rFonts w:ascii="Times New Roman" w:hAnsi="Times New Roman" w:cs="Times New Roman"/>
          <w:sz w:val="24"/>
          <w:szCs w:val="24"/>
        </w:rPr>
        <w:t xml:space="preserve"> The technical quality of the Bank’s knowledge products is very high according to stakeholders</w:t>
      </w:r>
      <w:r>
        <w:rPr>
          <w:rFonts w:ascii="Times New Roman" w:hAnsi="Times New Roman" w:cs="Times New Roman"/>
          <w:sz w:val="24"/>
          <w:szCs w:val="24"/>
        </w:rPr>
        <w:t xml:space="preserve">. However, </w:t>
      </w:r>
      <w:r w:rsidRPr="00985F1A">
        <w:rPr>
          <w:rFonts w:ascii="Times New Roman" w:hAnsi="Times New Roman" w:cs="Times New Roman"/>
          <w:sz w:val="24"/>
          <w:szCs w:val="24"/>
        </w:rPr>
        <w:t xml:space="preserve">the Bank’s role in stimulating public debate and dialogue, according to the same stakeholders, is very low. </w:t>
      </w:r>
    </w:p>
    <w:p w14:paraId="52955749" w14:textId="77777777" w:rsidR="008329FF" w:rsidRDefault="008329FF" w:rsidP="008329FF">
      <w:pPr>
        <w:pStyle w:val="ListParagraph"/>
        <w:numPr>
          <w:ilvl w:val="0"/>
          <w:numId w:val="52"/>
        </w:numPr>
        <w:spacing w:line="240" w:lineRule="auto"/>
        <w:ind w:left="0" w:firstLine="0"/>
        <w:contextualSpacing w:val="0"/>
        <w:jc w:val="both"/>
        <w:rPr>
          <w:rFonts w:ascii="Times New Roman" w:hAnsi="Times New Roman" w:cs="Times New Roman"/>
          <w:sz w:val="24"/>
          <w:szCs w:val="24"/>
        </w:rPr>
      </w:pPr>
      <w:r w:rsidRPr="000F3C88">
        <w:rPr>
          <w:rFonts w:ascii="Times New Roman" w:hAnsi="Times New Roman" w:cs="Times New Roman"/>
          <w:b/>
          <w:sz w:val="24"/>
          <w:szCs w:val="24"/>
        </w:rPr>
        <w:t>Outreach:</w:t>
      </w:r>
      <w:r w:rsidRPr="000F3C88">
        <w:rPr>
          <w:rFonts w:ascii="Times New Roman" w:hAnsi="Times New Roman" w:cs="Times New Roman"/>
          <w:sz w:val="24"/>
          <w:szCs w:val="24"/>
        </w:rPr>
        <w:t xml:space="preserve"> 70% of respondents receive most of their information on economic and social development from local newspapers</w:t>
      </w:r>
      <w:r w:rsidRPr="00CE6A36">
        <w:rPr>
          <w:rFonts w:ascii="Times New Roman" w:hAnsi="Times New Roman" w:cs="Times New Roman"/>
          <w:sz w:val="24"/>
          <w:szCs w:val="24"/>
        </w:rPr>
        <w:t xml:space="preserve">. This has raised questions about whether the Bank’s presence in the papers should be increased. </w:t>
      </w:r>
      <w:r w:rsidRPr="000F3C88">
        <w:rPr>
          <w:rFonts w:ascii="Times New Roman" w:hAnsi="Times New Roman" w:cs="Times New Roman"/>
          <w:sz w:val="24"/>
          <w:szCs w:val="24"/>
        </w:rPr>
        <w:t>The Bank’s public information services are rated very highly by those that use them</w:t>
      </w:r>
      <w:r>
        <w:rPr>
          <w:rFonts w:ascii="Times New Roman" w:hAnsi="Times New Roman" w:cs="Times New Roman"/>
          <w:sz w:val="24"/>
          <w:szCs w:val="24"/>
        </w:rPr>
        <w:t xml:space="preserve">, but more should </w:t>
      </w:r>
      <w:r w:rsidRPr="000F3C88">
        <w:rPr>
          <w:rFonts w:ascii="Times New Roman" w:hAnsi="Times New Roman" w:cs="Times New Roman"/>
          <w:sz w:val="24"/>
          <w:szCs w:val="24"/>
        </w:rPr>
        <w:t>be done to build on this</w:t>
      </w:r>
      <w:r>
        <w:rPr>
          <w:rFonts w:ascii="Times New Roman" w:hAnsi="Times New Roman" w:cs="Times New Roman"/>
          <w:sz w:val="24"/>
          <w:szCs w:val="24"/>
        </w:rPr>
        <w:t xml:space="preserve">. </w:t>
      </w:r>
    </w:p>
    <w:p w14:paraId="46425BEB" w14:textId="77777777" w:rsidR="008329FF" w:rsidRDefault="008329FF" w:rsidP="008329FF">
      <w:pPr>
        <w:spacing w:line="240" w:lineRule="auto"/>
        <w:jc w:val="both"/>
        <w:rPr>
          <w:rFonts w:ascii="Times New Roman" w:hAnsi="Times New Roman" w:cs="Times New Roman"/>
          <w:sz w:val="24"/>
          <w:szCs w:val="24"/>
        </w:rPr>
      </w:pPr>
    </w:p>
    <w:p w14:paraId="7ACD1C63" w14:textId="77777777" w:rsidR="008329FF" w:rsidRDefault="00B80E53" w:rsidP="008329FF">
      <w:pPr>
        <w:spacing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67136" behindDoc="0" locked="0" layoutInCell="1" allowOverlap="1" wp14:anchorId="613F1D24" wp14:editId="4D4DD807">
                <wp:simplePos x="0" y="0"/>
                <wp:positionH relativeFrom="column">
                  <wp:posOffset>-414528</wp:posOffset>
                </wp:positionH>
                <wp:positionV relativeFrom="paragraph">
                  <wp:posOffset>2981325</wp:posOffset>
                </wp:positionV>
                <wp:extent cx="3208655" cy="4523232"/>
                <wp:effectExtent l="76200" t="38100" r="86995" b="106045"/>
                <wp:wrapNone/>
                <wp:docPr id="586" name="Rounded 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4523232"/>
                        </a:xfrm>
                        <a:prstGeom prst="roundRect">
                          <a:avLst>
                            <a:gd name="adj" fmla="val 16667"/>
                          </a:avLst>
                        </a:prstGeom>
                        <a:solidFill>
                          <a:srgbClr val="4BACC6">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EC8B69" w14:textId="77777777" w:rsidR="00DA29A4" w:rsidRDefault="00DA29A4" w:rsidP="008329FF">
                            <w:pPr>
                              <w:spacing w:after="0" w:line="0" w:lineRule="atLeast"/>
                              <w:jc w:val="center"/>
                              <w:rPr>
                                <w:b/>
                                <w:sz w:val="18"/>
                                <w:szCs w:val="18"/>
                                <w:u w:val="single"/>
                              </w:rPr>
                            </w:pPr>
                            <w:r>
                              <w:rPr>
                                <w:b/>
                                <w:sz w:val="18"/>
                                <w:szCs w:val="18"/>
                                <w:u w:val="single"/>
                              </w:rPr>
                              <w:t xml:space="preserve">Civil Society Organizations, including </w:t>
                            </w:r>
                          </w:p>
                          <w:p w14:paraId="56AD1F79" w14:textId="77777777" w:rsidR="00DA29A4" w:rsidRDefault="00DA29A4" w:rsidP="008329FF">
                            <w:pPr>
                              <w:spacing w:after="0" w:line="0" w:lineRule="atLeast"/>
                              <w:jc w:val="center"/>
                              <w:rPr>
                                <w:b/>
                                <w:sz w:val="18"/>
                                <w:szCs w:val="18"/>
                                <w:u w:val="single"/>
                              </w:rPr>
                            </w:pPr>
                            <w:r w:rsidRPr="005357F2">
                              <w:rPr>
                                <w:b/>
                                <w:sz w:val="18"/>
                                <w:szCs w:val="18"/>
                                <w:u w:val="single"/>
                              </w:rPr>
                              <w:t>Women Groups</w:t>
                            </w:r>
                          </w:p>
                          <w:p w14:paraId="4A9D471D" w14:textId="77777777" w:rsidR="00DA29A4" w:rsidRPr="005357F2" w:rsidRDefault="00DA29A4" w:rsidP="008329FF">
                            <w:pPr>
                              <w:spacing w:after="0" w:line="0" w:lineRule="atLeast"/>
                              <w:jc w:val="center"/>
                              <w:rPr>
                                <w:b/>
                                <w:sz w:val="18"/>
                                <w:szCs w:val="18"/>
                                <w:u w:val="single"/>
                              </w:rPr>
                            </w:pPr>
                          </w:p>
                          <w:p w14:paraId="0EBDFB6E" w14:textId="77777777" w:rsidR="00DA29A4" w:rsidRPr="008F6925" w:rsidRDefault="00DA29A4" w:rsidP="008329FF">
                            <w:pPr>
                              <w:pStyle w:val="ListParagraph"/>
                              <w:numPr>
                                <w:ilvl w:val="0"/>
                                <w:numId w:val="87"/>
                              </w:numPr>
                              <w:spacing w:after="0" w:line="240" w:lineRule="auto"/>
                              <w:ind w:left="270" w:hanging="270"/>
                              <w:rPr>
                                <w:sz w:val="16"/>
                                <w:szCs w:val="16"/>
                              </w:rPr>
                            </w:pPr>
                            <w:r w:rsidRPr="008F6925">
                              <w:rPr>
                                <w:sz w:val="16"/>
                                <w:szCs w:val="16"/>
                              </w:rPr>
                              <w:t>Invest in domestic and industrial water and sanitation infrastructure. Invest in ICT infrastructure in rural areas to increase youth employment opportunities and reduce rural-urban migration.</w:t>
                            </w:r>
                            <w:r>
                              <w:rPr>
                                <w:sz w:val="16"/>
                                <w:szCs w:val="16"/>
                              </w:rPr>
                              <w:t xml:space="preserve"> </w:t>
                            </w:r>
                          </w:p>
                          <w:p w14:paraId="296360E9"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Invest more </w:t>
                            </w:r>
                            <w:r w:rsidRPr="00A427F7">
                              <w:rPr>
                                <w:sz w:val="16"/>
                                <w:szCs w:val="16"/>
                              </w:rPr>
                              <w:t>in irrigation and agriculture to improve food security</w:t>
                            </w:r>
                            <w:r>
                              <w:rPr>
                                <w:sz w:val="16"/>
                                <w:szCs w:val="16"/>
                              </w:rPr>
                              <w:t xml:space="preserve">, especially in </w:t>
                            </w:r>
                            <w:r w:rsidRPr="00891D29">
                              <w:rPr>
                                <w:sz w:val="16"/>
                                <w:szCs w:val="16"/>
                              </w:rPr>
                              <w:t>arid and semi-arid areas.</w:t>
                            </w:r>
                            <w:r>
                              <w:rPr>
                                <w:sz w:val="16"/>
                                <w:szCs w:val="16"/>
                              </w:rPr>
                              <w:t xml:space="preserve"> </w:t>
                            </w:r>
                            <w:r w:rsidRPr="00EC5BBB">
                              <w:rPr>
                                <w:sz w:val="16"/>
                                <w:szCs w:val="16"/>
                              </w:rPr>
                              <w:t xml:space="preserve">Educate farmers on value chains and marketing, and empower rural communities to create jobs through innovation. </w:t>
                            </w:r>
                          </w:p>
                          <w:p w14:paraId="64899C17"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Help the poor and vulnerable through social protection and security programs. </w:t>
                            </w:r>
                          </w:p>
                          <w:p w14:paraId="0E360935"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Empower women in informal settlements through health, access to water and sanitation.</w:t>
                            </w:r>
                          </w:p>
                          <w:p w14:paraId="4A0BEA7B"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Support establishment of detailed gender based information database for planning, development and policy implementation.</w:t>
                            </w:r>
                          </w:p>
                          <w:p w14:paraId="462F3B50"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Develop partnerships with SMEs to support </w:t>
                            </w:r>
                            <w:r>
                              <w:rPr>
                                <w:sz w:val="16"/>
                                <w:szCs w:val="16"/>
                              </w:rPr>
                              <w:t xml:space="preserve">and empower </w:t>
                            </w:r>
                            <w:r w:rsidRPr="00EC5BBB">
                              <w:rPr>
                                <w:sz w:val="16"/>
                                <w:szCs w:val="16"/>
                              </w:rPr>
                              <w:t>women at the bottom of the pyramid.</w:t>
                            </w:r>
                          </w:p>
                          <w:p w14:paraId="1D03429B"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Support maternal health programs in </w:t>
                            </w:r>
                            <w:r w:rsidRPr="008F6925">
                              <w:rPr>
                                <w:sz w:val="16"/>
                                <w:szCs w:val="16"/>
                              </w:rPr>
                              <w:t>arid and semi-arid areas</w:t>
                            </w:r>
                            <w:r w:rsidRPr="00EC5BBB">
                              <w:rPr>
                                <w:sz w:val="16"/>
                                <w:szCs w:val="16"/>
                              </w:rPr>
                              <w:t xml:space="preserve"> to help reduce maternal and child mortality. </w:t>
                            </w:r>
                          </w:p>
                          <w:p w14:paraId="211F0648"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Engage youth in training and programs for entrepreneurship skills. </w:t>
                            </w:r>
                          </w:p>
                          <w:p w14:paraId="3E40C70E" w14:textId="77777777" w:rsidR="00DA29A4" w:rsidRPr="00EC5BBB" w:rsidRDefault="00DA29A4" w:rsidP="008329FF">
                            <w:pPr>
                              <w:pStyle w:val="ListParagraph"/>
                              <w:numPr>
                                <w:ilvl w:val="0"/>
                                <w:numId w:val="87"/>
                              </w:numPr>
                              <w:spacing w:after="0" w:line="240" w:lineRule="auto"/>
                              <w:ind w:left="270" w:hanging="270"/>
                              <w:rPr>
                                <w:sz w:val="16"/>
                                <w:szCs w:val="16"/>
                              </w:rPr>
                            </w:pPr>
                            <w:r w:rsidRPr="00EC5BBB">
                              <w:rPr>
                                <w:sz w:val="16"/>
                                <w:szCs w:val="16"/>
                              </w:rPr>
                              <w:t>Help rural and urban health centers integrate health provision services e</w:t>
                            </w:r>
                            <w:r>
                              <w:rPr>
                                <w:sz w:val="16"/>
                                <w:szCs w:val="16"/>
                              </w:rPr>
                              <w:t>.</w:t>
                            </w:r>
                            <w:r w:rsidRPr="00EC5BBB">
                              <w:rPr>
                                <w:sz w:val="16"/>
                                <w:szCs w:val="16"/>
                              </w:rPr>
                              <w:t>g</w:t>
                            </w:r>
                            <w:r>
                              <w:rPr>
                                <w:sz w:val="16"/>
                                <w:szCs w:val="16"/>
                              </w:rPr>
                              <w:t>.</w:t>
                            </w:r>
                            <w:r w:rsidRPr="00EC5BBB">
                              <w:rPr>
                                <w:sz w:val="16"/>
                                <w:szCs w:val="16"/>
                              </w:rPr>
                              <w:t xml:space="preserve"> vaccination, HIV/AIDs and ante-natal care. </w:t>
                            </w:r>
                          </w:p>
                          <w:p w14:paraId="56214830"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Assist Kenya Revenue Authority to close tax loopholes and minimize tax evasion. </w:t>
                            </w:r>
                          </w:p>
                          <w:p w14:paraId="55DB4D0D"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Work with anti-corruption agencies to fight graft, which is destroying the economic growth potential and social fabric.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6" o:spid="_x0000_s1033" style="position:absolute;left:0;text-align:left;margin-left:-32.65pt;margin-top:234.75pt;width:252.65pt;height:35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" fillcolor="#b7dee8" stroked="f">
                <v:shadow on="t" color="black" opacity="20971f" offset="0,2.2pt"/>
                <v:textbox>
                  <w:txbxContent>
                    <w:p w14:paraId="5DEC8B69" w14:textId="77777777" w:rsidR="00DA29A4" w:rsidRDefault="00DA29A4" w:rsidP="008329FF">
                      <w:pPr>
                        <w:spacing w:after="0" w:line="0" w:lineRule="atLeast"/>
                        <w:jc w:val="center"/>
                        <w:rPr>
                          <w:b/>
                          <w:sz w:val="18"/>
                          <w:szCs w:val="18"/>
                          <w:u w:val="single"/>
                        </w:rPr>
                      </w:pPr>
                      <w:r>
                        <w:rPr>
                          <w:b/>
                          <w:sz w:val="18"/>
                          <w:szCs w:val="18"/>
                          <w:u w:val="single"/>
                        </w:rPr>
                        <w:t xml:space="preserve">Civil Society Organizations, including </w:t>
                      </w:r>
                    </w:p>
                    <w:p w14:paraId="56AD1F79" w14:textId="77777777" w:rsidR="00DA29A4" w:rsidRDefault="00DA29A4" w:rsidP="008329FF">
                      <w:pPr>
                        <w:spacing w:after="0" w:line="0" w:lineRule="atLeast"/>
                        <w:jc w:val="center"/>
                        <w:rPr>
                          <w:b/>
                          <w:sz w:val="18"/>
                          <w:szCs w:val="18"/>
                          <w:u w:val="single"/>
                        </w:rPr>
                      </w:pPr>
                      <w:r w:rsidRPr="005357F2">
                        <w:rPr>
                          <w:b/>
                          <w:sz w:val="18"/>
                          <w:szCs w:val="18"/>
                          <w:u w:val="single"/>
                        </w:rPr>
                        <w:t>Women Groups</w:t>
                      </w:r>
                    </w:p>
                    <w:p w14:paraId="4A9D471D" w14:textId="77777777" w:rsidR="00DA29A4" w:rsidRPr="005357F2" w:rsidRDefault="00DA29A4" w:rsidP="008329FF">
                      <w:pPr>
                        <w:spacing w:after="0" w:line="0" w:lineRule="atLeast"/>
                        <w:jc w:val="center"/>
                        <w:rPr>
                          <w:b/>
                          <w:sz w:val="18"/>
                          <w:szCs w:val="18"/>
                          <w:u w:val="single"/>
                        </w:rPr>
                      </w:pPr>
                    </w:p>
                    <w:p w14:paraId="0EBDFB6E" w14:textId="77777777" w:rsidR="00DA29A4" w:rsidRPr="008F6925" w:rsidRDefault="00DA29A4" w:rsidP="008329FF">
                      <w:pPr>
                        <w:pStyle w:val="ListParagraph"/>
                        <w:numPr>
                          <w:ilvl w:val="0"/>
                          <w:numId w:val="87"/>
                        </w:numPr>
                        <w:spacing w:after="0" w:line="240" w:lineRule="auto"/>
                        <w:ind w:left="270" w:hanging="270"/>
                        <w:rPr>
                          <w:sz w:val="16"/>
                          <w:szCs w:val="16"/>
                        </w:rPr>
                      </w:pPr>
                      <w:r w:rsidRPr="008F6925">
                        <w:rPr>
                          <w:sz w:val="16"/>
                          <w:szCs w:val="16"/>
                        </w:rPr>
                        <w:t>Invest in domestic and industrial water and sanitation infrastructure. Invest in ICT infrastructure in rural areas to increase youth employment opportunities and reduce rural-urban migration.</w:t>
                      </w:r>
                      <w:r>
                        <w:rPr>
                          <w:sz w:val="16"/>
                          <w:szCs w:val="16"/>
                        </w:rPr>
                        <w:t xml:space="preserve"> </w:t>
                      </w:r>
                    </w:p>
                    <w:p w14:paraId="296360E9"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Invest more </w:t>
                      </w:r>
                      <w:r w:rsidRPr="00A427F7">
                        <w:rPr>
                          <w:sz w:val="16"/>
                          <w:szCs w:val="16"/>
                        </w:rPr>
                        <w:t>in irrigation and agriculture to improve food security</w:t>
                      </w:r>
                      <w:r>
                        <w:rPr>
                          <w:sz w:val="16"/>
                          <w:szCs w:val="16"/>
                        </w:rPr>
                        <w:t xml:space="preserve">, especially in </w:t>
                      </w:r>
                      <w:r w:rsidRPr="00891D29">
                        <w:rPr>
                          <w:sz w:val="16"/>
                          <w:szCs w:val="16"/>
                        </w:rPr>
                        <w:t>arid and semi-arid areas.</w:t>
                      </w:r>
                      <w:r>
                        <w:rPr>
                          <w:sz w:val="16"/>
                          <w:szCs w:val="16"/>
                        </w:rPr>
                        <w:t xml:space="preserve"> </w:t>
                      </w:r>
                      <w:r w:rsidRPr="00EC5BBB">
                        <w:rPr>
                          <w:sz w:val="16"/>
                          <w:szCs w:val="16"/>
                        </w:rPr>
                        <w:t xml:space="preserve">Educate farmers on value chains and marketing, and empower rural communities to create jobs through innovation. </w:t>
                      </w:r>
                    </w:p>
                    <w:p w14:paraId="64899C17"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Help the poor and vulnerable through social protection and security programs. </w:t>
                      </w:r>
                    </w:p>
                    <w:p w14:paraId="0E360935"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Empower women in informal settlements through health, access to water and sanitation.</w:t>
                      </w:r>
                    </w:p>
                    <w:p w14:paraId="4A0BEA7B"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Support establishment of detailed gender based information database for planning, development and policy implementation.</w:t>
                      </w:r>
                    </w:p>
                    <w:p w14:paraId="462F3B50"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Develop partnerships with SMEs to support </w:t>
                      </w:r>
                      <w:r>
                        <w:rPr>
                          <w:sz w:val="16"/>
                          <w:szCs w:val="16"/>
                        </w:rPr>
                        <w:t xml:space="preserve">and empower </w:t>
                      </w:r>
                      <w:r w:rsidRPr="00EC5BBB">
                        <w:rPr>
                          <w:sz w:val="16"/>
                          <w:szCs w:val="16"/>
                        </w:rPr>
                        <w:t>women at the bottom of the pyramid.</w:t>
                      </w:r>
                    </w:p>
                    <w:p w14:paraId="1D03429B"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Support maternal health programs in </w:t>
                      </w:r>
                      <w:r w:rsidRPr="008F6925">
                        <w:rPr>
                          <w:sz w:val="16"/>
                          <w:szCs w:val="16"/>
                        </w:rPr>
                        <w:t>arid and semi-arid areas</w:t>
                      </w:r>
                      <w:r w:rsidRPr="00EC5BBB">
                        <w:rPr>
                          <w:sz w:val="16"/>
                          <w:szCs w:val="16"/>
                        </w:rPr>
                        <w:t xml:space="preserve"> to help reduce maternal and child mortality. </w:t>
                      </w:r>
                    </w:p>
                    <w:p w14:paraId="211F0648" w14:textId="77777777" w:rsidR="00DA29A4" w:rsidRDefault="00DA29A4" w:rsidP="008329FF">
                      <w:pPr>
                        <w:pStyle w:val="ListParagraph"/>
                        <w:numPr>
                          <w:ilvl w:val="0"/>
                          <w:numId w:val="87"/>
                        </w:numPr>
                        <w:spacing w:after="0" w:line="240" w:lineRule="auto"/>
                        <w:ind w:left="270" w:hanging="270"/>
                        <w:rPr>
                          <w:sz w:val="16"/>
                          <w:szCs w:val="16"/>
                        </w:rPr>
                      </w:pPr>
                      <w:r w:rsidRPr="00EC5BBB">
                        <w:rPr>
                          <w:sz w:val="16"/>
                          <w:szCs w:val="16"/>
                        </w:rPr>
                        <w:t xml:space="preserve">Engage youth in training and programs for entrepreneurship skills. </w:t>
                      </w:r>
                    </w:p>
                    <w:p w14:paraId="3E40C70E" w14:textId="77777777" w:rsidR="00DA29A4" w:rsidRPr="00EC5BBB" w:rsidRDefault="00DA29A4" w:rsidP="008329FF">
                      <w:pPr>
                        <w:pStyle w:val="ListParagraph"/>
                        <w:numPr>
                          <w:ilvl w:val="0"/>
                          <w:numId w:val="87"/>
                        </w:numPr>
                        <w:spacing w:after="0" w:line="240" w:lineRule="auto"/>
                        <w:ind w:left="270" w:hanging="270"/>
                        <w:rPr>
                          <w:sz w:val="16"/>
                          <w:szCs w:val="16"/>
                        </w:rPr>
                      </w:pPr>
                      <w:r w:rsidRPr="00EC5BBB">
                        <w:rPr>
                          <w:sz w:val="16"/>
                          <w:szCs w:val="16"/>
                        </w:rPr>
                        <w:t>Help rural and urban health centers integrate health provision services e</w:t>
                      </w:r>
                      <w:r>
                        <w:rPr>
                          <w:sz w:val="16"/>
                          <w:szCs w:val="16"/>
                        </w:rPr>
                        <w:t>.</w:t>
                      </w:r>
                      <w:r w:rsidRPr="00EC5BBB">
                        <w:rPr>
                          <w:sz w:val="16"/>
                          <w:szCs w:val="16"/>
                        </w:rPr>
                        <w:t>g</w:t>
                      </w:r>
                      <w:r>
                        <w:rPr>
                          <w:sz w:val="16"/>
                          <w:szCs w:val="16"/>
                        </w:rPr>
                        <w:t>.</w:t>
                      </w:r>
                      <w:r w:rsidRPr="00EC5BBB">
                        <w:rPr>
                          <w:sz w:val="16"/>
                          <w:szCs w:val="16"/>
                        </w:rPr>
                        <w:t xml:space="preserve"> vaccination, HIV/AIDs and ante-natal care. </w:t>
                      </w:r>
                    </w:p>
                    <w:p w14:paraId="56214830"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Assist Kenya Revenue Authority to close tax loopholes and minimize tax evasion. </w:t>
                      </w:r>
                    </w:p>
                    <w:p w14:paraId="55DB4D0D"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Work with anti-corruption agencies to fight graft, which is destroying the economic growth potential and social fabric.</w:t>
                      </w:r>
                    </w:p>
                  </w:txbxContent>
                </v:textbox>
              </v:roundrect>
            </w:pict>
          </mc:Fallback>
        </mc:AlternateContent>
      </w:r>
      <w:r>
        <w:rPr>
          <w:noProof/>
        </w:rPr>
        <mc:AlternateContent>
          <mc:Choice Requires="wps">
            <w:drawing>
              <wp:anchor distT="0" distB="0" distL="114300" distR="114300" simplePos="0" relativeHeight="251863040" behindDoc="0" locked="0" layoutInCell="1" allowOverlap="1" wp14:anchorId="3E65583D" wp14:editId="50F6F1E1">
                <wp:simplePos x="0" y="0"/>
                <wp:positionH relativeFrom="column">
                  <wp:posOffset>-414655</wp:posOffset>
                </wp:positionH>
                <wp:positionV relativeFrom="paragraph">
                  <wp:posOffset>-432435</wp:posOffset>
                </wp:positionV>
                <wp:extent cx="3206115" cy="3206115"/>
                <wp:effectExtent l="76200" t="38100" r="89535" b="108585"/>
                <wp:wrapNone/>
                <wp:docPr id="584" name="Rounded 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206115"/>
                        </a:xfrm>
                        <a:prstGeom prst="roundRect">
                          <a:avLst>
                            <a:gd name="adj" fmla="val 16667"/>
                          </a:avLst>
                        </a:prstGeom>
                        <a:solidFill>
                          <a:srgbClr val="4BACC6">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7628502" w14:textId="77777777" w:rsidR="00DA29A4" w:rsidRPr="008645A7" w:rsidRDefault="00DA29A4" w:rsidP="008329FF">
                            <w:pPr>
                              <w:jc w:val="center"/>
                              <w:rPr>
                                <w:b/>
                                <w:sz w:val="18"/>
                                <w:szCs w:val="18"/>
                                <w:u w:val="single"/>
                              </w:rPr>
                            </w:pPr>
                            <w:r w:rsidRPr="008645A7">
                              <w:rPr>
                                <w:b/>
                                <w:sz w:val="18"/>
                                <w:szCs w:val="18"/>
                                <w:u w:val="single"/>
                              </w:rPr>
                              <w:t>National Government</w:t>
                            </w:r>
                          </w:p>
                          <w:p w14:paraId="499579BD"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Scale up public and PPP investments in infrastructure especially in transport, energy and water &amp; sanitation to support competitiveness. </w:t>
                            </w:r>
                          </w:p>
                          <w:p w14:paraId="066C239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Support private sector development through policies to build a competitive manufacturing sector, strengthen Kenya’s export base and diversify the economy.</w:t>
                            </w:r>
                          </w:p>
                          <w:p w14:paraId="7D9E798C"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Balance project expectations and Bank safeguards to remove constraints to effective project implementation.</w:t>
                            </w:r>
                          </w:p>
                          <w:p w14:paraId="43A9EF50" w14:textId="77777777" w:rsidR="00DA29A4" w:rsidRDefault="00DA29A4" w:rsidP="008329FF">
                            <w:pPr>
                              <w:pStyle w:val="ListParagraph"/>
                              <w:numPr>
                                <w:ilvl w:val="0"/>
                                <w:numId w:val="87"/>
                              </w:numPr>
                              <w:spacing w:after="0" w:line="240" w:lineRule="auto"/>
                              <w:ind w:left="270" w:hanging="270"/>
                              <w:rPr>
                                <w:sz w:val="16"/>
                                <w:szCs w:val="16"/>
                              </w:rPr>
                            </w:pPr>
                            <w:r w:rsidRPr="00C24D78">
                              <w:rPr>
                                <w:sz w:val="16"/>
                                <w:szCs w:val="16"/>
                              </w:rPr>
                              <w:t>Support opportunities for youth empowerment through education</w:t>
                            </w:r>
                            <w:r>
                              <w:rPr>
                                <w:sz w:val="16"/>
                                <w:szCs w:val="16"/>
                              </w:rPr>
                              <w:t>, entrepreneurship training, agribusiness</w:t>
                            </w:r>
                            <w:r w:rsidRPr="00C24D78">
                              <w:rPr>
                                <w:sz w:val="16"/>
                                <w:szCs w:val="16"/>
                              </w:rPr>
                              <w:t xml:space="preserve"> and rural </w:t>
                            </w:r>
                            <w:r>
                              <w:rPr>
                                <w:sz w:val="16"/>
                                <w:szCs w:val="16"/>
                              </w:rPr>
                              <w:t xml:space="preserve">development to increase job opportunities and reduce inequalities. </w:t>
                            </w:r>
                          </w:p>
                          <w:p w14:paraId="694EA8D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Build capacity at the County level on budgeting, governance and accountability in use of resources. </w:t>
                            </w:r>
                          </w:p>
                          <w:p w14:paraId="09B09667" w14:textId="77777777" w:rsidR="00DA29A4" w:rsidRPr="00FD3637" w:rsidRDefault="00DA29A4" w:rsidP="008329FF">
                            <w:pPr>
                              <w:pStyle w:val="ListParagraph"/>
                              <w:numPr>
                                <w:ilvl w:val="0"/>
                                <w:numId w:val="87"/>
                              </w:numPr>
                              <w:spacing w:after="0" w:line="240" w:lineRule="auto"/>
                              <w:ind w:left="270" w:hanging="270"/>
                              <w:rPr>
                                <w:sz w:val="16"/>
                                <w:szCs w:val="16"/>
                              </w:rPr>
                            </w:pPr>
                            <w:r>
                              <w:rPr>
                                <w:sz w:val="16"/>
                                <w:szCs w:val="16"/>
                              </w:rPr>
                              <w:t xml:space="preserve">Assist Counties in spatial planning, urban development and housing to build livable cities and reduce informal settlements. </w:t>
                            </w:r>
                          </w:p>
                          <w:p w14:paraId="5686B3C6" w14:textId="77777777" w:rsidR="00DA29A4" w:rsidRPr="00C24D78" w:rsidRDefault="00DA29A4" w:rsidP="008329FF">
                            <w:pPr>
                              <w:pStyle w:val="ListParagraph"/>
                              <w:numPr>
                                <w:ilvl w:val="0"/>
                                <w:numId w:val="87"/>
                              </w:numPr>
                              <w:spacing w:after="0" w:line="240" w:lineRule="auto"/>
                              <w:ind w:left="270" w:hanging="270"/>
                              <w:rPr>
                                <w:sz w:val="16"/>
                                <w:szCs w:val="16"/>
                              </w:rPr>
                            </w:pPr>
                            <w:r>
                              <w:rPr>
                                <w:sz w:val="16"/>
                                <w:szCs w:val="16"/>
                              </w:rPr>
                              <w:t xml:space="preserve">Be more selective and focused; increase support for high priority project and be more focused on being a solutions Bank.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4" o:spid="_x0000_s1034" style="position:absolute;left:0;text-align:left;margin-left:-32.65pt;margin-top:-34.05pt;width:252.45pt;height:252.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" fillcolor="#b7dee8" stroked="f">
                <v:shadow on="t" color="black" opacity="20971f" offset="0,2.2pt"/>
                <v:textbox>
                  <w:txbxContent>
                    <w:p w14:paraId="67628502" w14:textId="77777777" w:rsidR="00DA29A4" w:rsidRPr="008645A7" w:rsidRDefault="00DA29A4" w:rsidP="008329FF">
                      <w:pPr>
                        <w:jc w:val="center"/>
                        <w:rPr>
                          <w:b/>
                          <w:sz w:val="18"/>
                          <w:szCs w:val="18"/>
                          <w:u w:val="single"/>
                        </w:rPr>
                      </w:pPr>
                      <w:r w:rsidRPr="008645A7">
                        <w:rPr>
                          <w:b/>
                          <w:sz w:val="18"/>
                          <w:szCs w:val="18"/>
                          <w:u w:val="single"/>
                        </w:rPr>
                        <w:t>National Government</w:t>
                      </w:r>
                    </w:p>
                    <w:p w14:paraId="499579BD"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Scale up public and PPP investments in infrastructure especially in transport, energy and water &amp; sanitation to support competitiveness. </w:t>
                      </w:r>
                    </w:p>
                    <w:p w14:paraId="066C239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Support private sector development through policies to build a competitive manufacturing sector, strengthen Kenya’s export base and diversify the economy.</w:t>
                      </w:r>
                    </w:p>
                    <w:p w14:paraId="7D9E798C"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Balance project expectations and Bank safeguards to remove constraints to effective project implementation.</w:t>
                      </w:r>
                    </w:p>
                    <w:p w14:paraId="43A9EF50" w14:textId="77777777" w:rsidR="00DA29A4" w:rsidRDefault="00DA29A4" w:rsidP="008329FF">
                      <w:pPr>
                        <w:pStyle w:val="ListParagraph"/>
                        <w:numPr>
                          <w:ilvl w:val="0"/>
                          <w:numId w:val="87"/>
                        </w:numPr>
                        <w:spacing w:after="0" w:line="240" w:lineRule="auto"/>
                        <w:ind w:left="270" w:hanging="270"/>
                        <w:rPr>
                          <w:sz w:val="16"/>
                          <w:szCs w:val="16"/>
                        </w:rPr>
                      </w:pPr>
                      <w:r w:rsidRPr="00C24D78">
                        <w:rPr>
                          <w:sz w:val="16"/>
                          <w:szCs w:val="16"/>
                        </w:rPr>
                        <w:t>Support opportunities for youth empowerment through education</w:t>
                      </w:r>
                      <w:r>
                        <w:rPr>
                          <w:sz w:val="16"/>
                          <w:szCs w:val="16"/>
                        </w:rPr>
                        <w:t>, entrepreneurship training, agribusiness</w:t>
                      </w:r>
                      <w:r w:rsidRPr="00C24D78">
                        <w:rPr>
                          <w:sz w:val="16"/>
                          <w:szCs w:val="16"/>
                        </w:rPr>
                        <w:t xml:space="preserve"> and rural </w:t>
                      </w:r>
                      <w:r>
                        <w:rPr>
                          <w:sz w:val="16"/>
                          <w:szCs w:val="16"/>
                        </w:rPr>
                        <w:t xml:space="preserve">development to increase job opportunities and reduce inequalities. </w:t>
                      </w:r>
                    </w:p>
                    <w:p w14:paraId="694EA8D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Build capacity at the County level on budgeting, governance and accountability in use of resources. </w:t>
                      </w:r>
                    </w:p>
                    <w:p w14:paraId="09B09667" w14:textId="77777777" w:rsidR="00DA29A4" w:rsidRPr="00FD3637" w:rsidRDefault="00DA29A4" w:rsidP="008329FF">
                      <w:pPr>
                        <w:pStyle w:val="ListParagraph"/>
                        <w:numPr>
                          <w:ilvl w:val="0"/>
                          <w:numId w:val="87"/>
                        </w:numPr>
                        <w:spacing w:after="0" w:line="240" w:lineRule="auto"/>
                        <w:ind w:left="270" w:hanging="270"/>
                        <w:rPr>
                          <w:sz w:val="16"/>
                          <w:szCs w:val="16"/>
                        </w:rPr>
                      </w:pPr>
                      <w:r>
                        <w:rPr>
                          <w:sz w:val="16"/>
                          <w:szCs w:val="16"/>
                        </w:rPr>
                        <w:t xml:space="preserve">Assist Counties in spatial planning, urban development and housing to build livable cities and reduce informal settlements. </w:t>
                      </w:r>
                    </w:p>
                    <w:p w14:paraId="5686B3C6" w14:textId="77777777" w:rsidR="00DA29A4" w:rsidRPr="00C24D78" w:rsidRDefault="00DA29A4" w:rsidP="008329FF">
                      <w:pPr>
                        <w:pStyle w:val="ListParagraph"/>
                        <w:numPr>
                          <w:ilvl w:val="0"/>
                          <w:numId w:val="87"/>
                        </w:numPr>
                        <w:spacing w:after="0" w:line="240" w:lineRule="auto"/>
                        <w:ind w:left="270" w:hanging="270"/>
                        <w:rPr>
                          <w:sz w:val="16"/>
                          <w:szCs w:val="16"/>
                        </w:rPr>
                      </w:pPr>
                      <w:r>
                        <w:rPr>
                          <w:sz w:val="16"/>
                          <w:szCs w:val="16"/>
                        </w:rPr>
                        <w:t xml:space="preserve">Be more selective and focused; increase support for high priority project and be more focused on being a solutions Bank. </w:t>
                      </w:r>
                    </w:p>
                  </w:txbxContent>
                </v:textbox>
              </v:roundrect>
            </w:pict>
          </mc:Fallback>
        </mc:AlternateContent>
      </w:r>
      <w:r w:rsidRPr="00B80E53">
        <w:rPr>
          <w:rFonts w:ascii="Times New Roman" w:eastAsia="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2CAA16C9" wp14:editId="1438F2E4">
                <wp:simplePos x="0" y="0"/>
                <wp:positionH relativeFrom="column">
                  <wp:posOffset>2962275</wp:posOffset>
                </wp:positionH>
                <wp:positionV relativeFrom="paragraph">
                  <wp:posOffset>6492240</wp:posOffset>
                </wp:positionV>
                <wp:extent cx="3255010" cy="2279650"/>
                <wp:effectExtent l="76200" t="38100" r="97790" b="1206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2279650"/>
                        </a:xfrm>
                        <a:prstGeom prst="roundRect">
                          <a:avLst>
                            <a:gd name="adj" fmla="val 16667"/>
                          </a:avLst>
                        </a:prstGeom>
                        <a:solidFill>
                          <a:srgbClr val="4BACC6">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B7D2E1F" w14:textId="77777777" w:rsidR="00DA29A4" w:rsidRDefault="00DA29A4" w:rsidP="00B80E53">
                            <w:pPr>
                              <w:jc w:val="center"/>
                              <w:rPr>
                                <w:b/>
                                <w:sz w:val="16"/>
                                <w:szCs w:val="16"/>
                                <w:u w:val="single"/>
                              </w:rPr>
                            </w:pPr>
                            <w:r>
                              <w:rPr>
                                <w:b/>
                                <w:sz w:val="16"/>
                                <w:szCs w:val="16"/>
                                <w:u w:val="single"/>
                              </w:rPr>
                              <w:t xml:space="preserve">Development Partners </w:t>
                            </w:r>
                          </w:p>
                          <w:p w14:paraId="4C5F3B2B"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The strategy is consistent and complementary to what other development partners members are doing</w:t>
                            </w:r>
                          </w:p>
                          <w:p w14:paraId="7C6DCDA3" w14:textId="77777777" w:rsidR="00DA29A4" w:rsidRDefault="00DA29A4" w:rsidP="00B80E53">
                            <w:pPr>
                              <w:pStyle w:val="ListParagraph"/>
                              <w:numPr>
                                <w:ilvl w:val="0"/>
                                <w:numId w:val="87"/>
                              </w:numPr>
                              <w:spacing w:after="0" w:line="240" w:lineRule="auto"/>
                              <w:ind w:left="270" w:hanging="270"/>
                              <w:rPr>
                                <w:sz w:val="16"/>
                                <w:szCs w:val="16"/>
                              </w:rPr>
                            </w:pPr>
                            <w:r w:rsidRPr="005447F7">
                              <w:rPr>
                                <w:sz w:val="16"/>
                                <w:szCs w:val="16"/>
                              </w:rPr>
                              <w:t>Work with partners to ensure selectivity and avoid duplication</w:t>
                            </w:r>
                          </w:p>
                          <w:p w14:paraId="1B76F16F"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Work with other DPs to coordinate support in energy</w:t>
                            </w:r>
                          </w:p>
                          <w:p w14:paraId="3D18F5AF" w14:textId="77777777" w:rsidR="00DA29A4" w:rsidRPr="005447F7" w:rsidRDefault="00DA29A4" w:rsidP="00B80E53">
                            <w:pPr>
                              <w:pStyle w:val="ListParagraph"/>
                              <w:numPr>
                                <w:ilvl w:val="0"/>
                                <w:numId w:val="87"/>
                              </w:numPr>
                              <w:spacing w:after="0" w:line="240" w:lineRule="auto"/>
                              <w:ind w:left="270" w:hanging="270"/>
                              <w:rPr>
                                <w:sz w:val="16"/>
                                <w:szCs w:val="16"/>
                              </w:rPr>
                            </w:pPr>
                            <w:r>
                              <w:rPr>
                                <w:sz w:val="16"/>
                                <w:szCs w:val="16"/>
                              </w:rPr>
                              <w:t>Coordinate with DPs to support the roads sector</w:t>
                            </w:r>
                          </w:p>
                          <w:p w14:paraId="0196038F"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Work with the government to improve the ease of doing business to support the private sector</w:t>
                            </w:r>
                          </w:p>
                          <w:p w14:paraId="73133546"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Poverty and inequality remains a challenge. Ensure that the new CPS addresses them adequately</w:t>
                            </w:r>
                          </w:p>
                          <w:p w14:paraId="42EFC4B4" w14:textId="77777777" w:rsidR="00DA29A4" w:rsidRDefault="00DA29A4" w:rsidP="00B80E53">
                            <w:pPr>
                              <w:pStyle w:val="ListParagraph"/>
                              <w:numPr>
                                <w:ilvl w:val="0"/>
                                <w:numId w:val="87"/>
                              </w:numPr>
                              <w:spacing w:after="0" w:line="240" w:lineRule="auto"/>
                              <w:ind w:left="270" w:hanging="270"/>
                              <w:rPr>
                                <w:sz w:val="16"/>
                                <w:szCs w:val="16"/>
                              </w:rPr>
                            </w:pPr>
                            <w:r w:rsidRPr="005447F7">
                              <w:rPr>
                                <w:sz w:val="16"/>
                                <w:szCs w:val="16"/>
                              </w:rPr>
                              <w:t>Assist the government to ensure that devolution work</w:t>
                            </w:r>
                          </w:p>
                          <w:p w14:paraId="0359FF97" w14:textId="77777777" w:rsidR="00DA29A4" w:rsidRPr="00FD3637" w:rsidRDefault="00DA29A4" w:rsidP="00B80E53">
                            <w:pPr>
                              <w:pStyle w:val="ListParagraph"/>
                              <w:numPr>
                                <w:ilvl w:val="0"/>
                                <w:numId w:val="87"/>
                              </w:numPr>
                              <w:spacing w:after="0" w:line="240" w:lineRule="auto"/>
                              <w:ind w:left="270" w:hanging="270"/>
                              <w:rPr>
                                <w:sz w:val="16"/>
                                <w:szCs w:val="16"/>
                              </w:rPr>
                            </w:pPr>
                            <w:r w:rsidRPr="005447F7">
                              <w:rPr>
                                <w:sz w:val="16"/>
                                <w:szCs w:val="16"/>
                              </w:rPr>
                              <w:t xml:space="preserve">Governance is </w:t>
                            </w:r>
                            <w:r>
                              <w:rPr>
                                <w:sz w:val="16"/>
                                <w:szCs w:val="16"/>
                              </w:rPr>
                              <w:t xml:space="preserve">remains a </w:t>
                            </w:r>
                            <w:r w:rsidRPr="005447F7">
                              <w:rPr>
                                <w:sz w:val="16"/>
                                <w:szCs w:val="16"/>
                              </w:rPr>
                              <w:t xml:space="preserve">concern </w:t>
                            </w:r>
                            <w:r>
                              <w:rPr>
                                <w:sz w:val="16"/>
                                <w:szCs w:val="16"/>
                              </w:rPr>
                              <w:t>both to Development partners and Kenyans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5" style="position:absolute;left:0;text-align:left;margin-left:233.25pt;margin-top:511.2pt;width:256.3pt;height:17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" fillcolor="#b7dee8" stroked="f">
                <v:shadow on="t" color="black" opacity="20971f" offset="0,2.2pt"/>
                <v:textbox>
                  <w:txbxContent>
                    <w:p w14:paraId="3B7D2E1F" w14:textId="77777777" w:rsidR="00DA29A4" w:rsidRDefault="00DA29A4" w:rsidP="00B80E53">
                      <w:pPr>
                        <w:jc w:val="center"/>
                        <w:rPr>
                          <w:b/>
                          <w:sz w:val="16"/>
                          <w:szCs w:val="16"/>
                          <w:u w:val="single"/>
                        </w:rPr>
                      </w:pPr>
                      <w:r>
                        <w:rPr>
                          <w:b/>
                          <w:sz w:val="16"/>
                          <w:szCs w:val="16"/>
                          <w:u w:val="single"/>
                        </w:rPr>
                        <w:t xml:space="preserve">Development Partners </w:t>
                      </w:r>
                    </w:p>
                    <w:p w14:paraId="4C5F3B2B"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The strategy is consistent and complementary to what other development partners members are doing</w:t>
                      </w:r>
                    </w:p>
                    <w:p w14:paraId="7C6DCDA3" w14:textId="77777777" w:rsidR="00DA29A4" w:rsidRDefault="00DA29A4" w:rsidP="00B80E53">
                      <w:pPr>
                        <w:pStyle w:val="ListParagraph"/>
                        <w:numPr>
                          <w:ilvl w:val="0"/>
                          <w:numId w:val="87"/>
                        </w:numPr>
                        <w:spacing w:after="0" w:line="240" w:lineRule="auto"/>
                        <w:ind w:left="270" w:hanging="270"/>
                        <w:rPr>
                          <w:sz w:val="16"/>
                          <w:szCs w:val="16"/>
                        </w:rPr>
                      </w:pPr>
                      <w:r w:rsidRPr="005447F7">
                        <w:rPr>
                          <w:sz w:val="16"/>
                          <w:szCs w:val="16"/>
                        </w:rPr>
                        <w:t>Work with partners to ensure selectivity and avoid duplication</w:t>
                      </w:r>
                    </w:p>
                    <w:p w14:paraId="1B76F16F"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Work with other DPs to coordinate support in energy</w:t>
                      </w:r>
                    </w:p>
                    <w:p w14:paraId="3D18F5AF" w14:textId="77777777" w:rsidR="00DA29A4" w:rsidRPr="005447F7" w:rsidRDefault="00DA29A4" w:rsidP="00B80E53">
                      <w:pPr>
                        <w:pStyle w:val="ListParagraph"/>
                        <w:numPr>
                          <w:ilvl w:val="0"/>
                          <w:numId w:val="87"/>
                        </w:numPr>
                        <w:spacing w:after="0" w:line="240" w:lineRule="auto"/>
                        <w:ind w:left="270" w:hanging="270"/>
                        <w:rPr>
                          <w:sz w:val="16"/>
                          <w:szCs w:val="16"/>
                        </w:rPr>
                      </w:pPr>
                      <w:r>
                        <w:rPr>
                          <w:sz w:val="16"/>
                          <w:szCs w:val="16"/>
                        </w:rPr>
                        <w:t>Coordinate with DPs to support the roads sector</w:t>
                      </w:r>
                    </w:p>
                    <w:p w14:paraId="0196038F"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Work with the government to improve the ease of doing business to support the private sector</w:t>
                      </w:r>
                    </w:p>
                    <w:p w14:paraId="73133546" w14:textId="77777777" w:rsidR="00DA29A4" w:rsidRDefault="00DA29A4" w:rsidP="00B80E53">
                      <w:pPr>
                        <w:pStyle w:val="ListParagraph"/>
                        <w:numPr>
                          <w:ilvl w:val="0"/>
                          <w:numId w:val="87"/>
                        </w:numPr>
                        <w:spacing w:after="0" w:line="240" w:lineRule="auto"/>
                        <w:ind w:left="270" w:hanging="270"/>
                        <w:rPr>
                          <w:sz w:val="16"/>
                          <w:szCs w:val="16"/>
                        </w:rPr>
                      </w:pPr>
                      <w:r>
                        <w:rPr>
                          <w:sz w:val="16"/>
                          <w:szCs w:val="16"/>
                        </w:rPr>
                        <w:t>Poverty and inequality remains a challenge. Ensure that the new CPS addresses them adequately</w:t>
                      </w:r>
                    </w:p>
                    <w:p w14:paraId="42EFC4B4" w14:textId="77777777" w:rsidR="00DA29A4" w:rsidRDefault="00DA29A4" w:rsidP="00B80E53">
                      <w:pPr>
                        <w:pStyle w:val="ListParagraph"/>
                        <w:numPr>
                          <w:ilvl w:val="0"/>
                          <w:numId w:val="87"/>
                        </w:numPr>
                        <w:spacing w:after="0" w:line="240" w:lineRule="auto"/>
                        <w:ind w:left="270" w:hanging="270"/>
                        <w:rPr>
                          <w:sz w:val="16"/>
                          <w:szCs w:val="16"/>
                        </w:rPr>
                      </w:pPr>
                      <w:r w:rsidRPr="005447F7">
                        <w:rPr>
                          <w:sz w:val="16"/>
                          <w:szCs w:val="16"/>
                        </w:rPr>
                        <w:t>Assist the government to ensure that devolution work</w:t>
                      </w:r>
                    </w:p>
                    <w:p w14:paraId="0359FF97" w14:textId="77777777" w:rsidR="00DA29A4" w:rsidRPr="00FD3637" w:rsidRDefault="00DA29A4" w:rsidP="00B80E53">
                      <w:pPr>
                        <w:pStyle w:val="ListParagraph"/>
                        <w:numPr>
                          <w:ilvl w:val="0"/>
                          <w:numId w:val="87"/>
                        </w:numPr>
                        <w:spacing w:after="0" w:line="240" w:lineRule="auto"/>
                        <w:ind w:left="270" w:hanging="270"/>
                        <w:rPr>
                          <w:sz w:val="16"/>
                          <w:szCs w:val="16"/>
                        </w:rPr>
                      </w:pPr>
                      <w:r w:rsidRPr="005447F7">
                        <w:rPr>
                          <w:sz w:val="16"/>
                          <w:szCs w:val="16"/>
                        </w:rPr>
                        <w:t xml:space="preserve">Governance is </w:t>
                      </w:r>
                      <w:r>
                        <w:rPr>
                          <w:sz w:val="16"/>
                          <w:szCs w:val="16"/>
                        </w:rPr>
                        <w:t xml:space="preserve">remains a </w:t>
                      </w:r>
                      <w:r w:rsidRPr="005447F7">
                        <w:rPr>
                          <w:sz w:val="16"/>
                          <w:szCs w:val="16"/>
                        </w:rPr>
                        <w:t xml:space="preserve">concern </w:t>
                      </w:r>
                      <w:r>
                        <w:rPr>
                          <w:sz w:val="16"/>
                          <w:szCs w:val="16"/>
                        </w:rPr>
                        <w:t>both to Development partners and Kenyans</w:t>
                      </w:r>
                    </w:p>
                  </w:txbxContent>
                </v:textbox>
              </v:roundrect>
            </w:pict>
          </mc:Fallback>
        </mc:AlternateContent>
      </w:r>
      <w:r>
        <w:rPr>
          <w:noProof/>
        </w:rPr>
        <mc:AlternateContent>
          <mc:Choice Requires="wps">
            <w:drawing>
              <wp:anchor distT="0" distB="0" distL="114300" distR="114300" simplePos="0" relativeHeight="251869184" behindDoc="0" locked="0" layoutInCell="1" allowOverlap="1" wp14:anchorId="67CACE72" wp14:editId="6A5EDF67">
                <wp:simplePos x="0" y="0"/>
                <wp:positionH relativeFrom="column">
                  <wp:posOffset>2961767</wp:posOffset>
                </wp:positionH>
                <wp:positionV relativeFrom="paragraph">
                  <wp:posOffset>2834259</wp:posOffset>
                </wp:positionV>
                <wp:extent cx="3364865" cy="3535680"/>
                <wp:effectExtent l="76200" t="38100" r="102235" b="121920"/>
                <wp:wrapNone/>
                <wp:docPr id="587" name="Rounded 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3535680"/>
                        </a:xfrm>
                        <a:prstGeom prst="roundRect">
                          <a:avLst>
                            <a:gd name="adj" fmla="val 16667"/>
                          </a:avLst>
                        </a:prstGeom>
                        <a:solidFill>
                          <a:srgbClr val="4BACC6">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AD1985B" w14:textId="77777777" w:rsidR="00DA29A4" w:rsidRPr="008645A7" w:rsidRDefault="00DA29A4" w:rsidP="008329FF">
                            <w:pPr>
                              <w:jc w:val="center"/>
                              <w:rPr>
                                <w:b/>
                                <w:sz w:val="18"/>
                                <w:szCs w:val="18"/>
                                <w:u w:val="single"/>
                              </w:rPr>
                            </w:pPr>
                            <w:r>
                              <w:rPr>
                                <w:b/>
                                <w:sz w:val="18"/>
                                <w:szCs w:val="18"/>
                                <w:u w:val="single"/>
                              </w:rPr>
                              <w:t>Private Sector</w:t>
                            </w:r>
                          </w:p>
                          <w:p w14:paraId="25CE8312"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Continue and expand investments in critical economic infrastructure including transport, energy and water &amp; sanitation to enhance Kenya’s national and regional competitiveness. </w:t>
                            </w:r>
                          </w:p>
                          <w:p w14:paraId="7E87233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Pursue a business-friendly tax regime and avoid new or distortionary taxes on firms that stifle profitability and growth</w:t>
                            </w:r>
                          </w:p>
                          <w:p w14:paraId="215F522C" w14:textId="77777777" w:rsidR="00DA29A4" w:rsidRDefault="00DA29A4" w:rsidP="008329FF">
                            <w:pPr>
                              <w:pStyle w:val="ListParagraph"/>
                              <w:numPr>
                                <w:ilvl w:val="0"/>
                                <w:numId w:val="87"/>
                              </w:numPr>
                              <w:spacing w:after="0" w:line="240" w:lineRule="auto"/>
                              <w:ind w:left="270" w:hanging="270"/>
                              <w:rPr>
                                <w:sz w:val="16"/>
                                <w:szCs w:val="16"/>
                              </w:rPr>
                            </w:pPr>
                            <w:r w:rsidRPr="0051732B">
                              <w:rPr>
                                <w:sz w:val="16"/>
                                <w:szCs w:val="16"/>
                              </w:rPr>
                              <w:t xml:space="preserve">Facilitate financial sector to become more liquid to increase affordable </w:t>
                            </w:r>
                            <w:r>
                              <w:rPr>
                                <w:sz w:val="16"/>
                                <w:szCs w:val="16"/>
                              </w:rPr>
                              <w:t>credit to the private sector, especially SMEs.</w:t>
                            </w:r>
                          </w:p>
                          <w:p w14:paraId="60E01D40"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Ensure Doing Business gains achieved by national government, such as single business permit, are not disrupted by devolution. </w:t>
                            </w:r>
                          </w:p>
                          <w:p w14:paraId="10CF1418"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Place greater emphasis on innovation, skills enhancement, and productivity.  </w:t>
                            </w:r>
                          </w:p>
                          <w:p w14:paraId="73428926"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Support youth and micro and small enterprise development through vocational training programs. </w:t>
                            </w:r>
                          </w:p>
                          <w:p w14:paraId="5A946BFE" w14:textId="77777777" w:rsidR="00DA29A4" w:rsidRDefault="00DA29A4" w:rsidP="008329FF">
                            <w:pPr>
                              <w:pStyle w:val="ListParagraph"/>
                              <w:numPr>
                                <w:ilvl w:val="0"/>
                                <w:numId w:val="87"/>
                              </w:numPr>
                              <w:spacing w:after="0" w:line="240" w:lineRule="auto"/>
                              <w:ind w:left="270" w:hanging="270"/>
                              <w:rPr>
                                <w:sz w:val="16"/>
                                <w:szCs w:val="16"/>
                              </w:rPr>
                            </w:pPr>
                            <w:r w:rsidRPr="008E2301">
                              <w:rPr>
                                <w:sz w:val="16"/>
                                <w:szCs w:val="16"/>
                              </w:rPr>
                              <w:t xml:space="preserve">Attract private investors especially in science, technology and operations research and support PPPs between universities and industry to </w:t>
                            </w:r>
                            <w:r w:rsidRPr="00A37DBA">
                              <w:rPr>
                                <w:sz w:val="16"/>
                                <w:szCs w:val="16"/>
                              </w:rPr>
                              <w:t xml:space="preserve"> develop marketable skills for </w:t>
                            </w:r>
                            <w:r>
                              <w:rPr>
                                <w:sz w:val="16"/>
                                <w:szCs w:val="16"/>
                              </w:rPr>
                              <w:t xml:space="preserve">unemployed </w:t>
                            </w:r>
                            <w:r w:rsidRPr="008E2301">
                              <w:rPr>
                                <w:sz w:val="16"/>
                                <w:szCs w:val="16"/>
                              </w:rPr>
                              <w:t xml:space="preserve">youth. </w:t>
                            </w:r>
                          </w:p>
                          <w:p w14:paraId="0AFFCC6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Improve value chains in agriculture and manufacturing to enhance food security and increase exports. </w:t>
                            </w:r>
                          </w:p>
                          <w:p w14:paraId="1251A985" w14:textId="77777777" w:rsidR="00DA29A4" w:rsidRDefault="00DA29A4" w:rsidP="008329FF">
                            <w:pPr>
                              <w:pStyle w:val="ListParagraph"/>
                              <w:numPr>
                                <w:ilvl w:val="0"/>
                                <w:numId w:val="87"/>
                              </w:numPr>
                              <w:spacing w:after="0" w:line="240" w:lineRule="auto"/>
                              <w:ind w:left="270" w:hanging="270"/>
                              <w:rPr>
                                <w:sz w:val="16"/>
                                <w:szCs w:val="16"/>
                              </w:rPr>
                            </w:pPr>
                            <w:r w:rsidRPr="006601EC">
                              <w:rPr>
                                <w:sz w:val="16"/>
                                <w:szCs w:val="16"/>
                              </w:rPr>
                              <w:t>Help shape implementation of devolved governance through dialogue</w:t>
                            </w:r>
                            <w:r>
                              <w:rPr>
                                <w:sz w:val="16"/>
                                <w:szCs w:val="16"/>
                              </w:rPr>
                              <w:t xml:space="preserve"> and capacity building especially in procurement and financial management.</w:t>
                            </w:r>
                          </w:p>
                          <w:p w14:paraId="61E110D5"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Reform Bank procurement and financing policies to stop locking out local contractors and service providers.</w:t>
                            </w:r>
                          </w:p>
                          <w:p w14:paraId="124F9A17" w14:textId="77777777" w:rsidR="00DA29A4" w:rsidRPr="00FD3637" w:rsidRDefault="00DA29A4" w:rsidP="008329FF">
                            <w:pPr>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7" o:spid="_x0000_s1036" style="position:absolute;left:0;text-align:left;margin-left:233.2pt;margin-top:223.15pt;width:264.95pt;height:278.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" fillcolor="#b7dee8" stroked="f">
                <v:shadow on="t" color="black" opacity="20971f" offset="0,2.2pt"/>
                <v:textbox>
                  <w:txbxContent>
                    <w:p w14:paraId="0AD1985B" w14:textId="77777777" w:rsidR="00DA29A4" w:rsidRPr="008645A7" w:rsidRDefault="00DA29A4" w:rsidP="008329FF">
                      <w:pPr>
                        <w:jc w:val="center"/>
                        <w:rPr>
                          <w:b/>
                          <w:sz w:val="18"/>
                          <w:szCs w:val="18"/>
                          <w:u w:val="single"/>
                        </w:rPr>
                      </w:pPr>
                      <w:r>
                        <w:rPr>
                          <w:b/>
                          <w:sz w:val="18"/>
                          <w:szCs w:val="18"/>
                          <w:u w:val="single"/>
                        </w:rPr>
                        <w:t>Private Sector</w:t>
                      </w:r>
                    </w:p>
                    <w:p w14:paraId="25CE8312"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Continue and expand investments in critical economic infrastructure including transport, energy and water &amp; sanitation to enhance Kenya’s national and regional competitiveness. </w:t>
                      </w:r>
                    </w:p>
                    <w:p w14:paraId="7E87233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Pursue a business-friendly tax regime and avoid new or distortionary taxes on firms that stifle profitability and growth</w:t>
                      </w:r>
                    </w:p>
                    <w:p w14:paraId="215F522C" w14:textId="77777777" w:rsidR="00DA29A4" w:rsidRDefault="00DA29A4" w:rsidP="008329FF">
                      <w:pPr>
                        <w:pStyle w:val="ListParagraph"/>
                        <w:numPr>
                          <w:ilvl w:val="0"/>
                          <w:numId w:val="87"/>
                        </w:numPr>
                        <w:spacing w:after="0" w:line="240" w:lineRule="auto"/>
                        <w:ind w:left="270" w:hanging="270"/>
                        <w:rPr>
                          <w:sz w:val="16"/>
                          <w:szCs w:val="16"/>
                        </w:rPr>
                      </w:pPr>
                      <w:r w:rsidRPr="0051732B">
                        <w:rPr>
                          <w:sz w:val="16"/>
                          <w:szCs w:val="16"/>
                        </w:rPr>
                        <w:t xml:space="preserve">Facilitate financial sector to become more liquid to increase affordable </w:t>
                      </w:r>
                      <w:r>
                        <w:rPr>
                          <w:sz w:val="16"/>
                          <w:szCs w:val="16"/>
                        </w:rPr>
                        <w:t>credit to the private sector, especially SMEs.</w:t>
                      </w:r>
                    </w:p>
                    <w:p w14:paraId="60E01D40"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Ensure Doing Business gains achieved by national government, such as single business permit, are not disrupted by devolution. </w:t>
                      </w:r>
                    </w:p>
                    <w:p w14:paraId="10CF1418"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Place greater emphasis on innovation, skills enhancement, and productivity.  </w:t>
                      </w:r>
                    </w:p>
                    <w:p w14:paraId="73428926"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Support youth and micro and small enterprise development through vocational training programs. </w:t>
                      </w:r>
                    </w:p>
                    <w:p w14:paraId="5A946BFE" w14:textId="77777777" w:rsidR="00DA29A4" w:rsidRDefault="00DA29A4" w:rsidP="008329FF">
                      <w:pPr>
                        <w:pStyle w:val="ListParagraph"/>
                        <w:numPr>
                          <w:ilvl w:val="0"/>
                          <w:numId w:val="87"/>
                        </w:numPr>
                        <w:spacing w:after="0" w:line="240" w:lineRule="auto"/>
                        <w:ind w:left="270" w:hanging="270"/>
                        <w:rPr>
                          <w:sz w:val="16"/>
                          <w:szCs w:val="16"/>
                        </w:rPr>
                      </w:pPr>
                      <w:r w:rsidRPr="008E2301">
                        <w:rPr>
                          <w:sz w:val="16"/>
                          <w:szCs w:val="16"/>
                        </w:rPr>
                        <w:t xml:space="preserve">Attract private investors especially in science, technology and operations research and support PPPs between universities and industry </w:t>
                      </w:r>
                      <w:proofErr w:type="gramStart"/>
                      <w:r w:rsidRPr="008E2301">
                        <w:rPr>
                          <w:sz w:val="16"/>
                          <w:szCs w:val="16"/>
                        </w:rPr>
                        <w:t xml:space="preserve">to </w:t>
                      </w:r>
                      <w:r w:rsidRPr="00A37DBA">
                        <w:rPr>
                          <w:sz w:val="16"/>
                          <w:szCs w:val="16"/>
                        </w:rPr>
                        <w:t xml:space="preserve"> develop</w:t>
                      </w:r>
                      <w:proofErr w:type="gramEnd"/>
                      <w:r w:rsidRPr="00A37DBA">
                        <w:rPr>
                          <w:sz w:val="16"/>
                          <w:szCs w:val="16"/>
                        </w:rPr>
                        <w:t xml:space="preserve"> marketable skills for </w:t>
                      </w:r>
                      <w:r>
                        <w:rPr>
                          <w:sz w:val="16"/>
                          <w:szCs w:val="16"/>
                        </w:rPr>
                        <w:t xml:space="preserve">unemployed </w:t>
                      </w:r>
                      <w:r w:rsidRPr="008E2301">
                        <w:rPr>
                          <w:sz w:val="16"/>
                          <w:szCs w:val="16"/>
                        </w:rPr>
                        <w:t xml:space="preserve">youth. </w:t>
                      </w:r>
                    </w:p>
                    <w:p w14:paraId="0AFFCC6A"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 xml:space="preserve">Improve value chains in agriculture and manufacturing to enhance food security and increase exports. </w:t>
                      </w:r>
                    </w:p>
                    <w:p w14:paraId="1251A985" w14:textId="77777777" w:rsidR="00DA29A4" w:rsidRDefault="00DA29A4" w:rsidP="008329FF">
                      <w:pPr>
                        <w:pStyle w:val="ListParagraph"/>
                        <w:numPr>
                          <w:ilvl w:val="0"/>
                          <w:numId w:val="87"/>
                        </w:numPr>
                        <w:spacing w:after="0" w:line="240" w:lineRule="auto"/>
                        <w:ind w:left="270" w:hanging="270"/>
                        <w:rPr>
                          <w:sz w:val="16"/>
                          <w:szCs w:val="16"/>
                        </w:rPr>
                      </w:pPr>
                      <w:r w:rsidRPr="006601EC">
                        <w:rPr>
                          <w:sz w:val="16"/>
                          <w:szCs w:val="16"/>
                        </w:rPr>
                        <w:t>Help shape implementation of devolved governance through dialogue</w:t>
                      </w:r>
                      <w:r>
                        <w:rPr>
                          <w:sz w:val="16"/>
                          <w:szCs w:val="16"/>
                        </w:rPr>
                        <w:t xml:space="preserve"> and capacity building especially in procurement and financial management.</w:t>
                      </w:r>
                    </w:p>
                    <w:p w14:paraId="61E110D5"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Reform Bank procurement and financing policies to stop locking out local contractors and service providers.</w:t>
                      </w:r>
                    </w:p>
                    <w:p w14:paraId="124F9A17" w14:textId="77777777" w:rsidR="00DA29A4" w:rsidRPr="00FD3637" w:rsidRDefault="00DA29A4" w:rsidP="008329FF">
                      <w:pPr>
                        <w:jc w:val="both"/>
                        <w:rPr>
                          <w:sz w:val="16"/>
                          <w:szCs w:val="16"/>
                        </w:rPr>
                      </w:pPr>
                    </w:p>
                  </w:txbxContent>
                </v:textbox>
              </v:roundrect>
            </w:pict>
          </mc:Fallback>
        </mc:AlternateContent>
      </w:r>
      <w:r w:rsidRPr="00757440">
        <w:rPr>
          <w:noProof/>
        </w:rPr>
        <mc:AlternateContent>
          <mc:Choice Requires="wps">
            <w:drawing>
              <wp:anchor distT="0" distB="0" distL="114300" distR="114300" simplePos="0" relativeHeight="251865088" behindDoc="0" locked="0" layoutInCell="1" allowOverlap="1" wp14:anchorId="54AD5326" wp14:editId="185BC5C1">
                <wp:simplePos x="0" y="0"/>
                <wp:positionH relativeFrom="column">
                  <wp:posOffset>2962275</wp:posOffset>
                </wp:positionH>
                <wp:positionV relativeFrom="paragraph">
                  <wp:posOffset>-432435</wp:posOffset>
                </wp:positionV>
                <wp:extent cx="3364865" cy="3145155"/>
                <wp:effectExtent l="76200" t="38100" r="102235" b="112395"/>
                <wp:wrapNone/>
                <wp:docPr id="585" name="Rounded 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3145155"/>
                        </a:xfrm>
                        <a:prstGeom prst="roundRect">
                          <a:avLst>
                            <a:gd name="adj" fmla="val 16667"/>
                          </a:avLst>
                        </a:prstGeom>
                        <a:solidFill>
                          <a:srgbClr val="4BACC6">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423F0BC" w14:textId="77777777" w:rsidR="00DA29A4" w:rsidRPr="008645A7" w:rsidRDefault="00DA29A4" w:rsidP="008329FF">
                            <w:pPr>
                              <w:jc w:val="center"/>
                              <w:rPr>
                                <w:b/>
                                <w:sz w:val="18"/>
                                <w:szCs w:val="18"/>
                                <w:u w:val="single"/>
                              </w:rPr>
                            </w:pPr>
                            <w:r w:rsidRPr="008645A7">
                              <w:rPr>
                                <w:b/>
                                <w:sz w:val="18"/>
                                <w:szCs w:val="18"/>
                                <w:u w:val="single"/>
                              </w:rPr>
                              <w:t>County Governments</w:t>
                            </w:r>
                          </w:p>
                          <w:p w14:paraId="51D742DF"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Finance key infrastructure including feeder roads, rural electricity and water &amp; sanitation to make counties more competitive.</w:t>
                            </w:r>
                          </w:p>
                          <w:p w14:paraId="4A2D5867"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Help the counties in spatial planning to facilitate development of well-planned regional urban centers for growth and job creation.</w:t>
                            </w:r>
                          </w:p>
                          <w:p w14:paraId="48A536C4"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Enhance water security by investing in water resources and protection of catchment areas.</w:t>
                            </w:r>
                          </w:p>
                          <w:p w14:paraId="0532E4C2" w14:textId="77777777" w:rsidR="00DA29A4" w:rsidRPr="00FD3637" w:rsidRDefault="00DA29A4" w:rsidP="008329FF">
                            <w:pPr>
                              <w:pStyle w:val="ListParagraph"/>
                              <w:numPr>
                                <w:ilvl w:val="0"/>
                                <w:numId w:val="87"/>
                              </w:numPr>
                              <w:spacing w:after="0" w:line="240" w:lineRule="auto"/>
                              <w:ind w:left="270" w:hanging="270"/>
                              <w:rPr>
                                <w:sz w:val="16"/>
                                <w:szCs w:val="16"/>
                              </w:rPr>
                            </w:pPr>
                            <w:r>
                              <w:rPr>
                                <w:sz w:val="16"/>
                                <w:szCs w:val="16"/>
                              </w:rPr>
                              <w:t xml:space="preserve">Support counties in revival and rehabilitation of drivers of growth including agriculture, cottage and sugar industries to increase rural incomes, reduce poverty, increase jobs for the youth and reduce inequalities. </w:t>
                            </w:r>
                          </w:p>
                          <w:p w14:paraId="0C7E9B01" w14:textId="77777777" w:rsidR="00DA29A4" w:rsidRDefault="00DA29A4" w:rsidP="008329FF">
                            <w:pPr>
                              <w:pStyle w:val="ListParagraph"/>
                              <w:numPr>
                                <w:ilvl w:val="0"/>
                                <w:numId w:val="87"/>
                              </w:numPr>
                              <w:spacing w:after="0" w:line="240" w:lineRule="auto"/>
                              <w:ind w:left="270" w:hanging="270"/>
                              <w:jc w:val="both"/>
                              <w:rPr>
                                <w:sz w:val="16"/>
                                <w:szCs w:val="16"/>
                              </w:rPr>
                            </w:pPr>
                            <w:r w:rsidRPr="008645A7">
                              <w:rPr>
                                <w:sz w:val="16"/>
                                <w:szCs w:val="16"/>
                              </w:rPr>
                              <w:t xml:space="preserve">Improve tertiary </w:t>
                            </w:r>
                            <w:r>
                              <w:rPr>
                                <w:sz w:val="16"/>
                                <w:szCs w:val="16"/>
                              </w:rPr>
                              <w:t xml:space="preserve">education </w:t>
                            </w:r>
                            <w:r w:rsidRPr="008645A7">
                              <w:rPr>
                                <w:sz w:val="16"/>
                                <w:szCs w:val="16"/>
                              </w:rPr>
                              <w:t>institutions</w:t>
                            </w:r>
                            <w:r>
                              <w:rPr>
                                <w:sz w:val="16"/>
                                <w:szCs w:val="16"/>
                              </w:rPr>
                              <w:t>,</w:t>
                            </w:r>
                            <w:r w:rsidRPr="008645A7">
                              <w:rPr>
                                <w:sz w:val="16"/>
                                <w:szCs w:val="16"/>
                              </w:rPr>
                              <w:t xml:space="preserve"> health</w:t>
                            </w:r>
                            <w:r>
                              <w:rPr>
                                <w:sz w:val="16"/>
                                <w:szCs w:val="16"/>
                              </w:rPr>
                              <w:t>, and jobs creation for youth</w:t>
                            </w:r>
                            <w:r w:rsidRPr="008645A7">
                              <w:rPr>
                                <w:sz w:val="16"/>
                                <w:szCs w:val="16"/>
                              </w:rPr>
                              <w:t>.</w:t>
                            </w:r>
                          </w:p>
                          <w:p w14:paraId="700D3580" w14:textId="77777777" w:rsidR="00DA29A4"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Increase access to affordable credit to youth and women. </w:t>
                            </w:r>
                          </w:p>
                          <w:p w14:paraId="45CA5BEC" w14:textId="77777777" w:rsidR="00DA29A4" w:rsidRPr="008645A7"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For arid and semi-arid areas, invest in food security, irrigation and livestock development programs and markets to reduce poverty and vulnerability, and improve livelihoods. </w:t>
                            </w:r>
                          </w:p>
                          <w:p w14:paraId="7F354047" w14:textId="77777777" w:rsidR="00DA29A4"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Support capacity building of county authorities in financial management and procurement.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5" o:spid="_x0000_s1037" style="position:absolute;left:0;text-align:left;margin-left:233.25pt;margin-top:-34.05pt;width:264.95pt;height:247.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" fillcolor="#b7dee8" stroked="f">
                <v:shadow on="t" color="black" opacity="20971f" offset="0,2.2pt"/>
                <v:textbox>
                  <w:txbxContent>
                    <w:p w14:paraId="6423F0BC" w14:textId="77777777" w:rsidR="00DA29A4" w:rsidRPr="008645A7" w:rsidRDefault="00DA29A4" w:rsidP="008329FF">
                      <w:pPr>
                        <w:jc w:val="center"/>
                        <w:rPr>
                          <w:b/>
                          <w:sz w:val="18"/>
                          <w:szCs w:val="18"/>
                          <w:u w:val="single"/>
                        </w:rPr>
                      </w:pPr>
                      <w:r w:rsidRPr="008645A7">
                        <w:rPr>
                          <w:b/>
                          <w:sz w:val="18"/>
                          <w:szCs w:val="18"/>
                          <w:u w:val="single"/>
                        </w:rPr>
                        <w:t>County Governments</w:t>
                      </w:r>
                    </w:p>
                    <w:p w14:paraId="51D742DF"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Finance key infrastructure including feeder roads, rural electricity and water &amp; sanitation to make counties more competitive.</w:t>
                      </w:r>
                    </w:p>
                    <w:p w14:paraId="4A2D5867"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Help the counties in spatial planning to facilitate development of well-planned regional urban centers for growth and job creation.</w:t>
                      </w:r>
                    </w:p>
                    <w:p w14:paraId="48A536C4" w14:textId="77777777" w:rsidR="00DA29A4" w:rsidRDefault="00DA29A4" w:rsidP="008329FF">
                      <w:pPr>
                        <w:pStyle w:val="ListParagraph"/>
                        <w:numPr>
                          <w:ilvl w:val="0"/>
                          <w:numId w:val="87"/>
                        </w:numPr>
                        <w:spacing w:after="0" w:line="240" w:lineRule="auto"/>
                        <w:ind w:left="270" w:hanging="270"/>
                        <w:rPr>
                          <w:sz w:val="16"/>
                          <w:szCs w:val="16"/>
                        </w:rPr>
                      </w:pPr>
                      <w:r>
                        <w:rPr>
                          <w:sz w:val="16"/>
                          <w:szCs w:val="16"/>
                        </w:rPr>
                        <w:t>Enhance water security by investing in water resources and protection of catchment areas.</w:t>
                      </w:r>
                    </w:p>
                    <w:p w14:paraId="0532E4C2" w14:textId="77777777" w:rsidR="00DA29A4" w:rsidRPr="00FD3637" w:rsidRDefault="00DA29A4" w:rsidP="008329FF">
                      <w:pPr>
                        <w:pStyle w:val="ListParagraph"/>
                        <w:numPr>
                          <w:ilvl w:val="0"/>
                          <w:numId w:val="87"/>
                        </w:numPr>
                        <w:spacing w:after="0" w:line="240" w:lineRule="auto"/>
                        <w:ind w:left="270" w:hanging="270"/>
                        <w:rPr>
                          <w:sz w:val="16"/>
                          <w:szCs w:val="16"/>
                        </w:rPr>
                      </w:pPr>
                      <w:r>
                        <w:rPr>
                          <w:sz w:val="16"/>
                          <w:szCs w:val="16"/>
                        </w:rPr>
                        <w:t xml:space="preserve">Support counties in revival and rehabilitation of drivers of growth including agriculture, cottage and sugar industries to increase rural incomes, reduce poverty, increase jobs for the youth and reduce inequalities. </w:t>
                      </w:r>
                    </w:p>
                    <w:p w14:paraId="0C7E9B01" w14:textId="77777777" w:rsidR="00DA29A4" w:rsidRDefault="00DA29A4" w:rsidP="008329FF">
                      <w:pPr>
                        <w:pStyle w:val="ListParagraph"/>
                        <w:numPr>
                          <w:ilvl w:val="0"/>
                          <w:numId w:val="87"/>
                        </w:numPr>
                        <w:spacing w:after="0" w:line="240" w:lineRule="auto"/>
                        <w:ind w:left="270" w:hanging="270"/>
                        <w:jc w:val="both"/>
                        <w:rPr>
                          <w:sz w:val="16"/>
                          <w:szCs w:val="16"/>
                        </w:rPr>
                      </w:pPr>
                      <w:r w:rsidRPr="008645A7">
                        <w:rPr>
                          <w:sz w:val="16"/>
                          <w:szCs w:val="16"/>
                        </w:rPr>
                        <w:t xml:space="preserve">Improve tertiary </w:t>
                      </w:r>
                      <w:r>
                        <w:rPr>
                          <w:sz w:val="16"/>
                          <w:szCs w:val="16"/>
                        </w:rPr>
                        <w:t xml:space="preserve">education </w:t>
                      </w:r>
                      <w:r w:rsidRPr="008645A7">
                        <w:rPr>
                          <w:sz w:val="16"/>
                          <w:szCs w:val="16"/>
                        </w:rPr>
                        <w:t>institutions</w:t>
                      </w:r>
                      <w:r>
                        <w:rPr>
                          <w:sz w:val="16"/>
                          <w:szCs w:val="16"/>
                        </w:rPr>
                        <w:t>,</w:t>
                      </w:r>
                      <w:r w:rsidRPr="008645A7">
                        <w:rPr>
                          <w:sz w:val="16"/>
                          <w:szCs w:val="16"/>
                        </w:rPr>
                        <w:t xml:space="preserve"> health</w:t>
                      </w:r>
                      <w:r>
                        <w:rPr>
                          <w:sz w:val="16"/>
                          <w:szCs w:val="16"/>
                        </w:rPr>
                        <w:t>, and jobs creation for youth</w:t>
                      </w:r>
                      <w:r w:rsidRPr="008645A7">
                        <w:rPr>
                          <w:sz w:val="16"/>
                          <w:szCs w:val="16"/>
                        </w:rPr>
                        <w:t>.</w:t>
                      </w:r>
                    </w:p>
                    <w:p w14:paraId="700D3580" w14:textId="77777777" w:rsidR="00DA29A4"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Increase access to affordable credit to youth and women. </w:t>
                      </w:r>
                    </w:p>
                    <w:p w14:paraId="45CA5BEC" w14:textId="77777777" w:rsidR="00DA29A4" w:rsidRPr="008645A7"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For arid and semi-arid areas, invest in food security, irrigation and livestock development programs and markets to reduce poverty and vulnerability, and improve livelihoods. </w:t>
                      </w:r>
                    </w:p>
                    <w:p w14:paraId="7F354047" w14:textId="77777777" w:rsidR="00DA29A4" w:rsidRDefault="00DA29A4" w:rsidP="008329FF">
                      <w:pPr>
                        <w:pStyle w:val="ListParagraph"/>
                        <w:numPr>
                          <w:ilvl w:val="0"/>
                          <w:numId w:val="87"/>
                        </w:numPr>
                        <w:spacing w:after="0" w:line="240" w:lineRule="auto"/>
                        <w:ind w:left="270" w:hanging="270"/>
                        <w:jc w:val="both"/>
                        <w:rPr>
                          <w:sz w:val="16"/>
                          <w:szCs w:val="16"/>
                        </w:rPr>
                      </w:pPr>
                      <w:r>
                        <w:rPr>
                          <w:sz w:val="16"/>
                          <w:szCs w:val="16"/>
                        </w:rPr>
                        <w:t xml:space="preserve">Support capacity building of county authorities in financial management and procurement. </w:t>
                      </w:r>
                    </w:p>
                  </w:txbxContent>
                </v:textbox>
              </v:roundrect>
            </w:pict>
          </mc:Fallback>
        </mc:AlternateContent>
      </w:r>
    </w:p>
    <w:p w14:paraId="29C6EFE3" w14:textId="77777777" w:rsidR="00B80E53" w:rsidRDefault="00B80E53" w:rsidP="008329FF">
      <w:pPr>
        <w:spacing w:line="240" w:lineRule="auto"/>
        <w:jc w:val="both"/>
        <w:rPr>
          <w:rFonts w:ascii="Times New Roman" w:hAnsi="Times New Roman" w:cs="Times New Roman"/>
          <w:sz w:val="24"/>
          <w:szCs w:val="24"/>
        </w:rPr>
        <w:sectPr w:rsidR="00B80E53" w:rsidSect="00F96822">
          <w:endnotePr>
            <w:numFmt w:val="decimal"/>
          </w:endnotePr>
          <w:pgSz w:w="12240" w:h="15840"/>
          <w:pgMar w:top="1166" w:right="1170" w:bottom="1267" w:left="1440" w:header="720" w:footer="720" w:gutter="0"/>
          <w:cols w:space="720"/>
          <w:docGrid w:linePitch="360"/>
        </w:sectPr>
      </w:pPr>
    </w:p>
    <w:p w14:paraId="4FED9CEC" w14:textId="77777777" w:rsidR="00B3553D" w:rsidRPr="00B3553D" w:rsidRDefault="00B3553D" w:rsidP="00B3553D">
      <w:pPr>
        <w:pStyle w:val="Caption"/>
        <w:spacing w:after="0"/>
        <w:jc w:val="center"/>
        <w:rPr>
          <w:rFonts w:ascii="Times New Roman" w:hAnsi="Times New Roman" w:cs="Times New Roman"/>
          <w:color w:val="auto"/>
          <w:sz w:val="24"/>
          <w:szCs w:val="24"/>
        </w:rPr>
      </w:pPr>
      <w:bookmarkStart w:id="17" w:name="_Toc387342575"/>
      <w:r w:rsidRPr="00B3553D">
        <w:rPr>
          <w:rFonts w:ascii="Times New Roman" w:hAnsi="Times New Roman" w:cs="Times New Roman"/>
          <w:color w:val="auto"/>
          <w:sz w:val="24"/>
          <w:szCs w:val="24"/>
        </w:rPr>
        <w:lastRenderedPageBreak/>
        <w:t xml:space="preserve">Annex </w:t>
      </w:r>
      <w:r w:rsidRPr="00B3553D">
        <w:rPr>
          <w:rFonts w:ascii="Times New Roman" w:hAnsi="Times New Roman" w:cs="Times New Roman"/>
          <w:color w:val="auto"/>
          <w:sz w:val="24"/>
          <w:szCs w:val="24"/>
        </w:rPr>
        <w:fldChar w:fldCharType="begin"/>
      </w:r>
      <w:r w:rsidRPr="00B3553D">
        <w:rPr>
          <w:rFonts w:ascii="Times New Roman" w:hAnsi="Times New Roman" w:cs="Times New Roman"/>
          <w:color w:val="auto"/>
          <w:sz w:val="24"/>
          <w:szCs w:val="24"/>
        </w:rPr>
        <w:instrText xml:space="preserve"> SEQ Annex \* ARABIC </w:instrText>
      </w:r>
      <w:r w:rsidRPr="00B3553D">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14</w:t>
      </w:r>
      <w:r w:rsidRPr="00B3553D">
        <w:rPr>
          <w:rFonts w:ascii="Times New Roman" w:hAnsi="Times New Roman" w:cs="Times New Roman"/>
          <w:color w:val="auto"/>
          <w:sz w:val="24"/>
          <w:szCs w:val="24"/>
        </w:rPr>
        <w:fldChar w:fldCharType="end"/>
      </w:r>
      <w:r w:rsidRPr="00B3553D">
        <w:rPr>
          <w:rFonts w:ascii="Times New Roman" w:hAnsi="Times New Roman" w:cs="Times New Roman"/>
          <w:color w:val="auto"/>
          <w:sz w:val="24"/>
          <w:szCs w:val="24"/>
        </w:rPr>
        <w:t>: Donor Harmonization Matrix</w:t>
      </w:r>
      <w:bookmarkEnd w:id="17"/>
    </w:p>
    <w:tbl>
      <w:tblPr>
        <w:tblStyle w:val="TableGrid"/>
        <w:tblW w:w="14046" w:type="dxa"/>
        <w:jc w:val="center"/>
        <w:tblLook w:val="04A0" w:firstRow="1" w:lastRow="0" w:firstColumn="1" w:lastColumn="0" w:noHBand="0" w:noVBand="1"/>
      </w:tblPr>
      <w:tblGrid>
        <w:gridCol w:w="1294"/>
        <w:gridCol w:w="1338"/>
        <w:gridCol w:w="1272"/>
        <w:gridCol w:w="1450"/>
        <w:gridCol w:w="1505"/>
        <w:gridCol w:w="794"/>
        <w:gridCol w:w="1305"/>
        <w:gridCol w:w="1361"/>
        <w:gridCol w:w="1528"/>
        <w:gridCol w:w="1155"/>
        <w:gridCol w:w="1044"/>
      </w:tblGrid>
      <w:tr w:rsidR="0023481D" w:rsidRPr="003621FC" w14:paraId="593C4535" w14:textId="77777777" w:rsidTr="003D66FC">
        <w:trPr>
          <w:jc w:val="center"/>
        </w:trPr>
        <w:tc>
          <w:tcPr>
            <w:tcW w:w="1294" w:type="dxa"/>
            <w:vAlign w:val="center"/>
          </w:tcPr>
          <w:p w14:paraId="69A9F22F"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Donor</w:t>
            </w:r>
          </w:p>
          <w:p w14:paraId="37BCD6DB"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Partner</w:t>
            </w:r>
          </w:p>
        </w:tc>
        <w:tc>
          <w:tcPr>
            <w:tcW w:w="1338" w:type="dxa"/>
            <w:vAlign w:val="center"/>
          </w:tcPr>
          <w:p w14:paraId="628B6AF8"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Agriculture, Rural and Urban Development</w:t>
            </w:r>
          </w:p>
        </w:tc>
        <w:tc>
          <w:tcPr>
            <w:tcW w:w="1272" w:type="dxa"/>
            <w:vAlign w:val="center"/>
          </w:tcPr>
          <w:p w14:paraId="19939D03"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General Economics and Commercial Affairs</w:t>
            </w:r>
          </w:p>
        </w:tc>
        <w:tc>
          <w:tcPr>
            <w:tcW w:w="1450" w:type="dxa"/>
            <w:vAlign w:val="center"/>
          </w:tcPr>
          <w:p w14:paraId="4EFB4BA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Energy, Infrastructure and ICT</w:t>
            </w:r>
          </w:p>
        </w:tc>
        <w:tc>
          <w:tcPr>
            <w:tcW w:w="1505" w:type="dxa"/>
            <w:vAlign w:val="center"/>
          </w:tcPr>
          <w:p w14:paraId="19928ED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Environmental Protection, Water and Natural Resources</w:t>
            </w:r>
          </w:p>
        </w:tc>
        <w:tc>
          <w:tcPr>
            <w:tcW w:w="794" w:type="dxa"/>
            <w:vAlign w:val="center"/>
          </w:tcPr>
          <w:p w14:paraId="267F0FB9"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Health</w:t>
            </w:r>
          </w:p>
        </w:tc>
        <w:tc>
          <w:tcPr>
            <w:tcW w:w="1305" w:type="dxa"/>
            <w:vAlign w:val="center"/>
          </w:tcPr>
          <w:p w14:paraId="738AED77"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Education</w:t>
            </w:r>
          </w:p>
        </w:tc>
        <w:tc>
          <w:tcPr>
            <w:tcW w:w="1361" w:type="dxa"/>
            <w:vAlign w:val="center"/>
          </w:tcPr>
          <w:p w14:paraId="33C4F674"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Governance, Justice, Law and Order</w:t>
            </w:r>
          </w:p>
        </w:tc>
        <w:tc>
          <w:tcPr>
            <w:tcW w:w="1528" w:type="dxa"/>
            <w:vAlign w:val="center"/>
          </w:tcPr>
          <w:p w14:paraId="262F7C4F"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Public Administration and International Relations</w:t>
            </w:r>
          </w:p>
        </w:tc>
        <w:tc>
          <w:tcPr>
            <w:tcW w:w="1155" w:type="dxa"/>
            <w:vAlign w:val="center"/>
          </w:tcPr>
          <w:p w14:paraId="06C0B713"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Social Protection, Culture, and Recreation</w:t>
            </w:r>
          </w:p>
        </w:tc>
        <w:tc>
          <w:tcPr>
            <w:tcW w:w="1044" w:type="dxa"/>
            <w:vAlign w:val="center"/>
          </w:tcPr>
          <w:p w14:paraId="2A3BF53F"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National Security</w:t>
            </w:r>
          </w:p>
        </w:tc>
      </w:tr>
      <w:tr w:rsidR="0023481D" w:rsidRPr="003621FC" w14:paraId="073599A4" w14:textId="77777777" w:rsidTr="003D66FC">
        <w:trPr>
          <w:jc w:val="center"/>
        </w:trPr>
        <w:tc>
          <w:tcPr>
            <w:tcW w:w="1294" w:type="dxa"/>
          </w:tcPr>
          <w:p w14:paraId="7837DB7E"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Abhu Dhabi (ADF)</w:t>
            </w:r>
          </w:p>
        </w:tc>
        <w:tc>
          <w:tcPr>
            <w:tcW w:w="1338" w:type="dxa"/>
          </w:tcPr>
          <w:p w14:paraId="11EC576E"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32E2C4BE"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40A28630"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3602BF1F"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226AE061"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792EB417"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0FBFC1CE"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4A7AC198"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6261C22D"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5B633002"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0939C5C1" w14:textId="77777777" w:rsidTr="003D66FC">
        <w:trPr>
          <w:jc w:val="center"/>
        </w:trPr>
        <w:tc>
          <w:tcPr>
            <w:tcW w:w="1294" w:type="dxa"/>
          </w:tcPr>
          <w:p w14:paraId="2E53E50C"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African Development Bank (AfDB)</w:t>
            </w:r>
          </w:p>
        </w:tc>
        <w:tc>
          <w:tcPr>
            <w:tcW w:w="1338" w:type="dxa"/>
          </w:tcPr>
          <w:p w14:paraId="6386C73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44964CBF"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550B103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24798C69"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660C52BD"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01CEF827"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61" w:type="dxa"/>
          </w:tcPr>
          <w:p w14:paraId="7C129B53"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70DDB0F8"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03DB0791"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04BE07B1"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25BDBEB9" w14:textId="77777777" w:rsidTr="003D66FC">
        <w:trPr>
          <w:jc w:val="center"/>
        </w:trPr>
        <w:tc>
          <w:tcPr>
            <w:tcW w:w="1294" w:type="dxa"/>
          </w:tcPr>
          <w:p w14:paraId="0864364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Arab Bank for Economic Development in Africa (BADEA)</w:t>
            </w:r>
          </w:p>
        </w:tc>
        <w:tc>
          <w:tcPr>
            <w:tcW w:w="1338" w:type="dxa"/>
          </w:tcPr>
          <w:p w14:paraId="078358B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54EE9E1F"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6134F5F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47CCAB0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11C9B1B1"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05" w:type="dxa"/>
          </w:tcPr>
          <w:p w14:paraId="01B282BC"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384E18F3"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71FF407"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0FE1818B"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59337288"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50A2323B" w14:textId="77777777" w:rsidTr="003D66FC">
        <w:trPr>
          <w:jc w:val="center"/>
        </w:trPr>
        <w:tc>
          <w:tcPr>
            <w:tcW w:w="1294" w:type="dxa"/>
          </w:tcPr>
          <w:p w14:paraId="7B4A8796"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Belgium (BTC)</w:t>
            </w:r>
          </w:p>
        </w:tc>
        <w:tc>
          <w:tcPr>
            <w:tcW w:w="1338" w:type="dxa"/>
          </w:tcPr>
          <w:p w14:paraId="75407129"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444232D9"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3AA57989"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79345A47"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68784A01"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69BBFE1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61" w:type="dxa"/>
          </w:tcPr>
          <w:p w14:paraId="6C0F0673"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17776B08"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5B51D21E"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6CF6BC49"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5173D15D" w14:textId="77777777" w:rsidTr="003D66FC">
        <w:trPr>
          <w:jc w:val="center"/>
        </w:trPr>
        <w:tc>
          <w:tcPr>
            <w:tcW w:w="1294" w:type="dxa"/>
          </w:tcPr>
          <w:p w14:paraId="796DE90E"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China</w:t>
            </w:r>
          </w:p>
        </w:tc>
        <w:tc>
          <w:tcPr>
            <w:tcW w:w="1338" w:type="dxa"/>
          </w:tcPr>
          <w:p w14:paraId="0892C64F"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01CE80DF"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6A32990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32251C87"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54C42B01"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04B2958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61" w:type="dxa"/>
          </w:tcPr>
          <w:p w14:paraId="521F903F"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1FED94CF"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78728D75"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5DA9AD8D"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09589C70" w14:textId="77777777" w:rsidTr="003D66FC">
        <w:trPr>
          <w:jc w:val="center"/>
        </w:trPr>
        <w:tc>
          <w:tcPr>
            <w:tcW w:w="1294" w:type="dxa"/>
          </w:tcPr>
          <w:p w14:paraId="6333C02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Denmark</w:t>
            </w:r>
          </w:p>
        </w:tc>
        <w:tc>
          <w:tcPr>
            <w:tcW w:w="1338" w:type="dxa"/>
          </w:tcPr>
          <w:p w14:paraId="535EF95F"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7D91989C"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5598967A"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59D19F42"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59D7981E"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05" w:type="dxa"/>
          </w:tcPr>
          <w:p w14:paraId="3EF39B61"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229CA1F8"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28" w:type="dxa"/>
          </w:tcPr>
          <w:p w14:paraId="6DFE76B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561E3415"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5FC0FA8B"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3451A35B" w14:textId="77777777" w:rsidTr="003D66FC">
        <w:trPr>
          <w:jc w:val="center"/>
        </w:trPr>
        <w:tc>
          <w:tcPr>
            <w:tcW w:w="1294" w:type="dxa"/>
          </w:tcPr>
          <w:p w14:paraId="2776246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European Development Fund (EDF)</w:t>
            </w:r>
          </w:p>
        </w:tc>
        <w:tc>
          <w:tcPr>
            <w:tcW w:w="1338" w:type="dxa"/>
          </w:tcPr>
          <w:p w14:paraId="7A5FEB6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4CD66951"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450" w:type="dxa"/>
          </w:tcPr>
          <w:p w14:paraId="58932A5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20CCCE69"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6C175474"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560FDCD3"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39978011"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28" w:type="dxa"/>
          </w:tcPr>
          <w:p w14:paraId="0418D7D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481DB191"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3631ECAE"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21826C63" w14:textId="77777777" w:rsidTr="003D66FC">
        <w:trPr>
          <w:jc w:val="center"/>
        </w:trPr>
        <w:tc>
          <w:tcPr>
            <w:tcW w:w="1294" w:type="dxa"/>
          </w:tcPr>
          <w:p w14:paraId="3AF4B339"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European Investment Bank</w:t>
            </w:r>
          </w:p>
        </w:tc>
        <w:tc>
          <w:tcPr>
            <w:tcW w:w="1338" w:type="dxa"/>
          </w:tcPr>
          <w:p w14:paraId="588C7164"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1EE6E172"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1A639D4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7A952526"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46BF0EC7"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2AA6B865"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58FCB4D6"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71B24DC8"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605EDBE7"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32271CA3"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59C83293" w14:textId="77777777" w:rsidTr="003D66FC">
        <w:trPr>
          <w:jc w:val="center"/>
        </w:trPr>
        <w:tc>
          <w:tcPr>
            <w:tcW w:w="1294" w:type="dxa"/>
          </w:tcPr>
          <w:p w14:paraId="2384DD4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Finland (FINDA)</w:t>
            </w:r>
          </w:p>
        </w:tc>
        <w:tc>
          <w:tcPr>
            <w:tcW w:w="1338" w:type="dxa"/>
          </w:tcPr>
          <w:p w14:paraId="3B296899" w14:textId="77777777" w:rsidR="000B2AE7" w:rsidRPr="0023481D" w:rsidRDefault="000B2AE7" w:rsidP="000B2AE7">
            <w:pPr>
              <w:ind w:firstLine="0"/>
              <w:jc w:val="center"/>
              <w:rPr>
                <w:rFonts w:ascii="Times New Roman" w:hAnsi="Times New Roman" w:cs="Times New Roman"/>
                <w:sz w:val="20"/>
                <w:szCs w:val="20"/>
              </w:rPr>
            </w:pPr>
          </w:p>
        </w:tc>
        <w:tc>
          <w:tcPr>
            <w:tcW w:w="1272" w:type="dxa"/>
          </w:tcPr>
          <w:p w14:paraId="3E9E88D4"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62F3FF49"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45957E4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131AD6DE"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07B1D167"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4BBB0C39"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61D0BC3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1FD0D409"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29631924"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62BD7322" w14:textId="77777777" w:rsidTr="003D66FC">
        <w:trPr>
          <w:jc w:val="center"/>
        </w:trPr>
        <w:tc>
          <w:tcPr>
            <w:tcW w:w="1294" w:type="dxa"/>
          </w:tcPr>
          <w:p w14:paraId="70490997"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Food and Agricultural Organization (FAO)</w:t>
            </w:r>
          </w:p>
        </w:tc>
        <w:tc>
          <w:tcPr>
            <w:tcW w:w="1338" w:type="dxa"/>
          </w:tcPr>
          <w:p w14:paraId="3D01DE0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0BB00CF6"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7BEDFF59"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7469EC32"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1E97258A"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2787DDDA"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2256A8F2"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719C20F4"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0DA93711"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2FB2358F" w14:textId="77777777" w:rsidR="000B2AE7" w:rsidRPr="0023481D" w:rsidRDefault="000B2AE7" w:rsidP="000B2AE7">
            <w:pPr>
              <w:ind w:firstLine="0"/>
              <w:jc w:val="center"/>
              <w:rPr>
                <w:rFonts w:ascii="Times New Roman" w:hAnsi="Times New Roman" w:cs="Times New Roman"/>
                <w:sz w:val="20"/>
                <w:szCs w:val="20"/>
              </w:rPr>
            </w:pPr>
          </w:p>
        </w:tc>
      </w:tr>
      <w:tr w:rsidR="0023481D" w:rsidRPr="003621FC" w14:paraId="3F133873" w14:textId="77777777" w:rsidTr="003D66FC">
        <w:trPr>
          <w:jc w:val="center"/>
        </w:trPr>
        <w:tc>
          <w:tcPr>
            <w:tcW w:w="1294" w:type="dxa"/>
          </w:tcPr>
          <w:p w14:paraId="18F6C46F"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France</w:t>
            </w:r>
          </w:p>
          <w:p w14:paraId="4DDA8B1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(AFD)</w:t>
            </w:r>
          </w:p>
        </w:tc>
        <w:tc>
          <w:tcPr>
            <w:tcW w:w="1338" w:type="dxa"/>
          </w:tcPr>
          <w:p w14:paraId="54162CF2"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71C71FF8" w14:textId="77777777" w:rsidR="000B2AE7" w:rsidRPr="0023481D" w:rsidRDefault="000B2AE7" w:rsidP="000B2AE7">
            <w:pPr>
              <w:ind w:firstLine="0"/>
              <w:jc w:val="center"/>
              <w:rPr>
                <w:rFonts w:ascii="Times New Roman" w:hAnsi="Times New Roman" w:cs="Times New Roman"/>
                <w:sz w:val="20"/>
                <w:szCs w:val="20"/>
              </w:rPr>
            </w:pPr>
          </w:p>
        </w:tc>
        <w:tc>
          <w:tcPr>
            <w:tcW w:w="1450" w:type="dxa"/>
          </w:tcPr>
          <w:p w14:paraId="7F22680C"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65FE9768"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73036524" w14:textId="77777777" w:rsidR="000B2AE7" w:rsidRPr="0023481D" w:rsidRDefault="000B2AE7" w:rsidP="000B2AE7">
            <w:pPr>
              <w:ind w:firstLine="0"/>
              <w:jc w:val="center"/>
              <w:rPr>
                <w:rFonts w:ascii="Times New Roman" w:hAnsi="Times New Roman" w:cs="Times New Roman"/>
                <w:sz w:val="20"/>
                <w:szCs w:val="20"/>
              </w:rPr>
            </w:pPr>
          </w:p>
        </w:tc>
        <w:tc>
          <w:tcPr>
            <w:tcW w:w="1305" w:type="dxa"/>
          </w:tcPr>
          <w:p w14:paraId="644C19A6" w14:textId="77777777" w:rsidR="000B2AE7" w:rsidRPr="0023481D" w:rsidRDefault="000B2AE7" w:rsidP="000B2AE7">
            <w:pPr>
              <w:ind w:firstLine="0"/>
              <w:jc w:val="center"/>
              <w:rPr>
                <w:rFonts w:ascii="Times New Roman" w:hAnsi="Times New Roman" w:cs="Times New Roman"/>
                <w:sz w:val="20"/>
                <w:szCs w:val="20"/>
              </w:rPr>
            </w:pPr>
          </w:p>
        </w:tc>
        <w:tc>
          <w:tcPr>
            <w:tcW w:w="1361" w:type="dxa"/>
          </w:tcPr>
          <w:p w14:paraId="5680F402"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C1DD07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0ED40422" w14:textId="77777777" w:rsidR="000B2AE7" w:rsidRPr="0023481D" w:rsidRDefault="000B2AE7" w:rsidP="000B2AE7">
            <w:pPr>
              <w:ind w:firstLine="0"/>
              <w:jc w:val="center"/>
              <w:rPr>
                <w:rFonts w:ascii="Times New Roman" w:hAnsi="Times New Roman" w:cs="Times New Roman"/>
                <w:sz w:val="20"/>
                <w:szCs w:val="20"/>
              </w:rPr>
            </w:pPr>
          </w:p>
        </w:tc>
        <w:tc>
          <w:tcPr>
            <w:tcW w:w="1044" w:type="dxa"/>
          </w:tcPr>
          <w:p w14:paraId="76AF5315" w14:textId="77777777" w:rsidR="000B2AE7" w:rsidRPr="0023481D" w:rsidRDefault="000B2AE7" w:rsidP="000B2AE7">
            <w:pPr>
              <w:ind w:firstLine="0"/>
              <w:jc w:val="center"/>
              <w:rPr>
                <w:rFonts w:ascii="Times New Roman" w:hAnsi="Times New Roman" w:cs="Times New Roman"/>
                <w:sz w:val="20"/>
                <w:szCs w:val="20"/>
              </w:rPr>
            </w:pPr>
          </w:p>
        </w:tc>
      </w:tr>
      <w:tr w:rsidR="003D66FC" w:rsidRPr="003621FC" w14:paraId="63DCAD2B" w14:textId="77777777" w:rsidTr="003D66FC">
        <w:trPr>
          <w:jc w:val="center"/>
        </w:trPr>
        <w:tc>
          <w:tcPr>
            <w:tcW w:w="1294" w:type="dxa"/>
          </w:tcPr>
          <w:p w14:paraId="5F697C4D"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Germany (GIZ)</w:t>
            </w:r>
          </w:p>
        </w:tc>
        <w:tc>
          <w:tcPr>
            <w:tcW w:w="1338" w:type="dxa"/>
          </w:tcPr>
          <w:p w14:paraId="6CD27EB8"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6254567F" w14:textId="77777777" w:rsidR="003D66FC" w:rsidRPr="0023481D" w:rsidRDefault="003D66FC" w:rsidP="001F2ADA">
            <w:pPr>
              <w:ind w:firstLine="0"/>
              <w:jc w:val="center"/>
              <w:rPr>
                <w:rFonts w:ascii="Times New Roman" w:hAnsi="Times New Roman" w:cs="Times New Roman"/>
                <w:sz w:val="20"/>
                <w:szCs w:val="20"/>
              </w:rPr>
            </w:pPr>
          </w:p>
        </w:tc>
        <w:tc>
          <w:tcPr>
            <w:tcW w:w="1450" w:type="dxa"/>
          </w:tcPr>
          <w:p w14:paraId="58873781" w14:textId="77777777" w:rsidR="003D66FC" w:rsidRPr="0023481D" w:rsidRDefault="003D66FC" w:rsidP="001F2ADA">
            <w:pPr>
              <w:ind w:firstLine="0"/>
              <w:jc w:val="center"/>
              <w:rPr>
                <w:rFonts w:ascii="Times New Roman" w:hAnsi="Times New Roman" w:cs="Times New Roman"/>
                <w:sz w:val="20"/>
                <w:szCs w:val="20"/>
              </w:rPr>
            </w:pPr>
          </w:p>
        </w:tc>
        <w:tc>
          <w:tcPr>
            <w:tcW w:w="1505" w:type="dxa"/>
          </w:tcPr>
          <w:p w14:paraId="566922E2"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1A6C1BD5" w14:textId="77777777" w:rsidR="003D66FC" w:rsidRPr="0023481D" w:rsidRDefault="003D66FC" w:rsidP="001F2ADA">
            <w:pPr>
              <w:ind w:firstLine="0"/>
              <w:jc w:val="center"/>
              <w:rPr>
                <w:rFonts w:ascii="Times New Roman" w:hAnsi="Times New Roman" w:cs="Times New Roman"/>
                <w:sz w:val="20"/>
                <w:szCs w:val="20"/>
              </w:rPr>
            </w:pPr>
          </w:p>
        </w:tc>
        <w:tc>
          <w:tcPr>
            <w:tcW w:w="1305" w:type="dxa"/>
          </w:tcPr>
          <w:p w14:paraId="40748B27" w14:textId="77777777" w:rsidR="003D66FC" w:rsidRPr="0023481D" w:rsidRDefault="003D66FC" w:rsidP="001F2ADA">
            <w:pPr>
              <w:ind w:firstLine="0"/>
              <w:jc w:val="center"/>
              <w:rPr>
                <w:rFonts w:ascii="Times New Roman" w:hAnsi="Times New Roman" w:cs="Times New Roman"/>
                <w:sz w:val="20"/>
                <w:szCs w:val="20"/>
              </w:rPr>
            </w:pPr>
          </w:p>
        </w:tc>
        <w:tc>
          <w:tcPr>
            <w:tcW w:w="1361" w:type="dxa"/>
          </w:tcPr>
          <w:p w14:paraId="520B29AA"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28" w:type="dxa"/>
          </w:tcPr>
          <w:p w14:paraId="114A3813"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6755F828" w14:textId="77777777" w:rsidR="003D66FC" w:rsidRPr="0023481D" w:rsidRDefault="003D66FC" w:rsidP="001F2ADA">
            <w:pPr>
              <w:ind w:firstLine="0"/>
              <w:jc w:val="center"/>
              <w:rPr>
                <w:rFonts w:ascii="Times New Roman" w:hAnsi="Times New Roman" w:cs="Times New Roman"/>
                <w:sz w:val="20"/>
                <w:szCs w:val="20"/>
              </w:rPr>
            </w:pPr>
          </w:p>
        </w:tc>
        <w:tc>
          <w:tcPr>
            <w:tcW w:w="1044" w:type="dxa"/>
          </w:tcPr>
          <w:p w14:paraId="681E0CC4" w14:textId="77777777" w:rsidR="003D66FC" w:rsidRPr="0023481D" w:rsidRDefault="003D66FC" w:rsidP="001F2ADA">
            <w:pPr>
              <w:ind w:firstLine="0"/>
              <w:jc w:val="center"/>
              <w:rPr>
                <w:rFonts w:ascii="Times New Roman" w:hAnsi="Times New Roman" w:cs="Times New Roman"/>
                <w:sz w:val="20"/>
                <w:szCs w:val="20"/>
              </w:rPr>
            </w:pPr>
          </w:p>
        </w:tc>
      </w:tr>
      <w:tr w:rsidR="003D66FC" w:rsidRPr="003621FC" w14:paraId="4184C70C" w14:textId="77777777" w:rsidTr="003D66FC">
        <w:trPr>
          <w:jc w:val="center"/>
        </w:trPr>
        <w:tc>
          <w:tcPr>
            <w:tcW w:w="1294" w:type="dxa"/>
          </w:tcPr>
          <w:p w14:paraId="23EC2F07"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Germany (KFW)</w:t>
            </w:r>
          </w:p>
        </w:tc>
        <w:tc>
          <w:tcPr>
            <w:tcW w:w="1338" w:type="dxa"/>
          </w:tcPr>
          <w:p w14:paraId="36D4E24E"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272" w:type="dxa"/>
          </w:tcPr>
          <w:p w14:paraId="1FFA9E1C" w14:textId="77777777" w:rsidR="003D66FC" w:rsidRPr="0023481D" w:rsidRDefault="003D66FC" w:rsidP="001F2ADA">
            <w:pPr>
              <w:ind w:firstLine="0"/>
              <w:jc w:val="center"/>
              <w:rPr>
                <w:rFonts w:ascii="Times New Roman" w:hAnsi="Times New Roman" w:cs="Times New Roman"/>
                <w:sz w:val="20"/>
                <w:szCs w:val="20"/>
              </w:rPr>
            </w:pPr>
          </w:p>
        </w:tc>
        <w:tc>
          <w:tcPr>
            <w:tcW w:w="1450" w:type="dxa"/>
          </w:tcPr>
          <w:p w14:paraId="6C904E7E" w14:textId="77777777" w:rsidR="003D66FC" w:rsidRPr="0023481D" w:rsidRDefault="003D66FC" w:rsidP="001F2ADA">
            <w:pPr>
              <w:ind w:firstLine="0"/>
              <w:jc w:val="center"/>
              <w:rPr>
                <w:rFonts w:ascii="Times New Roman" w:hAnsi="Times New Roman" w:cs="Times New Roman"/>
                <w:sz w:val="20"/>
                <w:szCs w:val="20"/>
              </w:rPr>
            </w:pPr>
          </w:p>
        </w:tc>
        <w:tc>
          <w:tcPr>
            <w:tcW w:w="1505" w:type="dxa"/>
          </w:tcPr>
          <w:p w14:paraId="77202C0F"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2847380F"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05" w:type="dxa"/>
          </w:tcPr>
          <w:p w14:paraId="4F3E4D9F" w14:textId="77777777" w:rsidR="003D66FC" w:rsidRPr="0023481D" w:rsidRDefault="003D66FC" w:rsidP="001F2ADA">
            <w:pPr>
              <w:ind w:firstLine="0"/>
              <w:jc w:val="center"/>
              <w:rPr>
                <w:rFonts w:ascii="Times New Roman" w:hAnsi="Times New Roman" w:cs="Times New Roman"/>
                <w:sz w:val="20"/>
                <w:szCs w:val="20"/>
              </w:rPr>
            </w:pPr>
          </w:p>
        </w:tc>
        <w:tc>
          <w:tcPr>
            <w:tcW w:w="1361" w:type="dxa"/>
          </w:tcPr>
          <w:p w14:paraId="2434B31E" w14:textId="77777777" w:rsidR="003D66FC" w:rsidRPr="0023481D" w:rsidRDefault="003D66FC" w:rsidP="001F2ADA">
            <w:pPr>
              <w:ind w:firstLine="0"/>
              <w:jc w:val="center"/>
              <w:rPr>
                <w:rFonts w:ascii="Times New Roman" w:hAnsi="Times New Roman" w:cs="Times New Roman"/>
                <w:sz w:val="20"/>
                <w:szCs w:val="20"/>
              </w:rPr>
            </w:pPr>
          </w:p>
        </w:tc>
        <w:tc>
          <w:tcPr>
            <w:tcW w:w="1528" w:type="dxa"/>
          </w:tcPr>
          <w:p w14:paraId="14C83E06" w14:textId="77777777" w:rsidR="003D66FC" w:rsidRPr="0023481D" w:rsidRDefault="003D66FC" w:rsidP="001F2ADA">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61002187" w14:textId="77777777" w:rsidR="003D66FC" w:rsidRPr="0023481D" w:rsidRDefault="003D66FC" w:rsidP="001F2ADA">
            <w:pPr>
              <w:ind w:firstLine="0"/>
              <w:jc w:val="center"/>
              <w:rPr>
                <w:rFonts w:ascii="Times New Roman" w:hAnsi="Times New Roman" w:cs="Times New Roman"/>
                <w:sz w:val="20"/>
                <w:szCs w:val="20"/>
              </w:rPr>
            </w:pPr>
          </w:p>
        </w:tc>
        <w:tc>
          <w:tcPr>
            <w:tcW w:w="1044" w:type="dxa"/>
          </w:tcPr>
          <w:p w14:paraId="5D131E78" w14:textId="77777777" w:rsidR="003D66FC" w:rsidRPr="0023481D" w:rsidRDefault="003D66FC" w:rsidP="001F2ADA">
            <w:pPr>
              <w:ind w:firstLine="0"/>
              <w:jc w:val="center"/>
              <w:rPr>
                <w:rFonts w:ascii="Times New Roman" w:hAnsi="Times New Roman" w:cs="Times New Roman"/>
                <w:sz w:val="20"/>
                <w:szCs w:val="20"/>
              </w:rPr>
            </w:pPr>
          </w:p>
        </w:tc>
      </w:tr>
    </w:tbl>
    <w:p w14:paraId="1DD4EEF4" w14:textId="77777777" w:rsidR="0023481D" w:rsidRDefault="0023481D" w:rsidP="000B2AE7">
      <w:pPr>
        <w:jc w:val="center"/>
        <w:rPr>
          <w:rFonts w:ascii="Times New Roman" w:hAnsi="Times New Roman" w:cs="Times New Roman"/>
          <w:b/>
          <w:sz w:val="20"/>
          <w:szCs w:val="20"/>
        </w:rPr>
        <w:sectPr w:rsidR="0023481D" w:rsidSect="00F96822">
          <w:endnotePr>
            <w:numFmt w:val="decimal"/>
          </w:endnotePr>
          <w:pgSz w:w="15840" w:h="12240" w:orient="landscape"/>
          <w:pgMar w:top="1440" w:right="1166" w:bottom="1170" w:left="1267" w:header="720" w:footer="720" w:gutter="0"/>
          <w:cols w:space="720"/>
          <w:docGrid w:linePitch="360"/>
        </w:sectPr>
      </w:pPr>
    </w:p>
    <w:tbl>
      <w:tblPr>
        <w:tblStyle w:val="TableGrid"/>
        <w:tblW w:w="14397" w:type="dxa"/>
        <w:tblInd w:w="-774" w:type="dxa"/>
        <w:tblLook w:val="04A0" w:firstRow="1" w:lastRow="0" w:firstColumn="1" w:lastColumn="0" w:noHBand="0" w:noVBand="1"/>
      </w:tblPr>
      <w:tblGrid>
        <w:gridCol w:w="1847"/>
        <w:gridCol w:w="1338"/>
        <w:gridCol w:w="1321"/>
        <w:gridCol w:w="1564"/>
        <w:gridCol w:w="1505"/>
        <w:gridCol w:w="794"/>
        <w:gridCol w:w="1095"/>
        <w:gridCol w:w="1300"/>
        <w:gridCol w:w="1528"/>
        <w:gridCol w:w="1155"/>
        <w:gridCol w:w="950"/>
      </w:tblGrid>
      <w:tr w:rsidR="0023481D" w:rsidRPr="0023481D" w14:paraId="08C10F9B" w14:textId="77777777" w:rsidTr="003D66FC">
        <w:tc>
          <w:tcPr>
            <w:tcW w:w="1847" w:type="dxa"/>
          </w:tcPr>
          <w:p w14:paraId="0CDFC715"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lastRenderedPageBreak/>
              <w:t>External Partner</w:t>
            </w:r>
          </w:p>
        </w:tc>
        <w:tc>
          <w:tcPr>
            <w:tcW w:w="1338" w:type="dxa"/>
          </w:tcPr>
          <w:p w14:paraId="7FE52C31"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Agriculture, Rural and Urban Development</w:t>
            </w:r>
          </w:p>
        </w:tc>
        <w:tc>
          <w:tcPr>
            <w:tcW w:w="1321" w:type="dxa"/>
          </w:tcPr>
          <w:p w14:paraId="15DD6384"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General Economics and Commercial Affairs</w:t>
            </w:r>
          </w:p>
        </w:tc>
        <w:tc>
          <w:tcPr>
            <w:tcW w:w="1564" w:type="dxa"/>
          </w:tcPr>
          <w:p w14:paraId="693F816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Energy, Infrastructure and ICT</w:t>
            </w:r>
          </w:p>
        </w:tc>
        <w:tc>
          <w:tcPr>
            <w:tcW w:w="1505" w:type="dxa"/>
          </w:tcPr>
          <w:p w14:paraId="44549DC5"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Environmental Protection, Water and Natural Resources</w:t>
            </w:r>
          </w:p>
        </w:tc>
        <w:tc>
          <w:tcPr>
            <w:tcW w:w="794" w:type="dxa"/>
          </w:tcPr>
          <w:p w14:paraId="7D35555F"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Health</w:t>
            </w:r>
          </w:p>
        </w:tc>
        <w:tc>
          <w:tcPr>
            <w:tcW w:w="1095" w:type="dxa"/>
          </w:tcPr>
          <w:p w14:paraId="0219104E"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Education</w:t>
            </w:r>
          </w:p>
        </w:tc>
        <w:tc>
          <w:tcPr>
            <w:tcW w:w="1300" w:type="dxa"/>
          </w:tcPr>
          <w:p w14:paraId="16933E4E"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Governance, Justice, Law and Order</w:t>
            </w:r>
          </w:p>
        </w:tc>
        <w:tc>
          <w:tcPr>
            <w:tcW w:w="1528" w:type="dxa"/>
          </w:tcPr>
          <w:p w14:paraId="29C9F222"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Public Administration and International Relations</w:t>
            </w:r>
          </w:p>
        </w:tc>
        <w:tc>
          <w:tcPr>
            <w:tcW w:w="1155" w:type="dxa"/>
          </w:tcPr>
          <w:p w14:paraId="435ACAE2"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Social Protection, Culture, and Recreation</w:t>
            </w:r>
          </w:p>
        </w:tc>
        <w:tc>
          <w:tcPr>
            <w:tcW w:w="950" w:type="dxa"/>
          </w:tcPr>
          <w:p w14:paraId="0D26135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National Security</w:t>
            </w:r>
          </w:p>
        </w:tc>
      </w:tr>
      <w:tr w:rsidR="0023481D" w:rsidRPr="0023481D" w14:paraId="409C3543" w14:textId="77777777" w:rsidTr="003D66FC">
        <w:tc>
          <w:tcPr>
            <w:tcW w:w="1847" w:type="dxa"/>
          </w:tcPr>
          <w:p w14:paraId="718071B7"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GEF</w:t>
            </w:r>
          </w:p>
        </w:tc>
        <w:tc>
          <w:tcPr>
            <w:tcW w:w="1338" w:type="dxa"/>
          </w:tcPr>
          <w:p w14:paraId="67977376"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38356AFB"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7455F559"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20B25331"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742E3C04"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2CC14EA7"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0EF33769"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3A16959"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025349A3"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503C9E92"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029E2418" w14:textId="77777777" w:rsidTr="003D66FC">
        <w:tc>
          <w:tcPr>
            <w:tcW w:w="1847" w:type="dxa"/>
          </w:tcPr>
          <w:p w14:paraId="43B41D3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Global Fund</w:t>
            </w:r>
          </w:p>
        </w:tc>
        <w:tc>
          <w:tcPr>
            <w:tcW w:w="1338" w:type="dxa"/>
          </w:tcPr>
          <w:p w14:paraId="6FD27517"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77E2DB94"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550EB014"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2F85DE16"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3DA5BE4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095" w:type="dxa"/>
          </w:tcPr>
          <w:p w14:paraId="1A813376"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699FF9E6"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3942EA0F"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571A24CE"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2102C722"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3C21E0D5" w14:textId="77777777" w:rsidTr="003D66FC">
        <w:tc>
          <w:tcPr>
            <w:tcW w:w="1847" w:type="dxa"/>
          </w:tcPr>
          <w:p w14:paraId="07DB5DC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India</w:t>
            </w:r>
          </w:p>
        </w:tc>
        <w:tc>
          <w:tcPr>
            <w:tcW w:w="1338" w:type="dxa"/>
          </w:tcPr>
          <w:p w14:paraId="6D98D89F"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1BBB4267"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79EF38E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69675E7E"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3DA100C8"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64A7DFE8"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1745ACA9"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66FDA004"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2AF0A461"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6CDED86E"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6E60302F" w14:textId="77777777" w:rsidTr="003D66FC">
        <w:tc>
          <w:tcPr>
            <w:tcW w:w="1847" w:type="dxa"/>
          </w:tcPr>
          <w:p w14:paraId="7ABB225E"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International Fund for Agricultural Development (IFAD)</w:t>
            </w:r>
          </w:p>
        </w:tc>
        <w:tc>
          <w:tcPr>
            <w:tcW w:w="1338" w:type="dxa"/>
          </w:tcPr>
          <w:p w14:paraId="78226BE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5B9365FF"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40BCCE10"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263A2144"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1F1B054C"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6AA6F50C"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2213AF4B"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6838933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5D75271B"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726A2D7E"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5122A79A" w14:textId="77777777" w:rsidTr="003D66FC">
        <w:tc>
          <w:tcPr>
            <w:tcW w:w="1847" w:type="dxa"/>
          </w:tcPr>
          <w:p w14:paraId="7B256D30"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Italy</w:t>
            </w:r>
          </w:p>
        </w:tc>
        <w:tc>
          <w:tcPr>
            <w:tcW w:w="1338" w:type="dxa"/>
          </w:tcPr>
          <w:p w14:paraId="65DABCDA"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138BDF20"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77FB7FA0"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065C156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15AD3EF9"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32559F4A"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19CCA2A4"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5A882F5D"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358DEF0F"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2118D7FC"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2F553695" w14:textId="77777777" w:rsidTr="003D66FC">
        <w:tc>
          <w:tcPr>
            <w:tcW w:w="1847" w:type="dxa"/>
          </w:tcPr>
          <w:p w14:paraId="39849C9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Japan (JICA)</w:t>
            </w:r>
          </w:p>
        </w:tc>
        <w:tc>
          <w:tcPr>
            <w:tcW w:w="1338" w:type="dxa"/>
          </w:tcPr>
          <w:p w14:paraId="2F78C219"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46BB001D"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0F0039DF"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16B8D19E"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4B4E5751"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17788BC1"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06962FFA"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4ABB3A86"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0BC10312"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069F7B98"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2D2A866E" w14:textId="77777777" w:rsidTr="003D66FC">
        <w:tc>
          <w:tcPr>
            <w:tcW w:w="1847" w:type="dxa"/>
          </w:tcPr>
          <w:p w14:paraId="731BCD17"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Kuwait (KFAD)</w:t>
            </w:r>
          </w:p>
        </w:tc>
        <w:tc>
          <w:tcPr>
            <w:tcW w:w="1338" w:type="dxa"/>
          </w:tcPr>
          <w:p w14:paraId="0C97D8D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3865FF07"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3BF58A5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55C9A497"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33BC2566"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095" w:type="dxa"/>
          </w:tcPr>
          <w:p w14:paraId="53F38D26"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00" w:type="dxa"/>
          </w:tcPr>
          <w:p w14:paraId="417AD581"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05D8284"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3E64D4D3"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3D457872"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7D02F2F6" w14:textId="77777777" w:rsidTr="003D66FC">
        <w:tc>
          <w:tcPr>
            <w:tcW w:w="1847" w:type="dxa"/>
          </w:tcPr>
          <w:p w14:paraId="5373FBB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Netherlands</w:t>
            </w:r>
          </w:p>
        </w:tc>
        <w:tc>
          <w:tcPr>
            <w:tcW w:w="1338" w:type="dxa"/>
          </w:tcPr>
          <w:p w14:paraId="238C2F1D"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53F835A3"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742EA0B4"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3BD80836"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69BFCBF8"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7E00C67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00" w:type="dxa"/>
          </w:tcPr>
          <w:p w14:paraId="7ECA366A"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E967E77"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5E7E5BBE"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309270ED"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4FA8194F" w14:textId="77777777" w:rsidTr="003D66FC">
        <w:tc>
          <w:tcPr>
            <w:tcW w:w="1847" w:type="dxa"/>
          </w:tcPr>
          <w:p w14:paraId="752FB06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Organization of Petroleum Exporting Countries (OPEC)</w:t>
            </w:r>
          </w:p>
        </w:tc>
        <w:tc>
          <w:tcPr>
            <w:tcW w:w="1338" w:type="dxa"/>
          </w:tcPr>
          <w:p w14:paraId="418FC5D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43A4F81C"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2ACF167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659D102B"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794" w:type="dxa"/>
          </w:tcPr>
          <w:p w14:paraId="55822C0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095" w:type="dxa"/>
          </w:tcPr>
          <w:p w14:paraId="7DDF92F4"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0515A45D"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2A4F31DE"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3B38E053"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10029F5B"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2680C042" w14:textId="77777777" w:rsidTr="003D66FC">
        <w:tc>
          <w:tcPr>
            <w:tcW w:w="1847" w:type="dxa"/>
          </w:tcPr>
          <w:p w14:paraId="7EDFCED3"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Saudi Arabia (SFD)</w:t>
            </w:r>
          </w:p>
        </w:tc>
        <w:tc>
          <w:tcPr>
            <w:tcW w:w="1338" w:type="dxa"/>
          </w:tcPr>
          <w:p w14:paraId="6B0E80C4"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266ED2D2"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049A8042"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36371FC5"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7BCAA07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095" w:type="dxa"/>
          </w:tcPr>
          <w:p w14:paraId="277A84D1"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22461760"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75FB825B"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4CC4DE02"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3785E3CB"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5D29A2CB" w14:textId="77777777" w:rsidTr="003D66FC">
        <w:tc>
          <w:tcPr>
            <w:tcW w:w="1847" w:type="dxa"/>
          </w:tcPr>
          <w:p w14:paraId="345C71D4"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South Korea (KICA)</w:t>
            </w:r>
          </w:p>
        </w:tc>
        <w:tc>
          <w:tcPr>
            <w:tcW w:w="1338" w:type="dxa"/>
          </w:tcPr>
          <w:p w14:paraId="5987A14A"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43437477"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0DD7D83E"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2C8F824A"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18861A77"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6BB208F1"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280DEADB"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38F79D37"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0E570FA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950" w:type="dxa"/>
          </w:tcPr>
          <w:p w14:paraId="3D00A794"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7E1035F0" w14:textId="77777777" w:rsidTr="003D66FC">
        <w:tc>
          <w:tcPr>
            <w:tcW w:w="1847" w:type="dxa"/>
          </w:tcPr>
          <w:p w14:paraId="2157314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Spain (AECID)</w:t>
            </w:r>
          </w:p>
        </w:tc>
        <w:tc>
          <w:tcPr>
            <w:tcW w:w="1338" w:type="dxa"/>
          </w:tcPr>
          <w:p w14:paraId="2909F0A5" w14:textId="77777777" w:rsidR="000B2AE7" w:rsidRPr="0023481D" w:rsidRDefault="000B2AE7" w:rsidP="000B2AE7">
            <w:pPr>
              <w:ind w:firstLine="0"/>
              <w:jc w:val="center"/>
              <w:rPr>
                <w:rFonts w:ascii="Times New Roman" w:hAnsi="Times New Roman" w:cs="Times New Roman"/>
                <w:sz w:val="20"/>
                <w:szCs w:val="20"/>
              </w:rPr>
            </w:pPr>
          </w:p>
        </w:tc>
        <w:tc>
          <w:tcPr>
            <w:tcW w:w="1321" w:type="dxa"/>
          </w:tcPr>
          <w:p w14:paraId="7D61B5D7"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2889F962"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05" w:type="dxa"/>
          </w:tcPr>
          <w:p w14:paraId="5030FD3E"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027008CC"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1F0E2259"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7C487890" w14:textId="77777777" w:rsidR="000B2AE7" w:rsidRPr="0023481D" w:rsidRDefault="000B2AE7" w:rsidP="000B2AE7">
            <w:pPr>
              <w:ind w:firstLine="0"/>
              <w:jc w:val="center"/>
              <w:rPr>
                <w:rFonts w:ascii="Times New Roman" w:hAnsi="Times New Roman" w:cs="Times New Roman"/>
                <w:sz w:val="20"/>
                <w:szCs w:val="20"/>
              </w:rPr>
            </w:pPr>
          </w:p>
        </w:tc>
        <w:tc>
          <w:tcPr>
            <w:tcW w:w="1528" w:type="dxa"/>
          </w:tcPr>
          <w:p w14:paraId="0346210E" w14:textId="77777777" w:rsidR="000B2AE7" w:rsidRPr="0023481D" w:rsidRDefault="000B2AE7" w:rsidP="000B2AE7">
            <w:pPr>
              <w:ind w:firstLine="0"/>
              <w:jc w:val="center"/>
              <w:rPr>
                <w:rFonts w:ascii="Times New Roman" w:hAnsi="Times New Roman" w:cs="Times New Roman"/>
                <w:sz w:val="20"/>
                <w:szCs w:val="20"/>
              </w:rPr>
            </w:pPr>
          </w:p>
        </w:tc>
        <w:tc>
          <w:tcPr>
            <w:tcW w:w="1155" w:type="dxa"/>
          </w:tcPr>
          <w:p w14:paraId="346EC990"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19376AFD" w14:textId="77777777" w:rsidR="000B2AE7" w:rsidRPr="0023481D" w:rsidRDefault="000B2AE7" w:rsidP="000B2AE7">
            <w:pPr>
              <w:ind w:firstLine="0"/>
              <w:jc w:val="center"/>
              <w:rPr>
                <w:rFonts w:ascii="Times New Roman" w:hAnsi="Times New Roman" w:cs="Times New Roman"/>
                <w:sz w:val="20"/>
                <w:szCs w:val="20"/>
              </w:rPr>
            </w:pPr>
          </w:p>
        </w:tc>
      </w:tr>
      <w:tr w:rsidR="0023481D" w:rsidRPr="0023481D" w14:paraId="5500D365" w14:textId="77777777" w:rsidTr="003D66FC">
        <w:tc>
          <w:tcPr>
            <w:tcW w:w="1847" w:type="dxa"/>
          </w:tcPr>
          <w:p w14:paraId="4EF223B6"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Sweden (SIDA)</w:t>
            </w:r>
          </w:p>
        </w:tc>
        <w:tc>
          <w:tcPr>
            <w:tcW w:w="1338" w:type="dxa"/>
          </w:tcPr>
          <w:p w14:paraId="3A50C9C5"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321" w:type="dxa"/>
          </w:tcPr>
          <w:p w14:paraId="48595D70" w14:textId="77777777" w:rsidR="000B2AE7" w:rsidRPr="0023481D" w:rsidRDefault="000B2AE7" w:rsidP="000B2AE7">
            <w:pPr>
              <w:ind w:firstLine="0"/>
              <w:jc w:val="center"/>
              <w:rPr>
                <w:rFonts w:ascii="Times New Roman" w:hAnsi="Times New Roman" w:cs="Times New Roman"/>
                <w:sz w:val="20"/>
                <w:szCs w:val="20"/>
              </w:rPr>
            </w:pPr>
          </w:p>
        </w:tc>
        <w:tc>
          <w:tcPr>
            <w:tcW w:w="1564" w:type="dxa"/>
          </w:tcPr>
          <w:p w14:paraId="2762677B" w14:textId="77777777" w:rsidR="000B2AE7" w:rsidRPr="0023481D" w:rsidRDefault="000B2AE7" w:rsidP="000B2AE7">
            <w:pPr>
              <w:ind w:firstLine="0"/>
              <w:jc w:val="center"/>
              <w:rPr>
                <w:rFonts w:ascii="Times New Roman" w:hAnsi="Times New Roman" w:cs="Times New Roman"/>
                <w:sz w:val="20"/>
                <w:szCs w:val="20"/>
              </w:rPr>
            </w:pPr>
          </w:p>
        </w:tc>
        <w:tc>
          <w:tcPr>
            <w:tcW w:w="1505" w:type="dxa"/>
          </w:tcPr>
          <w:p w14:paraId="0528B2B4" w14:textId="77777777" w:rsidR="000B2AE7" w:rsidRPr="0023481D" w:rsidRDefault="000B2AE7" w:rsidP="000B2AE7">
            <w:pPr>
              <w:ind w:firstLine="0"/>
              <w:jc w:val="center"/>
              <w:rPr>
                <w:rFonts w:ascii="Times New Roman" w:hAnsi="Times New Roman" w:cs="Times New Roman"/>
                <w:sz w:val="20"/>
                <w:szCs w:val="20"/>
              </w:rPr>
            </w:pPr>
          </w:p>
        </w:tc>
        <w:tc>
          <w:tcPr>
            <w:tcW w:w="794" w:type="dxa"/>
          </w:tcPr>
          <w:p w14:paraId="055C4EC7" w14:textId="77777777" w:rsidR="000B2AE7" w:rsidRPr="0023481D" w:rsidRDefault="000B2AE7" w:rsidP="000B2AE7">
            <w:pPr>
              <w:ind w:firstLine="0"/>
              <w:jc w:val="center"/>
              <w:rPr>
                <w:rFonts w:ascii="Times New Roman" w:hAnsi="Times New Roman" w:cs="Times New Roman"/>
                <w:sz w:val="20"/>
                <w:szCs w:val="20"/>
              </w:rPr>
            </w:pPr>
          </w:p>
        </w:tc>
        <w:tc>
          <w:tcPr>
            <w:tcW w:w="1095" w:type="dxa"/>
          </w:tcPr>
          <w:p w14:paraId="4146E24A" w14:textId="77777777" w:rsidR="000B2AE7" w:rsidRPr="0023481D" w:rsidRDefault="000B2AE7" w:rsidP="000B2AE7">
            <w:pPr>
              <w:ind w:firstLine="0"/>
              <w:jc w:val="center"/>
              <w:rPr>
                <w:rFonts w:ascii="Times New Roman" w:hAnsi="Times New Roman" w:cs="Times New Roman"/>
                <w:sz w:val="20"/>
                <w:szCs w:val="20"/>
              </w:rPr>
            </w:pPr>
          </w:p>
        </w:tc>
        <w:tc>
          <w:tcPr>
            <w:tcW w:w="1300" w:type="dxa"/>
          </w:tcPr>
          <w:p w14:paraId="5763FAFC"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528" w:type="dxa"/>
          </w:tcPr>
          <w:p w14:paraId="31A0880A" w14:textId="77777777" w:rsidR="000B2AE7" w:rsidRPr="0023481D" w:rsidRDefault="000B2AE7" w:rsidP="000B2AE7">
            <w:pPr>
              <w:ind w:firstLine="0"/>
              <w:jc w:val="center"/>
              <w:rPr>
                <w:rFonts w:ascii="Times New Roman" w:hAnsi="Times New Roman" w:cs="Times New Roman"/>
                <w:sz w:val="20"/>
                <w:szCs w:val="20"/>
              </w:rPr>
            </w:pPr>
            <w:r w:rsidRPr="0023481D">
              <w:rPr>
                <w:rFonts w:ascii="Times New Roman" w:hAnsi="Times New Roman" w:cs="Times New Roman"/>
                <w:sz w:val="20"/>
                <w:szCs w:val="20"/>
              </w:rPr>
              <w:t>x</w:t>
            </w:r>
          </w:p>
        </w:tc>
        <w:tc>
          <w:tcPr>
            <w:tcW w:w="1155" w:type="dxa"/>
          </w:tcPr>
          <w:p w14:paraId="768FB016" w14:textId="77777777" w:rsidR="000B2AE7" w:rsidRPr="0023481D" w:rsidRDefault="000B2AE7" w:rsidP="000B2AE7">
            <w:pPr>
              <w:ind w:firstLine="0"/>
              <w:jc w:val="center"/>
              <w:rPr>
                <w:rFonts w:ascii="Times New Roman" w:hAnsi="Times New Roman" w:cs="Times New Roman"/>
                <w:sz w:val="20"/>
                <w:szCs w:val="20"/>
              </w:rPr>
            </w:pPr>
          </w:p>
        </w:tc>
        <w:tc>
          <w:tcPr>
            <w:tcW w:w="950" w:type="dxa"/>
          </w:tcPr>
          <w:p w14:paraId="01632EA3" w14:textId="77777777" w:rsidR="000B2AE7" w:rsidRPr="0023481D" w:rsidRDefault="000B2AE7" w:rsidP="000B2AE7">
            <w:pPr>
              <w:ind w:firstLine="0"/>
              <w:jc w:val="center"/>
              <w:rPr>
                <w:rFonts w:ascii="Times New Roman" w:hAnsi="Times New Roman" w:cs="Times New Roman"/>
                <w:sz w:val="20"/>
                <w:szCs w:val="20"/>
              </w:rPr>
            </w:pPr>
          </w:p>
        </w:tc>
      </w:tr>
      <w:tr w:rsidR="003D66FC" w:rsidRPr="0023481D" w14:paraId="6CBEA5A2" w14:textId="77777777" w:rsidTr="003D66FC">
        <w:tc>
          <w:tcPr>
            <w:tcW w:w="1847" w:type="dxa"/>
          </w:tcPr>
          <w:p w14:paraId="1BBA9BAB"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Kingdom (DfID)</w:t>
            </w:r>
          </w:p>
        </w:tc>
        <w:tc>
          <w:tcPr>
            <w:tcW w:w="1338" w:type="dxa"/>
          </w:tcPr>
          <w:p w14:paraId="60F2A31F" w14:textId="77777777" w:rsidR="003D66FC" w:rsidRPr="003621FC" w:rsidRDefault="003D66FC" w:rsidP="001F2ADA">
            <w:pPr>
              <w:ind w:firstLine="0"/>
              <w:jc w:val="center"/>
              <w:rPr>
                <w:rFonts w:ascii="Times New Roman" w:hAnsi="Times New Roman" w:cs="Times New Roman"/>
              </w:rPr>
            </w:pPr>
          </w:p>
        </w:tc>
        <w:tc>
          <w:tcPr>
            <w:tcW w:w="1321" w:type="dxa"/>
          </w:tcPr>
          <w:p w14:paraId="5768B859"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64" w:type="dxa"/>
          </w:tcPr>
          <w:p w14:paraId="6775113C"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05" w:type="dxa"/>
          </w:tcPr>
          <w:p w14:paraId="11232203" w14:textId="77777777" w:rsidR="003D66FC" w:rsidRPr="003621FC" w:rsidRDefault="003D66FC" w:rsidP="001F2ADA">
            <w:pPr>
              <w:ind w:firstLine="0"/>
              <w:jc w:val="center"/>
              <w:rPr>
                <w:rFonts w:ascii="Times New Roman" w:hAnsi="Times New Roman" w:cs="Times New Roman"/>
              </w:rPr>
            </w:pPr>
          </w:p>
        </w:tc>
        <w:tc>
          <w:tcPr>
            <w:tcW w:w="794" w:type="dxa"/>
          </w:tcPr>
          <w:p w14:paraId="0BDC8032" w14:textId="77777777" w:rsidR="003D66FC" w:rsidRPr="003621FC" w:rsidRDefault="003D66FC" w:rsidP="001F2ADA">
            <w:pPr>
              <w:ind w:firstLine="0"/>
              <w:jc w:val="center"/>
              <w:rPr>
                <w:rFonts w:ascii="Times New Roman" w:hAnsi="Times New Roman" w:cs="Times New Roman"/>
              </w:rPr>
            </w:pPr>
          </w:p>
        </w:tc>
        <w:tc>
          <w:tcPr>
            <w:tcW w:w="1095" w:type="dxa"/>
          </w:tcPr>
          <w:p w14:paraId="252EACFF" w14:textId="77777777" w:rsidR="003D66FC" w:rsidRPr="003621FC" w:rsidRDefault="003D66FC" w:rsidP="001F2ADA">
            <w:pPr>
              <w:ind w:firstLine="0"/>
              <w:jc w:val="center"/>
              <w:rPr>
                <w:rFonts w:ascii="Times New Roman" w:hAnsi="Times New Roman" w:cs="Times New Roman"/>
              </w:rPr>
            </w:pPr>
          </w:p>
        </w:tc>
        <w:tc>
          <w:tcPr>
            <w:tcW w:w="1300" w:type="dxa"/>
          </w:tcPr>
          <w:p w14:paraId="0AAF7A46" w14:textId="77777777" w:rsidR="003D66FC" w:rsidRPr="003621FC" w:rsidRDefault="003D66FC" w:rsidP="001F2ADA">
            <w:pPr>
              <w:ind w:firstLine="0"/>
              <w:jc w:val="center"/>
              <w:rPr>
                <w:rFonts w:ascii="Times New Roman" w:hAnsi="Times New Roman" w:cs="Times New Roman"/>
              </w:rPr>
            </w:pPr>
          </w:p>
        </w:tc>
        <w:tc>
          <w:tcPr>
            <w:tcW w:w="1528" w:type="dxa"/>
          </w:tcPr>
          <w:p w14:paraId="08F2756C"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588F673B" w14:textId="77777777" w:rsidR="003D66FC" w:rsidRPr="003621FC" w:rsidRDefault="003D66FC" w:rsidP="001F2ADA">
            <w:pPr>
              <w:ind w:firstLine="0"/>
              <w:jc w:val="center"/>
              <w:rPr>
                <w:rFonts w:ascii="Times New Roman" w:hAnsi="Times New Roman" w:cs="Times New Roman"/>
              </w:rPr>
            </w:pPr>
          </w:p>
        </w:tc>
        <w:tc>
          <w:tcPr>
            <w:tcW w:w="950" w:type="dxa"/>
          </w:tcPr>
          <w:p w14:paraId="107828B7" w14:textId="77777777" w:rsidR="003D66FC" w:rsidRPr="003621FC" w:rsidRDefault="003D66FC" w:rsidP="001F2ADA">
            <w:pPr>
              <w:ind w:firstLine="0"/>
              <w:jc w:val="center"/>
              <w:rPr>
                <w:rFonts w:ascii="Times New Roman" w:hAnsi="Times New Roman" w:cs="Times New Roman"/>
              </w:rPr>
            </w:pPr>
          </w:p>
        </w:tc>
      </w:tr>
      <w:tr w:rsidR="003D66FC" w:rsidRPr="0023481D" w14:paraId="28F684BA" w14:textId="77777777" w:rsidTr="003D66FC">
        <w:tc>
          <w:tcPr>
            <w:tcW w:w="1847" w:type="dxa"/>
          </w:tcPr>
          <w:p w14:paraId="68E517AF"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Nations (UNDP)</w:t>
            </w:r>
          </w:p>
        </w:tc>
        <w:tc>
          <w:tcPr>
            <w:tcW w:w="1338" w:type="dxa"/>
          </w:tcPr>
          <w:p w14:paraId="37CA7AB4"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321" w:type="dxa"/>
          </w:tcPr>
          <w:p w14:paraId="6DD214F8"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64" w:type="dxa"/>
          </w:tcPr>
          <w:p w14:paraId="2F7B562C" w14:textId="77777777" w:rsidR="003D66FC" w:rsidRPr="003621FC" w:rsidRDefault="003D66FC" w:rsidP="001F2ADA">
            <w:pPr>
              <w:ind w:firstLine="0"/>
              <w:jc w:val="center"/>
              <w:rPr>
                <w:rFonts w:ascii="Times New Roman" w:hAnsi="Times New Roman" w:cs="Times New Roman"/>
              </w:rPr>
            </w:pPr>
          </w:p>
        </w:tc>
        <w:tc>
          <w:tcPr>
            <w:tcW w:w="1505" w:type="dxa"/>
          </w:tcPr>
          <w:p w14:paraId="29A59500"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794" w:type="dxa"/>
          </w:tcPr>
          <w:p w14:paraId="5051F19F" w14:textId="77777777" w:rsidR="003D66FC" w:rsidRPr="003621FC" w:rsidRDefault="003D66FC" w:rsidP="001F2ADA">
            <w:pPr>
              <w:ind w:firstLine="0"/>
              <w:jc w:val="center"/>
              <w:rPr>
                <w:rFonts w:ascii="Times New Roman" w:hAnsi="Times New Roman" w:cs="Times New Roman"/>
              </w:rPr>
            </w:pPr>
          </w:p>
        </w:tc>
        <w:tc>
          <w:tcPr>
            <w:tcW w:w="1095" w:type="dxa"/>
          </w:tcPr>
          <w:p w14:paraId="72AF4BAE" w14:textId="77777777" w:rsidR="003D66FC" w:rsidRPr="003621FC" w:rsidRDefault="003D66FC" w:rsidP="001F2ADA">
            <w:pPr>
              <w:ind w:firstLine="0"/>
              <w:jc w:val="center"/>
              <w:rPr>
                <w:rFonts w:ascii="Times New Roman" w:hAnsi="Times New Roman" w:cs="Times New Roman"/>
              </w:rPr>
            </w:pPr>
          </w:p>
        </w:tc>
        <w:tc>
          <w:tcPr>
            <w:tcW w:w="1300" w:type="dxa"/>
          </w:tcPr>
          <w:p w14:paraId="49F75A21"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28" w:type="dxa"/>
          </w:tcPr>
          <w:p w14:paraId="31499103"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6E4CDE94" w14:textId="77777777" w:rsidR="003D66FC" w:rsidRPr="003621FC" w:rsidRDefault="003D66FC" w:rsidP="001F2ADA">
            <w:pPr>
              <w:ind w:firstLine="0"/>
              <w:jc w:val="center"/>
              <w:rPr>
                <w:rFonts w:ascii="Times New Roman" w:hAnsi="Times New Roman" w:cs="Times New Roman"/>
              </w:rPr>
            </w:pPr>
          </w:p>
        </w:tc>
        <w:tc>
          <w:tcPr>
            <w:tcW w:w="950" w:type="dxa"/>
          </w:tcPr>
          <w:p w14:paraId="1603C057" w14:textId="77777777" w:rsidR="003D66FC" w:rsidRPr="003621FC" w:rsidRDefault="003D66FC" w:rsidP="001F2ADA">
            <w:pPr>
              <w:ind w:firstLine="0"/>
              <w:jc w:val="center"/>
              <w:rPr>
                <w:rFonts w:ascii="Times New Roman" w:hAnsi="Times New Roman" w:cs="Times New Roman"/>
              </w:rPr>
            </w:pPr>
          </w:p>
        </w:tc>
      </w:tr>
      <w:tr w:rsidR="003D66FC" w:rsidRPr="0023481D" w14:paraId="38802313" w14:textId="77777777" w:rsidTr="003D66FC">
        <w:tc>
          <w:tcPr>
            <w:tcW w:w="1847" w:type="dxa"/>
          </w:tcPr>
          <w:p w14:paraId="144E931D"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Nations (UNEP)</w:t>
            </w:r>
          </w:p>
        </w:tc>
        <w:tc>
          <w:tcPr>
            <w:tcW w:w="1338" w:type="dxa"/>
          </w:tcPr>
          <w:p w14:paraId="256E7436" w14:textId="77777777" w:rsidR="003D66FC" w:rsidRPr="003621FC" w:rsidRDefault="003D66FC" w:rsidP="001F2ADA">
            <w:pPr>
              <w:ind w:firstLine="0"/>
              <w:jc w:val="center"/>
              <w:rPr>
                <w:rFonts w:ascii="Times New Roman" w:hAnsi="Times New Roman" w:cs="Times New Roman"/>
              </w:rPr>
            </w:pPr>
          </w:p>
        </w:tc>
        <w:tc>
          <w:tcPr>
            <w:tcW w:w="1321" w:type="dxa"/>
          </w:tcPr>
          <w:p w14:paraId="196D09B2" w14:textId="77777777" w:rsidR="003D66FC" w:rsidRPr="003621FC" w:rsidRDefault="003D66FC" w:rsidP="001F2ADA">
            <w:pPr>
              <w:ind w:firstLine="0"/>
              <w:jc w:val="center"/>
              <w:rPr>
                <w:rFonts w:ascii="Times New Roman" w:hAnsi="Times New Roman" w:cs="Times New Roman"/>
              </w:rPr>
            </w:pPr>
          </w:p>
        </w:tc>
        <w:tc>
          <w:tcPr>
            <w:tcW w:w="1564" w:type="dxa"/>
          </w:tcPr>
          <w:p w14:paraId="0719AF7C" w14:textId="77777777" w:rsidR="003D66FC" w:rsidRPr="003621FC" w:rsidRDefault="003D66FC" w:rsidP="001F2ADA">
            <w:pPr>
              <w:ind w:firstLine="0"/>
              <w:jc w:val="center"/>
              <w:rPr>
                <w:rFonts w:ascii="Times New Roman" w:hAnsi="Times New Roman" w:cs="Times New Roman"/>
              </w:rPr>
            </w:pPr>
          </w:p>
        </w:tc>
        <w:tc>
          <w:tcPr>
            <w:tcW w:w="1505" w:type="dxa"/>
          </w:tcPr>
          <w:p w14:paraId="7F6DD5E6"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794" w:type="dxa"/>
          </w:tcPr>
          <w:p w14:paraId="33B3DF0D" w14:textId="77777777" w:rsidR="003D66FC" w:rsidRPr="003621FC" w:rsidRDefault="003D66FC" w:rsidP="001F2ADA">
            <w:pPr>
              <w:ind w:firstLine="0"/>
              <w:jc w:val="center"/>
              <w:rPr>
                <w:rFonts w:ascii="Times New Roman" w:hAnsi="Times New Roman" w:cs="Times New Roman"/>
              </w:rPr>
            </w:pPr>
          </w:p>
        </w:tc>
        <w:tc>
          <w:tcPr>
            <w:tcW w:w="1095" w:type="dxa"/>
          </w:tcPr>
          <w:p w14:paraId="1680D15D" w14:textId="77777777" w:rsidR="003D66FC" w:rsidRPr="003621FC" w:rsidRDefault="003D66FC" w:rsidP="001F2ADA">
            <w:pPr>
              <w:ind w:firstLine="0"/>
              <w:jc w:val="center"/>
              <w:rPr>
                <w:rFonts w:ascii="Times New Roman" w:hAnsi="Times New Roman" w:cs="Times New Roman"/>
              </w:rPr>
            </w:pPr>
          </w:p>
        </w:tc>
        <w:tc>
          <w:tcPr>
            <w:tcW w:w="1300" w:type="dxa"/>
          </w:tcPr>
          <w:p w14:paraId="66EC95E1" w14:textId="77777777" w:rsidR="003D66FC" w:rsidRPr="003621FC" w:rsidRDefault="003D66FC" w:rsidP="001F2ADA">
            <w:pPr>
              <w:ind w:firstLine="0"/>
              <w:jc w:val="center"/>
              <w:rPr>
                <w:rFonts w:ascii="Times New Roman" w:hAnsi="Times New Roman" w:cs="Times New Roman"/>
              </w:rPr>
            </w:pPr>
          </w:p>
        </w:tc>
        <w:tc>
          <w:tcPr>
            <w:tcW w:w="1528" w:type="dxa"/>
          </w:tcPr>
          <w:p w14:paraId="1D3EC251" w14:textId="77777777" w:rsidR="003D66FC" w:rsidRPr="003621FC" w:rsidRDefault="003D66FC" w:rsidP="001F2ADA">
            <w:pPr>
              <w:ind w:firstLine="0"/>
              <w:jc w:val="center"/>
              <w:rPr>
                <w:rFonts w:ascii="Times New Roman" w:hAnsi="Times New Roman" w:cs="Times New Roman"/>
              </w:rPr>
            </w:pPr>
          </w:p>
        </w:tc>
        <w:tc>
          <w:tcPr>
            <w:tcW w:w="1155" w:type="dxa"/>
          </w:tcPr>
          <w:p w14:paraId="0BB14E48" w14:textId="77777777" w:rsidR="003D66FC" w:rsidRPr="003621FC" w:rsidRDefault="003D66FC" w:rsidP="001F2ADA">
            <w:pPr>
              <w:ind w:firstLine="0"/>
              <w:jc w:val="center"/>
              <w:rPr>
                <w:rFonts w:ascii="Times New Roman" w:hAnsi="Times New Roman" w:cs="Times New Roman"/>
              </w:rPr>
            </w:pPr>
          </w:p>
        </w:tc>
        <w:tc>
          <w:tcPr>
            <w:tcW w:w="950" w:type="dxa"/>
          </w:tcPr>
          <w:p w14:paraId="2C14E41E" w14:textId="77777777" w:rsidR="003D66FC" w:rsidRPr="003621FC" w:rsidRDefault="003D66FC" w:rsidP="001F2ADA">
            <w:pPr>
              <w:ind w:firstLine="0"/>
              <w:jc w:val="center"/>
              <w:rPr>
                <w:rFonts w:ascii="Times New Roman" w:hAnsi="Times New Roman" w:cs="Times New Roman"/>
              </w:rPr>
            </w:pPr>
          </w:p>
        </w:tc>
      </w:tr>
      <w:tr w:rsidR="003D66FC" w:rsidRPr="0023481D" w14:paraId="0B0C031E" w14:textId="77777777" w:rsidTr="003D66FC">
        <w:tc>
          <w:tcPr>
            <w:tcW w:w="1847" w:type="dxa"/>
          </w:tcPr>
          <w:p w14:paraId="26CE5104"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Nations (UNFPA)</w:t>
            </w:r>
          </w:p>
        </w:tc>
        <w:tc>
          <w:tcPr>
            <w:tcW w:w="1338" w:type="dxa"/>
          </w:tcPr>
          <w:p w14:paraId="5406DA5F" w14:textId="77777777" w:rsidR="003D66FC" w:rsidRPr="003621FC" w:rsidRDefault="003D66FC" w:rsidP="001F2ADA">
            <w:pPr>
              <w:ind w:firstLine="0"/>
              <w:jc w:val="center"/>
              <w:rPr>
                <w:rFonts w:ascii="Times New Roman" w:hAnsi="Times New Roman" w:cs="Times New Roman"/>
              </w:rPr>
            </w:pPr>
          </w:p>
        </w:tc>
        <w:tc>
          <w:tcPr>
            <w:tcW w:w="1321" w:type="dxa"/>
          </w:tcPr>
          <w:p w14:paraId="25F45923" w14:textId="77777777" w:rsidR="003D66FC" w:rsidRPr="003621FC" w:rsidRDefault="003D66FC" w:rsidP="001F2ADA">
            <w:pPr>
              <w:ind w:firstLine="0"/>
              <w:jc w:val="center"/>
              <w:rPr>
                <w:rFonts w:ascii="Times New Roman" w:hAnsi="Times New Roman" w:cs="Times New Roman"/>
              </w:rPr>
            </w:pPr>
          </w:p>
        </w:tc>
        <w:tc>
          <w:tcPr>
            <w:tcW w:w="1564" w:type="dxa"/>
          </w:tcPr>
          <w:p w14:paraId="2A0C5966" w14:textId="77777777" w:rsidR="003D66FC" w:rsidRPr="003621FC" w:rsidRDefault="003D66FC" w:rsidP="001F2ADA">
            <w:pPr>
              <w:ind w:firstLine="0"/>
              <w:jc w:val="center"/>
              <w:rPr>
                <w:rFonts w:ascii="Times New Roman" w:hAnsi="Times New Roman" w:cs="Times New Roman"/>
              </w:rPr>
            </w:pPr>
          </w:p>
        </w:tc>
        <w:tc>
          <w:tcPr>
            <w:tcW w:w="1505" w:type="dxa"/>
          </w:tcPr>
          <w:p w14:paraId="36CE750C" w14:textId="77777777" w:rsidR="003D66FC" w:rsidRPr="003621FC" w:rsidRDefault="003D66FC" w:rsidP="001F2ADA">
            <w:pPr>
              <w:ind w:firstLine="0"/>
              <w:jc w:val="center"/>
              <w:rPr>
                <w:rFonts w:ascii="Times New Roman" w:hAnsi="Times New Roman" w:cs="Times New Roman"/>
              </w:rPr>
            </w:pPr>
          </w:p>
        </w:tc>
        <w:tc>
          <w:tcPr>
            <w:tcW w:w="794" w:type="dxa"/>
          </w:tcPr>
          <w:p w14:paraId="296D22C8"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095" w:type="dxa"/>
          </w:tcPr>
          <w:p w14:paraId="5ADC08D4" w14:textId="77777777" w:rsidR="003D66FC" w:rsidRPr="003621FC" w:rsidRDefault="003D66FC" w:rsidP="001F2ADA">
            <w:pPr>
              <w:ind w:firstLine="0"/>
              <w:jc w:val="center"/>
              <w:rPr>
                <w:rFonts w:ascii="Times New Roman" w:hAnsi="Times New Roman" w:cs="Times New Roman"/>
              </w:rPr>
            </w:pPr>
          </w:p>
        </w:tc>
        <w:tc>
          <w:tcPr>
            <w:tcW w:w="1300" w:type="dxa"/>
          </w:tcPr>
          <w:p w14:paraId="464B935E" w14:textId="77777777" w:rsidR="003D66FC" w:rsidRPr="003621FC" w:rsidRDefault="003D66FC" w:rsidP="001F2ADA">
            <w:pPr>
              <w:ind w:firstLine="0"/>
              <w:jc w:val="center"/>
              <w:rPr>
                <w:rFonts w:ascii="Times New Roman" w:hAnsi="Times New Roman" w:cs="Times New Roman"/>
              </w:rPr>
            </w:pPr>
          </w:p>
        </w:tc>
        <w:tc>
          <w:tcPr>
            <w:tcW w:w="1528" w:type="dxa"/>
          </w:tcPr>
          <w:p w14:paraId="5C615BA2"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1E053191" w14:textId="77777777" w:rsidR="003D66FC" w:rsidRPr="003621FC" w:rsidRDefault="003D66FC" w:rsidP="001F2ADA">
            <w:pPr>
              <w:ind w:firstLine="0"/>
              <w:jc w:val="center"/>
              <w:rPr>
                <w:rFonts w:ascii="Times New Roman" w:hAnsi="Times New Roman" w:cs="Times New Roman"/>
              </w:rPr>
            </w:pPr>
          </w:p>
        </w:tc>
        <w:tc>
          <w:tcPr>
            <w:tcW w:w="950" w:type="dxa"/>
          </w:tcPr>
          <w:p w14:paraId="484B47BD" w14:textId="77777777" w:rsidR="003D66FC" w:rsidRPr="003621FC" w:rsidRDefault="003D66FC" w:rsidP="001F2ADA">
            <w:pPr>
              <w:ind w:firstLine="0"/>
              <w:jc w:val="center"/>
              <w:rPr>
                <w:rFonts w:ascii="Times New Roman" w:hAnsi="Times New Roman" w:cs="Times New Roman"/>
              </w:rPr>
            </w:pPr>
          </w:p>
        </w:tc>
      </w:tr>
      <w:tr w:rsidR="003D66FC" w:rsidRPr="0023481D" w14:paraId="618A86C8" w14:textId="77777777" w:rsidTr="003D66FC">
        <w:tc>
          <w:tcPr>
            <w:tcW w:w="1847" w:type="dxa"/>
          </w:tcPr>
          <w:p w14:paraId="66E04720"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Nations (UNICEF)</w:t>
            </w:r>
          </w:p>
        </w:tc>
        <w:tc>
          <w:tcPr>
            <w:tcW w:w="1338" w:type="dxa"/>
          </w:tcPr>
          <w:p w14:paraId="45157D6D" w14:textId="77777777" w:rsidR="003D66FC" w:rsidRPr="003621FC" w:rsidRDefault="003D66FC" w:rsidP="001F2ADA">
            <w:pPr>
              <w:ind w:firstLine="0"/>
              <w:jc w:val="center"/>
              <w:rPr>
                <w:rFonts w:ascii="Times New Roman" w:hAnsi="Times New Roman" w:cs="Times New Roman"/>
              </w:rPr>
            </w:pPr>
          </w:p>
        </w:tc>
        <w:tc>
          <w:tcPr>
            <w:tcW w:w="1321" w:type="dxa"/>
          </w:tcPr>
          <w:p w14:paraId="6479A087" w14:textId="77777777" w:rsidR="003D66FC" w:rsidRPr="003621FC" w:rsidRDefault="003D66FC" w:rsidP="001F2ADA">
            <w:pPr>
              <w:ind w:firstLine="0"/>
              <w:jc w:val="center"/>
              <w:rPr>
                <w:rFonts w:ascii="Times New Roman" w:hAnsi="Times New Roman" w:cs="Times New Roman"/>
              </w:rPr>
            </w:pPr>
          </w:p>
        </w:tc>
        <w:tc>
          <w:tcPr>
            <w:tcW w:w="1564" w:type="dxa"/>
          </w:tcPr>
          <w:p w14:paraId="29104465"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05" w:type="dxa"/>
          </w:tcPr>
          <w:p w14:paraId="701C9900"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794" w:type="dxa"/>
          </w:tcPr>
          <w:p w14:paraId="14268BB0"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095" w:type="dxa"/>
          </w:tcPr>
          <w:p w14:paraId="25C9ADFD"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300" w:type="dxa"/>
          </w:tcPr>
          <w:p w14:paraId="45248E96" w14:textId="77777777" w:rsidR="003D66FC" w:rsidRPr="003621FC" w:rsidRDefault="003D66FC" w:rsidP="001F2ADA">
            <w:pPr>
              <w:ind w:firstLine="0"/>
              <w:jc w:val="center"/>
              <w:rPr>
                <w:rFonts w:ascii="Times New Roman" w:hAnsi="Times New Roman" w:cs="Times New Roman"/>
              </w:rPr>
            </w:pPr>
          </w:p>
        </w:tc>
        <w:tc>
          <w:tcPr>
            <w:tcW w:w="1528" w:type="dxa"/>
          </w:tcPr>
          <w:p w14:paraId="267EFBDE"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70913249"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950" w:type="dxa"/>
          </w:tcPr>
          <w:p w14:paraId="0D431508" w14:textId="77777777" w:rsidR="003D66FC" w:rsidRPr="003621FC" w:rsidRDefault="003D66FC" w:rsidP="001F2ADA">
            <w:pPr>
              <w:ind w:firstLine="0"/>
              <w:jc w:val="center"/>
              <w:rPr>
                <w:rFonts w:ascii="Times New Roman" w:hAnsi="Times New Roman" w:cs="Times New Roman"/>
              </w:rPr>
            </w:pPr>
          </w:p>
        </w:tc>
      </w:tr>
      <w:tr w:rsidR="003D66FC" w:rsidRPr="0023481D" w14:paraId="6E61F3F5" w14:textId="77777777" w:rsidTr="003D66FC">
        <w:tc>
          <w:tcPr>
            <w:tcW w:w="1847" w:type="dxa"/>
          </w:tcPr>
          <w:p w14:paraId="1A618D50"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United Nations (UNIDO)</w:t>
            </w:r>
          </w:p>
        </w:tc>
        <w:tc>
          <w:tcPr>
            <w:tcW w:w="1338" w:type="dxa"/>
          </w:tcPr>
          <w:p w14:paraId="2B76E3B2" w14:textId="77777777" w:rsidR="003D66FC" w:rsidRPr="003621FC" w:rsidRDefault="003D66FC" w:rsidP="001F2ADA">
            <w:pPr>
              <w:ind w:firstLine="0"/>
              <w:jc w:val="center"/>
              <w:rPr>
                <w:rFonts w:ascii="Times New Roman" w:hAnsi="Times New Roman" w:cs="Times New Roman"/>
              </w:rPr>
            </w:pPr>
          </w:p>
        </w:tc>
        <w:tc>
          <w:tcPr>
            <w:tcW w:w="1321" w:type="dxa"/>
          </w:tcPr>
          <w:p w14:paraId="0B09EEE5"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1564" w:type="dxa"/>
          </w:tcPr>
          <w:p w14:paraId="171E88C2" w14:textId="77777777" w:rsidR="003D66FC" w:rsidRPr="003621FC" w:rsidRDefault="003D66FC" w:rsidP="001F2ADA">
            <w:pPr>
              <w:ind w:firstLine="0"/>
              <w:jc w:val="center"/>
              <w:rPr>
                <w:rFonts w:ascii="Times New Roman" w:hAnsi="Times New Roman" w:cs="Times New Roman"/>
              </w:rPr>
            </w:pPr>
          </w:p>
        </w:tc>
        <w:tc>
          <w:tcPr>
            <w:tcW w:w="1505" w:type="dxa"/>
          </w:tcPr>
          <w:p w14:paraId="09712B7C" w14:textId="77777777" w:rsidR="003D66FC" w:rsidRPr="003621FC" w:rsidRDefault="003D66FC" w:rsidP="001F2ADA">
            <w:pPr>
              <w:ind w:firstLine="0"/>
              <w:jc w:val="center"/>
              <w:rPr>
                <w:rFonts w:ascii="Times New Roman" w:hAnsi="Times New Roman" w:cs="Times New Roman"/>
              </w:rPr>
            </w:pPr>
            <w:r w:rsidRPr="003621FC">
              <w:rPr>
                <w:rFonts w:ascii="Times New Roman" w:hAnsi="Times New Roman" w:cs="Times New Roman"/>
              </w:rPr>
              <w:t>x</w:t>
            </w:r>
          </w:p>
        </w:tc>
        <w:tc>
          <w:tcPr>
            <w:tcW w:w="794" w:type="dxa"/>
          </w:tcPr>
          <w:p w14:paraId="559DDF94" w14:textId="77777777" w:rsidR="003D66FC" w:rsidRPr="003621FC" w:rsidRDefault="003D66FC" w:rsidP="001F2ADA">
            <w:pPr>
              <w:ind w:firstLine="0"/>
              <w:jc w:val="center"/>
              <w:rPr>
                <w:rFonts w:ascii="Times New Roman" w:hAnsi="Times New Roman" w:cs="Times New Roman"/>
              </w:rPr>
            </w:pPr>
          </w:p>
        </w:tc>
        <w:tc>
          <w:tcPr>
            <w:tcW w:w="1095" w:type="dxa"/>
          </w:tcPr>
          <w:p w14:paraId="24971F10" w14:textId="77777777" w:rsidR="003D66FC" w:rsidRPr="003621FC" w:rsidRDefault="003D66FC" w:rsidP="001F2ADA">
            <w:pPr>
              <w:ind w:firstLine="0"/>
              <w:jc w:val="center"/>
              <w:rPr>
                <w:rFonts w:ascii="Times New Roman" w:hAnsi="Times New Roman" w:cs="Times New Roman"/>
              </w:rPr>
            </w:pPr>
          </w:p>
        </w:tc>
        <w:tc>
          <w:tcPr>
            <w:tcW w:w="1300" w:type="dxa"/>
          </w:tcPr>
          <w:p w14:paraId="548F6AAC" w14:textId="77777777" w:rsidR="003D66FC" w:rsidRPr="003621FC" w:rsidRDefault="003D66FC" w:rsidP="001F2ADA">
            <w:pPr>
              <w:ind w:firstLine="0"/>
              <w:jc w:val="center"/>
              <w:rPr>
                <w:rFonts w:ascii="Times New Roman" w:hAnsi="Times New Roman" w:cs="Times New Roman"/>
              </w:rPr>
            </w:pPr>
          </w:p>
        </w:tc>
        <w:tc>
          <w:tcPr>
            <w:tcW w:w="1528" w:type="dxa"/>
          </w:tcPr>
          <w:p w14:paraId="1CFC3BBA" w14:textId="77777777" w:rsidR="003D66FC" w:rsidRPr="003621FC" w:rsidRDefault="003D66FC" w:rsidP="001F2ADA">
            <w:pPr>
              <w:ind w:firstLine="0"/>
              <w:jc w:val="center"/>
              <w:rPr>
                <w:rFonts w:ascii="Times New Roman" w:hAnsi="Times New Roman" w:cs="Times New Roman"/>
              </w:rPr>
            </w:pPr>
          </w:p>
        </w:tc>
        <w:tc>
          <w:tcPr>
            <w:tcW w:w="1155" w:type="dxa"/>
          </w:tcPr>
          <w:p w14:paraId="138C0FFC" w14:textId="77777777" w:rsidR="003D66FC" w:rsidRPr="003621FC" w:rsidRDefault="003D66FC" w:rsidP="001F2ADA">
            <w:pPr>
              <w:ind w:firstLine="0"/>
              <w:jc w:val="center"/>
              <w:rPr>
                <w:rFonts w:ascii="Times New Roman" w:hAnsi="Times New Roman" w:cs="Times New Roman"/>
              </w:rPr>
            </w:pPr>
          </w:p>
        </w:tc>
        <w:tc>
          <w:tcPr>
            <w:tcW w:w="950" w:type="dxa"/>
          </w:tcPr>
          <w:p w14:paraId="7F4DFFF9" w14:textId="77777777" w:rsidR="003D66FC" w:rsidRPr="003621FC" w:rsidRDefault="003D66FC" w:rsidP="001F2ADA">
            <w:pPr>
              <w:ind w:firstLine="0"/>
              <w:jc w:val="center"/>
              <w:rPr>
                <w:rFonts w:ascii="Times New Roman" w:hAnsi="Times New Roman" w:cs="Times New Roman"/>
              </w:rPr>
            </w:pPr>
          </w:p>
        </w:tc>
      </w:tr>
    </w:tbl>
    <w:p w14:paraId="3ED8EBA0" w14:textId="77777777" w:rsidR="0023481D" w:rsidRDefault="0023481D" w:rsidP="000B2AE7">
      <w:pPr>
        <w:spacing w:after="0" w:line="240" w:lineRule="auto"/>
        <w:rPr>
          <w:rFonts w:ascii="Times New Roman" w:hAnsi="Times New Roman" w:cs="Times New Roman"/>
          <w:sz w:val="20"/>
          <w:szCs w:val="20"/>
        </w:rPr>
        <w:sectPr w:rsidR="0023481D" w:rsidSect="00F96822">
          <w:endnotePr>
            <w:numFmt w:val="decimal"/>
          </w:endnotePr>
          <w:pgSz w:w="15840" w:h="12240" w:orient="landscape"/>
          <w:pgMar w:top="1440" w:right="1166" w:bottom="1440" w:left="1267" w:header="720" w:footer="720" w:gutter="0"/>
          <w:cols w:space="720"/>
          <w:docGrid w:linePitch="360"/>
        </w:sectPr>
      </w:pPr>
    </w:p>
    <w:p w14:paraId="22D42913" w14:textId="77777777" w:rsidR="000B2AE7" w:rsidRPr="0023481D" w:rsidRDefault="000B2AE7" w:rsidP="000B2AE7">
      <w:pPr>
        <w:spacing w:after="0" w:line="240" w:lineRule="auto"/>
        <w:rPr>
          <w:rFonts w:ascii="Times New Roman" w:hAnsi="Times New Roman" w:cs="Times New Roman"/>
          <w:sz w:val="20"/>
          <w:szCs w:val="20"/>
        </w:rPr>
      </w:pPr>
    </w:p>
    <w:tbl>
      <w:tblPr>
        <w:tblStyle w:val="TableGrid"/>
        <w:tblW w:w="13630" w:type="dxa"/>
        <w:jc w:val="center"/>
        <w:tblLook w:val="04A0" w:firstRow="1" w:lastRow="0" w:firstColumn="1" w:lastColumn="0" w:noHBand="0" w:noVBand="1"/>
      </w:tblPr>
      <w:tblGrid>
        <w:gridCol w:w="1243"/>
        <w:gridCol w:w="1338"/>
        <w:gridCol w:w="1272"/>
        <w:gridCol w:w="1450"/>
        <w:gridCol w:w="1505"/>
        <w:gridCol w:w="794"/>
        <w:gridCol w:w="1095"/>
        <w:gridCol w:w="1300"/>
        <w:gridCol w:w="1528"/>
        <w:gridCol w:w="1155"/>
        <w:gridCol w:w="950"/>
      </w:tblGrid>
      <w:tr w:rsidR="00BB2896" w:rsidRPr="0023481D" w14:paraId="2E4498D6" w14:textId="77777777" w:rsidTr="003D66FC">
        <w:trPr>
          <w:jc w:val="center"/>
        </w:trPr>
        <w:tc>
          <w:tcPr>
            <w:tcW w:w="1243" w:type="dxa"/>
          </w:tcPr>
          <w:p w14:paraId="40389079"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External Partner</w:t>
            </w:r>
          </w:p>
        </w:tc>
        <w:tc>
          <w:tcPr>
            <w:tcW w:w="1338" w:type="dxa"/>
          </w:tcPr>
          <w:p w14:paraId="550B523D"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Agriculture, Rural and Urban Development</w:t>
            </w:r>
          </w:p>
        </w:tc>
        <w:tc>
          <w:tcPr>
            <w:tcW w:w="1272" w:type="dxa"/>
          </w:tcPr>
          <w:p w14:paraId="2E5ED7A9"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General Economics and Commercial Affairs</w:t>
            </w:r>
          </w:p>
        </w:tc>
        <w:tc>
          <w:tcPr>
            <w:tcW w:w="1450" w:type="dxa"/>
          </w:tcPr>
          <w:p w14:paraId="07843EA6"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Energy, Infrastructure and ICT</w:t>
            </w:r>
          </w:p>
        </w:tc>
        <w:tc>
          <w:tcPr>
            <w:tcW w:w="1505" w:type="dxa"/>
          </w:tcPr>
          <w:p w14:paraId="77640805"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Environmental Protection, Water and Natural Resources</w:t>
            </w:r>
          </w:p>
        </w:tc>
        <w:tc>
          <w:tcPr>
            <w:tcW w:w="794" w:type="dxa"/>
          </w:tcPr>
          <w:p w14:paraId="53949DF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Health</w:t>
            </w:r>
          </w:p>
        </w:tc>
        <w:tc>
          <w:tcPr>
            <w:tcW w:w="1095" w:type="dxa"/>
          </w:tcPr>
          <w:p w14:paraId="077D6AE6"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Education</w:t>
            </w:r>
          </w:p>
        </w:tc>
        <w:tc>
          <w:tcPr>
            <w:tcW w:w="1300" w:type="dxa"/>
          </w:tcPr>
          <w:p w14:paraId="717A9C52"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Governance, Justice, Law and Order</w:t>
            </w:r>
          </w:p>
        </w:tc>
        <w:tc>
          <w:tcPr>
            <w:tcW w:w="1528" w:type="dxa"/>
          </w:tcPr>
          <w:p w14:paraId="07CBDA6C"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Public Administration and International Relations</w:t>
            </w:r>
          </w:p>
        </w:tc>
        <w:tc>
          <w:tcPr>
            <w:tcW w:w="1155" w:type="dxa"/>
          </w:tcPr>
          <w:p w14:paraId="3287129D"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Social Protection, Culture, and Recreation</w:t>
            </w:r>
          </w:p>
        </w:tc>
        <w:tc>
          <w:tcPr>
            <w:tcW w:w="950" w:type="dxa"/>
          </w:tcPr>
          <w:p w14:paraId="02E1DF6A" w14:textId="77777777" w:rsidR="000B2AE7" w:rsidRPr="0023481D" w:rsidRDefault="000B2AE7" w:rsidP="000B2AE7">
            <w:pPr>
              <w:ind w:firstLine="0"/>
              <w:jc w:val="center"/>
              <w:rPr>
                <w:rFonts w:ascii="Times New Roman" w:hAnsi="Times New Roman" w:cs="Times New Roman"/>
                <w:b/>
                <w:sz w:val="20"/>
                <w:szCs w:val="20"/>
              </w:rPr>
            </w:pPr>
            <w:r w:rsidRPr="0023481D">
              <w:rPr>
                <w:rFonts w:ascii="Times New Roman" w:hAnsi="Times New Roman" w:cs="Times New Roman"/>
                <w:b/>
                <w:sz w:val="20"/>
                <w:szCs w:val="20"/>
              </w:rPr>
              <w:t>National Security</w:t>
            </w:r>
          </w:p>
        </w:tc>
      </w:tr>
      <w:tr w:rsidR="00BB2896" w:rsidRPr="003621FC" w14:paraId="656A21C9" w14:textId="77777777" w:rsidTr="003D66FC">
        <w:trPr>
          <w:jc w:val="center"/>
        </w:trPr>
        <w:tc>
          <w:tcPr>
            <w:tcW w:w="1243" w:type="dxa"/>
          </w:tcPr>
          <w:p w14:paraId="18A80D7C"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United States (USAID)</w:t>
            </w:r>
          </w:p>
        </w:tc>
        <w:tc>
          <w:tcPr>
            <w:tcW w:w="1338" w:type="dxa"/>
          </w:tcPr>
          <w:p w14:paraId="0219F9F5"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272" w:type="dxa"/>
          </w:tcPr>
          <w:p w14:paraId="3996F06A" w14:textId="77777777" w:rsidR="000B2AE7" w:rsidRPr="003621FC" w:rsidRDefault="000B2AE7" w:rsidP="000B2AE7">
            <w:pPr>
              <w:ind w:firstLine="0"/>
              <w:jc w:val="center"/>
              <w:rPr>
                <w:rFonts w:ascii="Times New Roman" w:hAnsi="Times New Roman" w:cs="Times New Roman"/>
              </w:rPr>
            </w:pPr>
          </w:p>
        </w:tc>
        <w:tc>
          <w:tcPr>
            <w:tcW w:w="1450" w:type="dxa"/>
          </w:tcPr>
          <w:p w14:paraId="6E91E621" w14:textId="77777777" w:rsidR="000B2AE7" w:rsidRPr="003621FC" w:rsidRDefault="000B2AE7" w:rsidP="000B2AE7">
            <w:pPr>
              <w:ind w:firstLine="0"/>
              <w:jc w:val="center"/>
              <w:rPr>
                <w:rFonts w:ascii="Times New Roman" w:hAnsi="Times New Roman" w:cs="Times New Roman"/>
              </w:rPr>
            </w:pPr>
          </w:p>
        </w:tc>
        <w:tc>
          <w:tcPr>
            <w:tcW w:w="1505" w:type="dxa"/>
          </w:tcPr>
          <w:p w14:paraId="6E3665BD" w14:textId="77777777" w:rsidR="000B2AE7" w:rsidRPr="003621FC" w:rsidRDefault="000B2AE7" w:rsidP="000B2AE7">
            <w:pPr>
              <w:ind w:firstLine="0"/>
              <w:jc w:val="center"/>
              <w:rPr>
                <w:rFonts w:ascii="Times New Roman" w:hAnsi="Times New Roman" w:cs="Times New Roman"/>
              </w:rPr>
            </w:pPr>
          </w:p>
        </w:tc>
        <w:tc>
          <w:tcPr>
            <w:tcW w:w="794" w:type="dxa"/>
          </w:tcPr>
          <w:p w14:paraId="37E9F746"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095" w:type="dxa"/>
          </w:tcPr>
          <w:p w14:paraId="25C01CC3"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300" w:type="dxa"/>
          </w:tcPr>
          <w:p w14:paraId="561C20A2" w14:textId="77777777" w:rsidR="000B2AE7" w:rsidRPr="003621FC" w:rsidRDefault="000B2AE7" w:rsidP="000B2AE7">
            <w:pPr>
              <w:ind w:firstLine="0"/>
              <w:jc w:val="center"/>
              <w:rPr>
                <w:rFonts w:ascii="Times New Roman" w:hAnsi="Times New Roman" w:cs="Times New Roman"/>
              </w:rPr>
            </w:pPr>
          </w:p>
        </w:tc>
        <w:tc>
          <w:tcPr>
            <w:tcW w:w="1528" w:type="dxa"/>
          </w:tcPr>
          <w:p w14:paraId="101CBEBF"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39CE5B56"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950" w:type="dxa"/>
          </w:tcPr>
          <w:p w14:paraId="3C92C3B1" w14:textId="77777777" w:rsidR="000B2AE7" w:rsidRPr="003621FC" w:rsidRDefault="000B2AE7" w:rsidP="000B2AE7">
            <w:pPr>
              <w:ind w:firstLine="0"/>
              <w:jc w:val="center"/>
              <w:rPr>
                <w:rFonts w:ascii="Times New Roman" w:hAnsi="Times New Roman" w:cs="Times New Roman"/>
              </w:rPr>
            </w:pPr>
          </w:p>
        </w:tc>
      </w:tr>
      <w:tr w:rsidR="00BB2896" w:rsidRPr="003621FC" w14:paraId="2652831F" w14:textId="77777777" w:rsidTr="003D66FC">
        <w:trPr>
          <w:jc w:val="center"/>
        </w:trPr>
        <w:tc>
          <w:tcPr>
            <w:tcW w:w="1243" w:type="dxa"/>
          </w:tcPr>
          <w:p w14:paraId="339EF69C"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World Bank (IDA)</w:t>
            </w:r>
          </w:p>
        </w:tc>
        <w:tc>
          <w:tcPr>
            <w:tcW w:w="1338" w:type="dxa"/>
          </w:tcPr>
          <w:p w14:paraId="7467894C"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272" w:type="dxa"/>
          </w:tcPr>
          <w:p w14:paraId="430B2584" w14:textId="77777777" w:rsidR="000B2AE7" w:rsidRPr="003621FC" w:rsidRDefault="000B2AE7" w:rsidP="000B2AE7">
            <w:pPr>
              <w:ind w:firstLine="0"/>
              <w:jc w:val="center"/>
              <w:rPr>
                <w:rFonts w:ascii="Times New Roman" w:hAnsi="Times New Roman" w:cs="Times New Roman"/>
              </w:rPr>
            </w:pPr>
          </w:p>
        </w:tc>
        <w:tc>
          <w:tcPr>
            <w:tcW w:w="1450" w:type="dxa"/>
          </w:tcPr>
          <w:p w14:paraId="1DAB0B01"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505" w:type="dxa"/>
          </w:tcPr>
          <w:p w14:paraId="45D1D4DE"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794" w:type="dxa"/>
          </w:tcPr>
          <w:p w14:paraId="1DE028A2"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095" w:type="dxa"/>
          </w:tcPr>
          <w:p w14:paraId="3B839C7A" w14:textId="77777777" w:rsidR="000B2AE7" w:rsidRPr="003621FC" w:rsidRDefault="000B2AE7" w:rsidP="000B2AE7">
            <w:pPr>
              <w:ind w:firstLine="0"/>
              <w:jc w:val="center"/>
              <w:rPr>
                <w:rFonts w:ascii="Times New Roman" w:hAnsi="Times New Roman" w:cs="Times New Roman"/>
              </w:rPr>
            </w:pPr>
          </w:p>
        </w:tc>
        <w:tc>
          <w:tcPr>
            <w:tcW w:w="1300" w:type="dxa"/>
          </w:tcPr>
          <w:p w14:paraId="4316D50E"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528" w:type="dxa"/>
          </w:tcPr>
          <w:p w14:paraId="5DF840AB"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17D5BE02"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950" w:type="dxa"/>
          </w:tcPr>
          <w:p w14:paraId="7DE71D0D" w14:textId="77777777" w:rsidR="000B2AE7" w:rsidRPr="003621FC" w:rsidRDefault="000B2AE7" w:rsidP="000B2AE7">
            <w:pPr>
              <w:ind w:firstLine="0"/>
              <w:jc w:val="center"/>
              <w:rPr>
                <w:rFonts w:ascii="Times New Roman" w:hAnsi="Times New Roman" w:cs="Times New Roman"/>
              </w:rPr>
            </w:pPr>
          </w:p>
        </w:tc>
      </w:tr>
      <w:tr w:rsidR="00BB2896" w:rsidRPr="003621FC" w14:paraId="518DAFB0" w14:textId="77777777" w:rsidTr="003D66FC">
        <w:trPr>
          <w:jc w:val="center"/>
        </w:trPr>
        <w:tc>
          <w:tcPr>
            <w:tcW w:w="1243" w:type="dxa"/>
          </w:tcPr>
          <w:p w14:paraId="467CF86E"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World Food Programme (WFP)</w:t>
            </w:r>
          </w:p>
        </w:tc>
        <w:tc>
          <w:tcPr>
            <w:tcW w:w="1338" w:type="dxa"/>
          </w:tcPr>
          <w:p w14:paraId="43536855" w14:textId="77777777" w:rsidR="000B2AE7" w:rsidRPr="003621FC" w:rsidRDefault="000B2AE7" w:rsidP="000B2AE7">
            <w:pPr>
              <w:ind w:firstLine="0"/>
              <w:jc w:val="center"/>
              <w:rPr>
                <w:rFonts w:ascii="Times New Roman" w:hAnsi="Times New Roman" w:cs="Times New Roman"/>
              </w:rPr>
            </w:pPr>
          </w:p>
        </w:tc>
        <w:tc>
          <w:tcPr>
            <w:tcW w:w="1272" w:type="dxa"/>
          </w:tcPr>
          <w:p w14:paraId="71D64C95" w14:textId="77777777" w:rsidR="000B2AE7" w:rsidRPr="003621FC" w:rsidRDefault="000B2AE7" w:rsidP="000B2AE7">
            <w:pPr>
              <w:ind w:firstLine="0"/>
              <w:jc w:val="center"/>
              <w:rPr>
                <w:rFonts w:ascii="Times New Roman" w:hAnsi="Times New Roman" w:cs="Times New Roman"/>
              </w:rPr>
            </w:pPr>
          </w:p>
        </w:tc>
        <w:tc>
          <w:tcPr>
            <w:tcW w:w="1450" w:type="dxa"/>
          </w:tcPr>
          <w:p w14:paraId="4544E9D0" w14:textId="77777777" w:rsidR="000B2AE7" w:rsidRPr="003621FC" w:rsidRDefault="000B2AE7" w:rsidP="000B2AE7">
            <w:pPr>
              <w:ind w:firstLine="0"/>
              <w:jc w:val="center"/>
              <w:rPr>
                <w:rFonts w:ascii="Times New Roman" w:hAnsi="Times New Roman" w:cs="Times New Roman"/>
              </w:rPr>
            </w:pPr>
          </w:p>
        </w:tc>
        <w:tc>
          <w:tcPr>
            <w:tcW w:w="1505" w:type="dxa"/>
          </w:tcPr>
          <w:p w14:paraId="7FCAA9CC" w14:textId="77777777" w:rsidR="000B2AE7" w:rsidRPr="003621FC" w:rsidRDefault="000B2AE7" w:rsidP="000B2AE7">
            <w:pPr>
              <w:ind w:firstLine="0"/>
              <w:jc w:val="center"/>
              <w:rPr>
                <w:rFonts w:ascii="Times New Roman" w:hAnsi="Times New Roman" w:cs="Times New Roman"/>
              </w:rPr>
            </w:pPr>
          </w:p>
        </w:tc>
        <w:tc>
          <w:tcPr>
            <w:tcW w:w="794" w:type="dxa"/>
          </w:tcPr>
          <w:p w14:paraId="1CE10420" w14:textId="77777777" w:rsidR="000B2AE7" w:rsidRPr="003621FC" w:rsidRDefault="000B2AE7" w:rsidP="000B2AE7">
            <w:pPr>
              <w:ind w:firstLine="0"/>
              <w:jc w:val="center"/>
              <w:rPr>
                <w:rFonts w:ascii="Times New Roman" w:hAnsi="Times New Roman" w:cs="Times New Roman"/>
              </w:rPr>
            </w:pPr>
          </w:p>
        </w:tc>
        <w:tc>
          <w:tcPr>
            <w:tcW w:w="1095" w:type="dxa"/>
          </w:tcPr>
          <w:p w14:paraId="7F6813C4"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300" w:type="dxa"/>
          </w:tcPr>
          <w:p w14:paraId="56CB45BB" w14:textId="77777777" w:rsidR="000B2AE7" w:rsidRPr="003621FC" w:rsidRDefault="000B2AE7" w:rsidP="000B2AE7">
            <w:pPr>
              <w:ind w:firstLine="0"/>
              <w:jc w:val="center"/>
              <w:rPr>
                <w:rFonts w:ascii="Times New Roman" w:hAnsi="Times New Roman" w:cs="Times New Roman"/>
              </w:rPr>
            </w:pPr>
          </w:p>
        </w:tc>
        <w:tc>
          <w:tcPr>
            <w:tcW w:w="1528" w:type="dxa"/>
          </w:tcPr>
          <w:p w14:paraId="4F3EF6C4" w14:textId="77777777" w:rsidR="000B2AE7" w:rsidRPr="003621FC" w:rsidRDefault="000B2AE7" w:rsidP="000B2AE7">
            <w:pPr>
              <w:ind w:firstLine="0"/>
              <w:jc w:val="center"/>
              <w:rPr>
                <w:rFonts w:ascii="Times New Roman" w:hAnsi="Times New Roman" w:cs="Times New Roman"/>
              </w:rPr>
            </w:pPr>
            <w:r w:rsidRPr="003621FC">
              <w:rPr>
                <w:rFonts w:ascii="Times New Roman" w:hAnsi="Times New Roman" w:cs="Times New Roman"/>
              </w:rPr>
              <w:t>x</w:t>
            </w:r>
          </w:p>
        </w:tc>
        <w:tc>
          <w:tcPr>
            <w:tcW w:w="1155" w:type="dxa"/>
          </w:tcPr>
          <w:p w14:paraId="3D8DA342" w14:textId="77777777" w:rsidR="000B2AE7" w:rsidRPr="003621FC" w:rsidRDefault="000B2AE7" w:rsidP="000B2AE7">
            <w:pPr>
              <w:ind w:firstLine="0"/>
              <w:jc w:val="center"/>
              <w:rPr>
                <w:rFonts w:ascii="Times New Roman" w:hAnsi="Times New Roman" w:cs="Times New Roman"/>
              </w:rPr>
            </w:pPr>
          </w:p>
        </w:tc>
        <w:tc>
          <w:tcPr>
            <w:tcW w:w="950" w:type="dxa"/>
          </w:tcPr>
          <w:p w14:paraId="7DBCDD96" w14:textId="77777777" w:rsidR="000B2AE7" w:rsidRPr="003621FC" w:rsidRDefault="000B2AE7" w:rsidP="000B2AE7">
            <w:pPr>
              <w:ind w:firstLine="0"/>
              <w:jc w:val="center"/>
              <w:rPr>
                <w:rFonts w:ascii="Times New Roman" w:hAnsi="Times New Roman" w:cs="Times New Roman"/>
              </w:rPr>
            </w:pPr>
          </w:p>
        </w:tc>
      </w:tr>
    </w:tbl>
    <w:p w14:paraId="4399D7DE" w14:textId="77777777" w:rsidR="000B2AE7" w:rsidRDefault="000B2AE7" w:rsidP="00636B62">
      <w:pPr>
        <w:pStyle w:val="ListParagraph"/>
        <w:spacing w:line="240" w:lineRule="auto"/>
        <w:ind w:left="0"/>
        <w:contextualSpacing w:val="0"/>
        <w:jc w:val="both"/>
        <w:rPr>
          <w:rFonts w:ascii="Times New Roman" w:hAnsi="Times New Roman" w:cs="Times New Roman"/>
          <w:sz w:val="24"/>
          <w:szCs w:val="24"/>
        </w:rPr>
        <w:sectPr w:rsidR="000B2AE7" w:rsidSect="00F96822">
          <w:endnotePr>
            <w:numFmt w:val="decimal"/>
          </w:endnotePr>
          <w:pgSz w:w="15840" w:h="12240" w:orient="landscape"/>
          <w:pgMar w:top="1440" w:right="1166" w:bottom="1440" w:left="1267" w:header="720" w:footer="720" w:gutter="0"/>
          <w:cols w:space="720"/>
          <w:docGrid w:linePitch="360"/>
        </w:sectPr>
      </w:pPr>
    </w:p>
    <w:p w14:paraId="7FFB2CD2" w14:textId="77777777" w:rsidR="000B2AE7" w:rsidRPr="00B3553D" w:rsidRDefault="00B3553D" w:rsidP="00B3553D">
      <w:pPr>
        <w:pStyle w:val="Caption"/>
        <w:spacing w:after="240"/>
        <w:jc w:val="center"/>
        <w:rPr>
          <w:rFonts w:ascii="Times New Roman" w:hAnsi="Times New Roman" w:cs="Times New Roman"/>
          <w:b w:val="0"/>
          <w:color w:val="auto"/>
          <w:sz w:val="24"/>
          <w:szCs w:val="24"/>
        </w:rPr>
      </w:pPr>
      <w:bookmarkStart w:id="18" w:name="_Toc387342576"/>
      <w:r w:rsidRPr="00B3553D">
        <w:rPr>
          <w:rFonts w:ascii="Times New Roman" w:hAnsi="Times New Roman" w:cs="Times New Roman"/>
          <w:color w:val="auto"/>
          <w:sz w:val="24"/>
          <w:szCs w:val="24"/>
        </w:rPr>
        <w:lastRenderedPageBreak/>
        <w:t xml:space="preserve">Annex </w:t>
      </w:r>
      <w:r w:rsidRPr="00B3553D">
        <w:rPr>
          <w:rFonts w:ascii="Times New Roman" w:hAnsi="Times New Roman" w:cs="Times New Roman"/>
          <w:color w:val="auto"/>
          <w:sz w:val="24"/>
          <w:szCs w:val="24"/>
        </w:rPr>
        <w:fldChar w:fldCharType="begin"/>
      </w:r>
      <w:r w:rsidRPr="00B3553D">
        <w:rPr>
          <w:rFonts w:ascii="Times New Roman" w:hAnsi="Times New Roman" w:cs="Times New Roman"/>
          <w:color w:val="auto"/>
          <w:sz w:val="24"/>
          <w:szCs w:val="24"/>
        </w:rPr>
        <w:instrText xml:space="preserve"> SEQ Annex \* ARABIC </w:instrText>
      </w:r>
      <w:r w:rsidRPr="00B3553D">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15</w:t>
      </w:r>
      <w:r w:rsidRPr="00B3553D">
        <w:rPr>
          <w:rFonts w:ascii="Times New Roman" w:hAnsi="Times New Roman" w:cs="Times New Roman"/>
          <w:color w:val="auto"/>
          <w:sz w:val="24"/>
          <w:szCs w:val="24"/>
        </w:rPr>
        <w:fldChar w:fldCharType="end"/>
      </w:r>
      <w:r w:rsidRPr="00B3553D">
        <w:rPr>
          <w:rFonts w:ascii="Times New Roman" w:hAnsi="Times New Roman" w:cs="Times New Roman"/>
          <w:color w:val="auto"/>
          <w:sz w:val="24"/>
          <w:szCs w:val="24"/>
        </w:rPr>
        <w:t>: Dynamic selectivity at the strategic and programmatic levels</w:t>
      </w:r>
      <w:bookmarkEnd w:id="18"/>
    </w:p>
    <w:p w14:paraId="61F377F0" w14:textId="77777777" w:rsidR="000B2AE7" w:rsidRPr="00FF7661" w:rsidRDefault="000B2AE7" w:rsidP="000B2AE7">
      <w:pPr>
        <w:spacing w:line="240" w:lineRule="auto"/>
        <w:jc w:val="both"/>
        <w:rPr>
          <w:rFonts w:ascii="Times New Roman" w:hAnsi="Times New Roman" w:cs="Times New Roman"/>
          <w:sz w:val="24"/>
          <w:szCs w:val="24"/>
        </w:rPr>
      </w:pPr>
      <w:r w:rsidRPr="00FF7661">
        <w:rPr>
          <w:rFonts w:ascii="Times New Roman" w:hAnsi="Times New Roman" w:cs="Times New Roman"/>
          <w:sz w:val="24"/>
          <w:szCs w:val="24"/>
        </w:rPr>
        <w:t>Our CPS is selective since it is critical we deploy the Bank Group’s limited resources in the most effective way possible. How is this selectivity conveyed and implemented? It will be done at two levels.</w:t>
      </w:r>
    </w:p>
    <w:p w14:paraId="544D1192" w14:textId="77777777" w:rsidR="000B2AE7" w:rsidRPr="00FF7661" w:rsidRDefault="000B2AE7" w:rsidP="000B2AE7">
      <w:pPr>
        <w:spacing w:line="240" w:lineRule="auto"/>
        <w:jc w:val="both"/>
        <w:rPr>
          <w:rFonts w:ascii="Times New Roman" w:hAnsi="Times New Roman" w:cs="Times New Roman"/>
          <w:sz w:val="24"/>
          <w:szCs w:val="24"/>
        </w:rPr>
      </w:pPr>
      <w:r w:rsidRPr="00FF7661">
        <w:rPr>
          <w:rFonts w:ascii="Times New Roman" w:hAnsi="Times New Roman" w:cs="Times New Roman"/>
          <w:i/>
          <w:sz w:val="24"/>
          <w:szCs w:val="24"/>
          <w:u w:val="single"/>
        </w:rPr>
        <w:t>At the primary level</w:t>
      </w:r>
      <w:r w:rsidRPr="00FF7661">
        <w:rPr>
          <w:rFonts w:ascii="Times New Roman" w:hAnsi="Times New Roman" w:cs="Times New Roman"/>
          <w:sz w:val="24"/>
          <w:szCs w:val="24"/>
        </w:rPr>
        <w:t xml:space="preserve">, our domains of engagement quite deliberately focus on some clusters of activity while downplaying or excluding others. Let us illustrate by taking the first domain—competitiveness and sustainability. Given that the diagnostic review has identified that key infrastructure gaps—notably in power, water, and transport—are constraining growth, then these themes are clearly candidates for continuing engagement. Yet even here we will exercise selectivity in resource use as between the arms of the Bank Group. As a guide, when IFC and MIGA can be arranged to leverage private sector finance (e.g. in power) then IDA resources will be used to a lesser extent, and conversely where the conditions are currently less conducive to private finance (e.g. in the water sector) relatively more IDA resources will be allocated when economically justified.  </w:t>
      </w:r>
    </w:p>
    <w:p w14:paraId="2BA7F0A5" w14:textId="77777777" w:rsidR="000B2AE7" w:rsidRPr="00FF7661" w:rsidRDefault="000B2AE7" w:rsidP="000B2AE7">
      <w:pPr>
        <w:spacing w:line="240" w:lineRule="auto"/>
        <w:jc w:val="both"/>
        <w:rPr>
          <w:rFonts w:ascii="Times New Roman" w:hAnsi="Times New Roman" w:cs="Times New Roman"/>
          <w:sz w:val="24"/>
          <w:szCs w:val="24"/>
        </w:rPr>
      </w:pPr>
      <w:r w:rsidRPr="00FF7661">
        <w:rPr>
          <w:rFonts w:ascii="Times New Roman" w:hAnsi="Times New Roman" w:cs="Times New Roman"/>
          <w:sz w:val="24"/>
          <w:szCs w:val="24"/>
        </w:rPr>
        <w:t>Our analysis also shows that some sub-sectors of the economy are more likely than others to drive rapid growth. For example low-level manufacturing and other domestically focused industries are not priorities in the CPS. In contrast IFC aims to continue and perhaps expand its investments in agribusiness and the financial sector (both of which are regionally significant and improve Kenya’s trade position); and both the Bank and IFC expect to provide some support to the nascent oil and gas industry which has immense prospects to support medium term growth. We are also not prioritizing tourism for our investment—since private capital has a long and relatively successful track record here.</w:t>
      </w:r>
    </w:p>
    <w:p w14:paraId="64C7C547" w14:textId="77777777" w:rsidR="000B2AE7" w:rsidRPr="00FF7661" w:rsidRDefault="000B2AE7" w:rsidP="000B2AE7">
      <w:pPr>
        <w:spacing w:line="240" w:lineRule="auto"/>
        <w:jc w:val="both"/>
        <w:rPr>
          <w:rFonts w:ascii="Times New Roman" w:hAnsi="Times New Roman" w:cs="Times New Roman"/>
          <w:sz w:val="24"/>
          <w:szCs w:val="24"/>
        </w:rPr>
      </w:pPr>
      <w:r w:rsidRPr="00FF7661">
        <w:rPr>
          <w:rFonts w:ascii="Times New Roman" w:hAnsi="Times New Roman" w:cs="Times New Roman"/>
          <w:sz w:val="24"/>
          <w:szCs w:val="24"/>
        </w:rPr>
        <w:t>This all makes sense but some may ask why are the domains of engagement broad? Are they sharp enough to instil true selectivity? One has to recognize that given Kenya’s stage of development—where the needs are huge and there are a great many binding constraints, many or indeed most of which cannot be systematically ranked—it is not sensible to pretend we know only three or so actions are needed to deliver on the fight against poverty. Further, while the Bank Group resources are limited, we should not box ourselves in so tightly that we then fail to capitalize on the depth of expertise we have through our different tools—for example IFC finance where IDA is not a priority; analytical work where money is not the problem; making connections with other partners (including South-South). Hence it is appropriate to have the domains of engagement we have selected, while recognizing that they provide only one stage of selectivity.</w:t>
      </w:r>
    </w:p>
    <w:p w14:paraId="5EE81EBD" w14:textId="77777777" w:rsidR="000B2AE7" w:rsidRPr="00FF7661" w:rsidRDefault="000B2AE7" w:rsidP="000B2AE7">
      <w:pPr>
        <w:spacing w:after="0"/>
        <w:jc w:val="both"/>
        <w:rPr>
          <w:rFonts w:ascii="Times New Roman" w:hAnsi="Times New Roman" w:cs="Times New Roman"/>
          <w:i/>
          <w:sz w:val="24"/>
          <w:szCs w:val="24"/>
          <w:u w:val="single"/>
        </w:rPr>
      </w:pPr>
    </w:p>
    <w:p w14:paraId="09F032B9" w14:textId="77777777" w:rsidR="000B2AE7" w:rsidRPr="00FF7661" w:rsidRDefault="000B2AE7" w:rsidP="000B2AE7">
      <w:pPr>
        <w:spacing w:after="0"/>
        <w:rPr>
          <w:rFonts w:ascii="Times New Roman" w:hAnsi="Times New Roman" w:cs="Times New Roman"/>
          <w:i/>
          <w:sz w:val="24"/>
          <w:szCs w:val="24"/>
          <w:u w:val="single"/>
        </w:rPr>
      </w:pPr>
    </w:p>
    <w:p w14:paraId="5ED6928F" w14:textId="77777777" w:rsidR="000B2AE7" w:rsidRPr="00FF7661" w:rsidRDefault="000B2AE7" w:rsidP="000B2AE7">
      <w:pPr>
        <w:spacing w:after="0"/>
        <w:rPr>
          <w:rFonts w:ascii="Times New Roman" w:hAnsi="Times New Roman" w:cs="Times New Roman"/>
          <w:i/>
          <w:sz w:val="24"/>
          <w:szCs w:val="24"/>
          <w:u w:val="single"/>
        </w:rPr>
      </w:pPr>
    </w:p>
    <w:p w14:paraId="68C1705B" w14:textId="77777777" w:rsidR="000B2AE7" w:rsidRPr="00FF7661" w:rsidRDefault="000B2AE7" w:rsidP="000B2AE7">
      <w:pPr>
        <w:spacing w:after="0"/>
        <w:rPr>
          <w:rFonts w:ascii="Times New Roman" w:hAnsi="Times New Roman" w:cs="Times New Roman"/>
          <w:i/>
          <w:sz w:val="24"/>
          <w:szCs w:val="24"/>
          <w:u w:val="single"/>
        </w:rPr>
      </w:pPr>
    </w:p>
    <w:p w14:paraId="60004F4A" w14:textId="77777777" w:rsidR="000B2AE7" w:rsidRPr="00FF7661" w:rsidRDefault="000B2AE7" w:rsidP="000B2AE7">
      <w:pPr>
        <w:spacing w:after="0"/>
        <w:rPr>
          <w:rFonts w:ascii="Times New Roman" w:hAnsi="Times New Roman" w:cs="Times New Roman"/>
          <w:i/>
          <w:sz w:val="24"/>
          <w:szCs w:val="24"/>
          <w:u w:val="single"/>
        </w:rPr>
        <w:sectPr w:rsidR="000B2AE7" w:rsidRPr="00FF7661" w:rsidSect="00F96822">
          <w:pgSz w:w="12240" w:h="15840"/>
          <w:pgMar w:top="1440" w:right="1440" w:bottom="1440" w:left="1440" w:header="720" w:footer="720" w:gutter="0"/>
          <w:cols w:space="720"/>
          <w:docGrid w:linePitch="360"/>
        </w:sectPr>
      </w:pPr>
    </w:p>
    <w:p w14:paraId="06EEA9DF" w14:textId="77777777" w:rsidR="000B2AE7" w:rsidRPr="00FF7661" w:rsidRDefault="000B2AE7" w:rsidP="000B2AE7">
      <w:pPr>
        <w:spacing w:after="0" w:line="0" w:lineRule="atLeast"/>
        <w:rPr>
          <w:rFonts w:ascii="Times New Roman" w:hAnsi="Times New Roman" w:cs="Times New Roman"/>
          <w:sz w:val="24"/>
          <w:szCs w:val="24"/>
        </w:rPr>
      </w:pPr>
      <w:r w:rsidRPr="00FF7661">
        <w:rPr>
          <w:rFonts w:ascii="Times New Roman" w:hAnsi="Times New Roman" w:cs="Times New Roman"/>
          <w:noProof/>
          <w:sz w:val="24"/>
          <w:szCs w:val="24"/>
        </w:rPr>
        <w:lastRenderedPageBreak/>
        <mc:AlternateContent>
          <mc:Choice Requires="wps">
            <w:drawing>
              <wp:anchor distT="0" distB="0" distL="114300" distR="114300" simplePos="0" relativeHeight="251809792" behindDoc="0" locked="0" layoutInCell="1" allowOverlap="1" wp14:anchorId="13BE34A3" wp14:editId="02F61B8C">
                <wp:simplePos x="0" y="0"/>
                <wp:positionH relativeFrom="column">
                  <wp:posOffset>-104775</wp:posOffset>
                </wp:positionH>
                <wp:positionV relativeFrom="paragraph">
                  <wp:posOffset>-210185</wp:posOffset>
                </wp:positionV>
                <wp:extent cx="600075" cy="44767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solidFill>
                          <a:schemeClr val="tx1"/>
                        </a:solidFill>
                        <a:ln w="9525">
                          <a:solidFill>
                            <a:srgbClr val="000000"/>
                          </a:solidFill>
                          <a:miter lim="800000"/>
                          <a:headEnd/>
                          <a:tailEnd/>
                        </a:ln>
                      </wps:spPr>
                      <wps:txbx>
                        <w:txbxContent>
                          <w:p w14:paraId="6355BEA0" w14:textId="77777777" w:rsidR="00DA29A4" w:rsidRPr="00E11104" w:rsidRDefault="00DA29A4" w:rsidP="000B2AE7">
                            <w:pPr>
                              <w:jc w:val="center"/>
                              <w:rPr>
                                <w:rFonts w:ascii="Times New Roman" w:hAnsi="Times New Roman" w:cs="Times New Roman"/>
                                <w:b/>
                              </w:rPr>
                            </w:pPr>
                            <w:r w:rsidRPr="00E11104">
                              <w:rPr>
                                <w:rFonts w:ascii="Times New Roman" w:hAnsi="Times New Roman" w:cs="Times New Roman"/>
                                <w:b/>
                              </w:rPr>
                              <w:t>Pillar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25pt;margin-top:-16.55pt;width:47.25pt;height:3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" fillcolor="black [3213]">
                <v:textbox>
                  <w:txbxContent>
                    <w:p w14:paraId="6355BEA0" w14:textId="77777777" w:rsidR="00DA29A4" w:rsidRPr="00E11104" w:rsidRDefault="00DA29A4" w:rsidP="000B2AE7">
                      <w:pPr>
                        <w:jc w:val="center"/>
                        <w:rPr>
                          <w:rFonts w:ascii="Times New Roman" w:hAnsi="Times New Roman" w:cs="Times New Roman"/>
                          <w:b/>
                        </w:rPr>
                      </w:pPr>
                      <w:r w:rsidRPr="00E11104">
                        <w:rPr>
                          <w:rFonts w:ascii="Times New Roman" w:hAnsi="Times New Roman" w:cs="Times New Roman"/>
                          <w:b/>
                        </w:rPr>
                        <w:t>Pillar</w:t>
                      </w:r>
                    </w:p>
                  </w:txbxContent>
                </v:textbox>
              </v:shape>
            </w:pict>
          </mc:Fallback>
        </mc:AlternateContent>
      </w:r>
      <w:r w:rsidRPr="00FF7661">
        <w:rPr>
          <w:rFonts w:ascii="Times New Roman" w:hAnsi="Times New Roman" w:cs="Times New Roman"/>
          <w:noProof/>
          <w:sz w:val="24"/>
          <w:szCs w:val="24"/>
          <w:highlight w:val="black"/>
        </w:rPr>
        <mc:AlternateContent>
          <mc:Choice Requires="wps">
            <w:drawing>
              <wp:anchor distT="0" distB="0" distL="114300" distR="114300" simplePos="0" relativeHeight="251808768" behindDoc="0" locked="0" layoutInCell="1" allowOverlap="1" wp14:anchorId="368B8487" wp14:editId="21681181">
                <wp:simplePos x="0" y="0"/>
                <wp:positionH relativeFrom="column">
                  <wp:posOffset>390525</wp:posOffset>
                </wp:positionH>
                <wp:positionV relativeFrom="paragraph">
                  <wp:posOffset>-210185</wp:posOffset>
                </wp:positionV>
                <wp:extent cx="2117725" cy="447675"/>
                <wp:effectExtent l="0" t="0" r="15875" b="28575"/>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47675"/>
                        </a:xfrm>
                        <a:prstGeom prst="rect">
                          <a:avLst/>
                        </a:prstGeom>
                        <a:solidFill>
                          <a:schemeClr val="tx1"/>
                        </a:solidFill>
                        <a:ln w="9525">
                          <a:solidFill>
                            <a:srgbClr val="000000"/>
                          </a:solidFill>
                          <a:miter lim="800000"/>
                          <a:headEnd/>
                          <a:tailEnd/>
                        </a:ln>
                      </wps:spPr>
                      <wps:txbx>
                        <w:txbxContent>
                          <w:p w14:paraId="7DDE3A7E"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Kenya Medium Term Plan </w:t>
                            </w:r>
                          </w:p>
                          <w:p w14:paraId="5176EB6F" w14:textId="77777777" w:rsidR="00DA29A4" w:rsidRPr="00D431EB" w:rsidRDefault="00DA29A4" w:rsidP="000B2AE7">
                            <w:pPr>
                              <w:spacing w:after="0" w:line="0" w:lineRule="atLeast"/>
                              <w:jc w:val="center"/>
                              <w:rPr>
                                <w:rFonts w:ascii="Times New Roman" w:hAnsi="Times New Roman" w:cs="Times New Roman"/>
                                <w:b/>
                              </w:rPr>
                            </w:pPr>
                            <w:r>
                              <w:rPr>
                                <w:rFonts w:ascii="Times New Roman" w:hAnsi="Times New Roman" w:cs="Times New Roman"/>
                                <w:b/>
                              </w:rPr>
                              <w:t>2013-2017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0.75pt;margin-top:-16.55pt;width:166.7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" fillcolor="black [3213]">
                <v:textbox>
                  <w:txbxContent>
                    <w:p w14:paraId="7DDE3A7E"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Kenya Medium Term Plan </w:t>
                      </w:r>
                    </w:p>
                    <w:p w14:paraId="5176EB6F" w14:textId="77777777" w:rsidR="00DA29A4" w:rsidRPr="00D431EB" w:rsidRDefault="00DA29A4" w:rsidP="000B2AE7">
                      <w:pPr>
                        <w:spacing w:after="0" w:line="0" w:lineRule="atLeast"/>
                        <w:jc w:val="center"/>
                        <w:rPr>
                          <w:rFonts w:ascii="Times New Roman" w:hAnsi="Times New Roman" w:cs="Times New Roman"/>
                          <w:b/>
                        </w:rPr>
                      </w:pPr>
                      <w:r>
                        <w:rPr>
                          <w:rFonts w:ascii="Times New Roman" w:hAnsi="Times New Roman" w:cs="Times New Roman"/>
                          <w:b/>
                        </w:rPr>
                        <w:t>2013-2017</w:t>
                      </w:r>
                    </w:p>
                  </w:txbxContent>
                </v:textbox>
              </v:shape>
            </w:pict>
          </mc:Fallback>
        </mc:AlternateContent>
      </w:r>
      <w:r w:rsidRPr="00FF7661">
        <w:rPr>
          <w:rFonts w:ascii="Times New Roman" w:hAnsi="Times New Roman" w:cs="Times New Roman"/>
          <w:noProof/>
          <w:sz w:val="24"/>
          <w:szCs w:val="24"/>
          <w:highlight w:val="black"/>
        </w:rPr>
        <mc:AlternateContent>
          <mc:Choice Requires="wps">
            <w:drawing>
              <wp:anchor distT="0" distB="0" distL="114300" distR="114300" simplePos="0" relativeHeight="251814912" behindDoc="0" locked="0" layoutInCell="1" allowOverlap="1" wp14:anchorId="30743FE8" wp14:editId="76C46A0A">
                <wp:simplePos x="0" y="0"/>
                <wp:positionH relativeFrom="column">
                  <wp:posOffset>4000500</wp:posOffset>
                </wp:positionH>
                <wp:positionV relativeFrom="paragraph">
                  <wp:posOffset>-200025</wp:posOffset>
                </wp:positionV>
                <wp:extent cx="2047875" cy="438150"/>
                <wp:effectExtent l="0" t="0" r="28575"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38150"/>
                        </a:xfrm>
                        <a:prstGeom prst="rect">
                          <a:avLst/>
                        </a:prstGeom>
                        <a:solidFill>
                          <a:schemeClr val="tx1"/>
                        </a:solidFill>
                        <a:ln w="9525">
                          <a:solidFill>
                            <a:srgbClr val="000000"/>
                          </a:solidFill>
                          <a:miter lim="800000"/>
                          <a:headEnd/>
                          <a:tailEnd/>
                        </a:ln>
                      </wps:spPr>
                      <wps:txbx>
                        <w:txbxContent>
                          <w:p w14:paraId="6C87667F"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Kenya Medium Term Plan </w:t>
                            </w:r>
                          </w:p>
                          <w:p w14:paraId="21740243" w14:textId="77777777" w:rsidR="00DA29A4" w:rsidRPr="00D431EB" w:rsidRDefault="00DA29A4" w:rsidP="000B2AE7">
                            <w:pPr>
                              <w:spacing w:after="0" w:line="0" w:lineRule="atLeast"/>
                              <w:jc w:val="center"/>
                              <w:rPr>
                                <w:rFonts w:ascii="Times New Roman" w:hAnsi="Times New Roman" w:cs="Times New Roman"/>
                                <w:b/>
                              </w:rPr>
                            </w:pPr>
                            <w:r>
                              <w:rPr>
                                <w:rFonts w:ascii="Times New Roman" w:hAnsi="Times New Roman" w:cs="Times New Roman"/>
                                <w:b/>
                              </w:rPr>
                              <w:t>2013-2017</w:t>
                            </w:r>
                          </w:p>
                          <w:p w14:paraId="7A877C02" w14:textId="77777777" w:rsidR="00DA29A4" w:rsidRPr="00D431EB" w:rsidRDefault="00DA29A4" w:rsidP="000B2AE7">
                            <w:pPr>
                              <w:spacing w:after="0" w:line="0" w:lineRule="atLeast"/>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5pt;margin-top:-15.75pt;width:161.25pt;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" fillcolor="black [3213]">
                <v:textbox>
                  <w:txbxContent>
                    <w:p w14:paraId="6C87667F"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Kenya Medium Term Plan </w:t>
                      </w:r>
                    </w:p>
                    <w:p w14:paraId="21740243" w14:textId="77777777" w:rsidR="00DA29A4" w:rsidRPr="00D431EB" w:rsidRDefault="00DA29A4" w:rsidP="000B2AE7">
                      <w:pPr>
                        <w:spacing w:after="0" w:line="0" w:lineRule="atLeast"/>
                        <w:jc w:val="center"/>
                        <w:rPr>
                          <w:rFonts w:ascii="Times New Roman" w:hAnsi="Times New Roman" w:cs="Times New Roman"/>
                          <w:b/>
                        </w:rPr>
                      </w:pPr>
                      <w:r>
                        <w:rPr>
                          <w:rFonts w:ascii="Times New Roman" w:hAnsi="Times New Roman" w:cs="Times New Roman"/>
                          <w:b/>
                        </w:rPr>
                        <w:t>2013-2017</w:t>
                      </w:r>
                    </w:p>
                    <w:p w14:paraId="7A877C02" w14:textId="77777777" w:rsidR="00DA29A4" w:rsidRPr="00D431EB" w:rsidRDefault="00DA29A4" w:rsidP="000B2AE7">
                      <w:pPr>
                        <w:spacing w:after="0" w:line="0" w:lineRule="atLeast"/>
                        <w:jc w:val="center"/>
                        <w:rPr>
                          <w:rFonts w:ascii="Times New Roman" w:hAnsi="Times New Roman" w:cs="Times New Roman"/>
                          <w:b/>
                        </w:rPr>
                      </w:pPr>
                    </w:p>
                  </w:txbxContent>
                </v:textbox>
              </v:shape>
            </w:pict>
          </mc:Fallback>
        </mc:AlternateContent>
      </w:r>
      <w:r w:rsidRPr="00FF7661">
        <w:rPr>
          <w:rFonts w:ascii="Times New Roman" w:hAnsi="Times New Roman" w:cs="Times New Roman"/>
          <w:noProof/>
          <w:sz w:val="24"/>
          <w:szCs w:val="24"/>
          <w:highlight w:val="black"/>
        </w:rPr>
        <mc:AlternateContent>
          <mc:Choice Requires="wps">
            <w:drawing>
              <wp:anchor distT="0" distB="0" distL="114300" distR="114300" simplePos="0" relativeHeight="251810816" behindDoc="0" locked="0" layoutInCell="1" allowOverlap="1" wp14:anchorId="6824FBC4" wp14:editId="6DDB6B09">
                <wp:simplePos x="0" y="0"/>
                <wp:positionH relativeFrom="column">
                  <wp:posOffset>2838450</wp:posOffset>
                </wp:positionH>
                <wp:positionV relativeFrom="paragraph">
                  <wp:posOffset>-200025</wp:posOffset>
                </wp:positionV>
                <wp:extent cx="1247775" cy="438150"/>
                <wp:effectExtent l="0" t="0" r="28575"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38150"/>
                        </a:xfrm>
                        <a:prstGeom prst="rect">
                          <a:avLst/>
                        </a:prstGeom>
                        <a:solidFill>
                          <a:schemeClr val="tx1"/>
                        </a:solidFill>
                        <a:ln w="9525">
                          <a:solidFill>
                            <a:srgbClr val="000000"/>
                          </a:solidFill>
                          <a:miter lim="800000"/>
                          <a:headEnd/>
                          <a:tailEnd/>
                        </a:ln>
                      </wps:spPr>
                      <wps:txbx>
                        <w:txbxContent>
                          <w:p w14:paraId="26FD1700"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WBG Domains </w:t>
                            </w:r>
                          </w:p>
                          <w:p w14:paraId="566825C7" w14:textId="77777777" w:rsidR="00DA29A4" w:rsidRPr="00D431EB" w:rsidRDefault="00DA29A4" w:rsidP="000B2AE7">
                            <w:pPr>
                              <w:spacing w:after="0" w:line="0" w:lineRule="atLeast"/>
                              <w:jc w:val="center"/>
                              <w:rPr>
                                <w:rFonts w:ascii="Times New Roman" w:hAnsi="Times New Roman" w:cs="Times New Roman"/>
                                <w:b/>
                              </w:rPr>
                            </w:pPr>
                            <w:r>
                              <w:rPr>
                                <w:rFonts w:ascii="Times New Roman" w:hAnsi="Times New Roman" w:cs="Times New Roman"/>
                                <w:b/>
                              </w:rPr>
                              <w:t>of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margin-left:223.5pt;margin-top:-15.75pt;width:98.25pt;height: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" fillcolor="black [3213]">
                <v:textbox>
                  <w:txbxContent>
                    <w:p w14:paraId="26FD1700" w14:textId="77777777" w:rsidR="00DA29A4" w:rsidRDefault="00DA29A4" w:rsidP="000B2AE7">
                      <w:pPr>
                        <w:spacing w:after="0" w:line="0" w:lineRule="atLeast"/>
                        <w:jc w:val="center"/>
                        <w:rPr>
                          <w:rFonts w:ascii="Times New Roman" w:hAnsi="Times New Roman" w:cs="Times New Roman"/>
                          <w:b/>
                        </w:rPr>
                      </w:pPr>
                      <w:r>
                        <w:rPr>
                          <w:rFonts w:ascii="Times New Roman" w:hAnsi="Times New Roman" w:cs="Times New Roman"/>
                          <w:b/>
                        </w:rPr>
                        <w:t xml:space="preserve">WBG Domains </w:t>
                      </w:r>
                    </w:p>
                    <w:p w14:paraId="566825C7" w14:textId="77777777" w:rsidR="00DA29A4" w:rsidRPr="00D431EB" w:rsidRDefault="00DA29A4" w:rsidP="000B2AE7">
                      <w:pPr>
                        <w:spacing w:after="0" w:line="0" w:lineRule="atLeast"/>
                        <w:jc w:val="center"/>
                        <w:rPr>
                          <w:rFonts w:ascii="Times New Roman" w:hAnsi="Times New Roman" w:cs="Times New Roman"/>
                          <w:b/>
                        </w:rPr>
                      </w:pPr>
                      <w:proofErr w:type="gramStart"/>
                      <w:r>
                        <w:rPr>
                          <w:rFonts w:ascii="Times New Roman" w:hAnsi="Times New Roman" w:cs="Times New Roman"/>
                          <w:b/>
                        </w:rPr>
                        <w:t>of</w:t>
                      </w:r>
                      <w:proofErr w:type="gramEnd"/>
                      <w:r>
                        <w:rPr>
                          <w:rFonts w:ascii="Times New Roman" w:hAnsi="Times New Roman" w:cs="Times New Roman"/>
                          <w:b/>
                        </w:rPr>
                        <w:t xml:space="preserve"> Engagement</w:t>
                      </w:r>
                    </w:p>
                  </w:txbxContent>
                </v:textbox>
              </v:shape>
            </w:pict>
          </mc:Fallback>
        </mc:AlternateContent>
      </w:r>
      <w:r w:rsidRPr="00FF7661">
        <w:rPr>
          <w:rFonts w:ascii="Times New Roman" w:hAnsi="Times New Roman" w:cs="Times New Roman"/>
          <w:sz w:val="24"/>
          <w:szCs w:val="24"/>
        </w:rPr>
        <w:t xml:space="preserve">       </w:t>
      </w:r>
    </w:p>
    <w:p w14:paraId="0CF77747" w14:textId="77777777" w:rsidR="000B2AE7" w:rsidRPr="00FF7661" w:rsidRDefault="000B2AE7" w:rsidP="000B2AE7">
      <w:pPr>
        <w:spacing w:after="0" w:line="0" w:lineRule="atLeast"/>
        <w:rPr>
          <w:rFonts w:ascii="Times New Roman" w:hAnsi="Times New Roman" w:cs="Times New Roman"/>
          <w:sz w:val="24"/>
          <w:szCs w:val="24"/>
        </w:rPr>
      </w:pPr>
    </w:p>
    <w:p w14:paraId="0CA7992A" w14:textId="77777777" w:rsidR="000B2AE7" w:rsidRPr="00FF7661" w:rsidRDefault="000B2AE7" w:rsidP="000B2AE7">
      <w:pPr>
        <w:spacing w:after="0" w:line="0"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90"/>
        <w:gridCol w:w="3240"/>
      </w:tblGrid>
      <w:tr w:rsidR="000B2AE7" w:rsidRPr="00FF7661" w14:paraId="25E9E1FB" w14:textId="77777777" w:rsidTr="00627460">
        <w:tc>
          <w:tcPr>
            <w:tcW w:w="738" w:type="dxa"/>
            <w:vMerge w:val="restart"/>
            <w:textDirection w:val="btLr"/>
          </w:tcPr>
          <w:p w14:paraId="14ABA6D8" w14:textId="77777777" w:rsidR="000B2AE7" w:rsidRPr="00FF7661" w:rsidRDefault="000B2AE7" w:rsidP="00627460">
            <w:pPr>
              <w:ind w:firstLine="0"/>
              <w:jc w:val="center"/>
              <w:rPr>
                <w:rFonts w:ascii="Times New Roman" w:eastAsia="Times New Roman" w:hAnsi="Times New Roman" w:cs="Times New Roman"/>
                <w:b/>
                <w:color w:val="000000"/>
                <w:sz w:val="24"/>
                <w:szCs w:val="24"/>
              </w:rPr>
            </w:pPr>
            <w:r w:rsidRPr="00FF7661">
              <w:rPr>
                <w:rFonts w:ascii="Times New Roman" w:eastAsia="Times New Roman" w:hAnsi="Times New Roman" w:cs="Times New Roman"/>
                <w:b/>
                <w:color w:val="000000"/>
                <w:sz w:val="24"/>
                <w:szCs w:val="24"/>
              </w:rPr>
              <w:t xml:space="preserve">Foundations for National </w:t>
            </w:r>
          </w:p>
          <w:p w14:paraId="182C63FE" w14:textId="77777777" w:rsidR="000B2AE7" w:rsidRPr="00FF7661" w:rsidRDefault="000B2AE7" w:rsidP="00627460">
            <w:pPr>
              <w:ind w:firstLine="0"/>
              <w:jc w:val="center"/>
              <w:rPr>
                <w:rFonts w:ascii="Times New Roman" w:eastAsia="Times New Roman" w:hAnsi="Times New Roman" w:cs="Times New Roman"/>
                <w:b/>
                <w:color w:val="000000"/>
                <w:sz w:val="24"/>
                <w:szCs w:val="24"/>
              </w:rPr>
            </w:pPr>
            <w:r w:rsidRPr="00FF7661">
              <w:rPr>
                <w:rFonts w:ascii="Times New Roman" w:eastAsia="Times New Roman" w:hAnsi="Times New Roman" w:cs="Times New Roman"/>
                <w:b/>
                <w:color w:val="000000"/>
                <w:sz w:val="24"/>
                <w:szCs w:val="24"/>
              </w:rPr>
              <w:t xml:space="preserve">Transformation </w:t>
            </w:r>
          </w:p>
        </w:tc>
        <w:tc>
          <w:tcPr>
            <w:tcW w:w="3240" w:type="dxa"/>
          </w:tcPr>
          <w:p w14:paraId="7A04D199"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Infrastructure</w:t>
            </w:r>
          </w:p>
        </w:tc>
      </w:tr>
      <w:tr w:rsidR="000B2AE7" w:rsidRPr="00FF7661" w14:paraId="313B06E2" w14:textId="77777777" w:rsidTr="00627460">
        <w:tc>
          <w:tcPr>
            <w:tcW w:w="738" w:type="dxa"/>
            <w:vMerge/>
          </w:tcPr>
          <w:p w14:paraId="188F165B"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44594F11"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Energy</w:t>
            </w:r>
          </w:p>
        </w:tc>
      </w:tr>
      <w:tr w:rsidR="000B2AE7" w:rsidRPr="00FF7661" w14:paraId="2808079C" w14:textId="77777777" w:rsidTr="00627460">
        <w:tc>
          <w:tcPr>
            <w:tcW w:w="738" w:type="dxa"/>
            <w:vMerge/>
          </w:tcPr>
          <w:p w14:paraId="4083DF6C"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1E1F0B7A"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 xml:space="preserve">Information, Communication and Technology </w:t>
            </w:r>
          </w:p>
        </w:tc>
      </w:tr>
      <w:tr w:rsidR="000B2AE7" w:rsidRPr="00FF7661" w14:paraId="54621442" w14:textId="77777777" w:rsidTr="00627460">
        <w:tc>
          <w:tcPr>
            <w:tcW w:w="738" w:type="dxa"/>
            <w:vMerge/>
          </w:tcPr>
          <w:p w14:paraId="5718BFAA"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6B7DCE59"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15A63A7F" wp14:editId="251EE84A">
                      <wp:simplePos x="0" y="0"/>
                      <wp:positionH relativeFrom="column">
                        <wp:posOffset>3390265</wp:posOffset>
                      </wp:positionH>
                      <wp:positionV relativeFrom="paragraph">
                        <wp:posOffset>340327</wp:posOffset>
                      </wp:positionV>
                      <wp:extent cx="2094865" cy="234315"/>
                      <wp:effectExtent l="0" t="0" r="19685" b="1333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34315"/>
                              </a:xfrm>
                              <a:prstGeom prst="rect">
                                <a:avLst/>
                              </a:prstGeom>
                              <a:solidFill>
                                <a:srgbClr val="FFFFFF"/>
                              </a:solidFill>
                              <a:ln w="9525">
                                <a:solidFill>
                                  <a:srgbClr val="000000"/>
                                </a:solidFill>
                                <a:miter lim="800000"/>
                                <a:headEnd/>
                                <a:tailEnd/>
                              </a:ln>
                            </wps:spPr>
                            <wps:txbx>
                              <w:txbxContent>
                                <w:p w14:paraId="26C8A0A9"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6.95pt;margin-top:26.8pt;width:164.95pt;height:18.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">
                      <v:textbox>
                        <w:txbxContent>
                          <w:p w14:paraId="26C8A0A9"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Infrastructure</w:t>
                            </w:r>
                          </w:p>
                        </w:txbxContent>
                      </v:textbox>
                    </v:shape>
                  </w:pict>
                </mc:Fallback>
              </mc:AlternateContent>
            </w:r>
            <w:r w:rsidRPr="00FF7661">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2DC223AB" wp14:editId="0BDF2739">
                      <wp:simplePos x="0" y="0"/>
                      <wp:positionH relativeFrom="column">
                        <wp:posOffset>2661920</wp:posOffset>
                      </wp:positionH>
                      <wp:positionV relativeFrom="paragraph">
                        <wp:posOffset>-5080</wp:posOffset>
                      </wp:positionV>
                      <wp:extent cx="589915" cy="1311275"/>
                      <wp:effectExtent l="0" t="0" r="635" b="3175"/>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311275"/>
                              </a:xfrm>
                              <a:prstGeom prst="rect">
                                <a:avLst/>
                              </a:prstGeom>
                              <a:solidFill>
                                <a:srgbClr val="FFFFFF"/>
                              </a:solidFill>
                              <a:ln w="9525">
                                <a:noFill/>
                                <a:miter lim="800000"/>
                                <a:headEnd/>
                                <a:tailEnd/>
                              </a:ln>
                            </wps:spPr>
                            <wps:txbx>
                              <w:txbxContent>
                                <w:p w14:paraId="12C0DA0F"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Competitiveness</w:t>
                                  </w:r>
                                </w:p>
                                <w:p w14:paraId="0B7A3C02"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and Sustainability</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9.6pt;margin-top:-.4pt;width:46.45pt;height:10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" stroked="f">
                      <v:textbox style="layout-flow:vertical;mso-layout-flow-alt:bottom-to-top">
                        <w:txbxContent>
                          <w:p w14:paraId="12C0DA0F"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Competitiveness</w:t>
                            </w:r>
                          </w:p>
                          <w:p w14:paraId="0B7A3C02" w14:textId="77777777" w:rsidR="00DA29A4" w:rsidRPr="00E165AF" w:rsidRDefault="00DA29A4" w:rsidP="000B2AE7">
                            <w:pPr>
                              <w:spacing w:after="0" w:line="0" w:lineRule="atLeast"/>
                              <w:jc w:val="center"/>
                              <w:rPr>
                                <w:rFonts w:ascii="Times New Roman" w:hAnsi="Times New Roman" w:cs="Times New Roman"/>
                                <w:b/>
                                <w:sz w:val="24"/>
                              </w:rPr>
                            </w:pPr>
                            <w:proofErr w:type="gramStart"/>
                            <w:r w:rsidRPr="00E165AF">
                              <w:rPr>
                                <w:rFonts w:ascii="Times New Roman" w:hAnsi="Times New Roman" w:cs="Times New Roman"/>
                                <w:b/>
                                <w:sz w:val="24"/>
                              </w:rPr>
                              <w:t>and</w:t>
                            </w:r>
                            <w:proofErr w:type="gramEnd"/>
                            <w:r w:rsidRPr="00E165AF">
                              <w:rPr>
                                <w:rFonts w:ascii="Times New Roman" w:hAnsi="Times New Roman" w:cs="Times New Roman"/>
                                <w:b/>
                                <w:sz w:val="24"/>
                              </w:rPr>
                              <w:t xml:space="preserve"> Sustainability</w:t>
                            </w:r>
                          </w:p>
                        </w:txbxContent>
                      </v:textbox>
                    </v:shape>
                  </w:pict>
                </mc:Fallback>
              </mc:AlternateContent>
            </w:r>
            <w:r w:rsidRPr="00FF7661">
              <w:rPr>
                <w:rFonts w:ascii="Times New Roman" w:eastAsia="Times New Roman" w:hAnsi="Times New Roman" w:cs="Times New Roman"/>
                <w:color w:val="000000"/>
                <w:sz w:val="24"/>
                <w:szCs w:val="24"/>
              </w:rPr>
              <w:t>Science, Technology, and Innovation</w:t>
            </w:r>
          </w:p>
        </w:tc>
      </w:tr>
      <w:tr w:rsidR="000B2AE7" w:rsidRPr="00FF7661" w14:paraId="117F0A79" w14:textId="77777777" w:rsidTr="00627460">
        <w:tc>
          <w:tcPr>
            <w:tcW w:w="738" w:type="dxa"/>
            <w:vMerge/>
          </w:tcPr>
          <w:p w14:paraId="51AFFF6B"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67E684BC"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 xml:space="preserve">Land Reforms </w:t>
            </w:r>
          </w:p>
        </w:tc>
      </w:tr>
      <w:tr w:rsidR="000B2AE7" w:rsidRPr="00FF7661" w14:paraId="7EE8C27C" w14:textId="77777777" w:rsidTr="00627460">
        <w:tc>
          <w:tcPr>
            <w:tcW w:w="738" w:type="dxa"/>
            <w:vMerge/>
          </w:tcPr>
          <w:p w14:paraId="51C18631"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0845F586"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AF06FDB" wp14:editId="44FFD63C">
                      <wp:simplePos x="0" y="0"/>
                      <wp:positionH relativeFrom="column">
                        <wp:posOffset>3390728</wp:posOffset>
                      </wp:positionH>
                      <wp:positionV relativeFrom="paragraph">
                        <wp:posOffset>25743</wp:posOffset>
                      </wp:positionV>
                      <wp:extent cx="2095260" cy="485775"/>
                      <wp:effectExtent l="0" t="0" r="19685" b="28575"/>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260" cy="485775"/>
                              </a:xfrm>
                              <a:prstGeom prst="rect">
                                <a:avLst/>
                              </a:prstGeom>
                              <a:solidFill>
                                <a:srgbClr val="FFFFFF"/>
                              </a:solidFill>
                              <a:ln w="9525">
                                <a:solidFill>
                                  <a:srgbClr val="000000"/>
                                </a:solidFill>
                                <a:miter lim="800000"/>
                                <a:headEnd/>
                                <a:tailEnd/>
                              </a:ln>
                            </wps:spPr>
                            <wps:txbx>
                              <w:txbxContent>
                                <w:p w14:paraId="6088EA47"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Agriculture and Rural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7pt;margin-top:2.05pt;width:165pt;height:3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">
                      <v:textbox>
                        <w:txbxContent>
                          <w:p w14:paraId="6088EA47"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Agriculture and Rural Development</w:t>
                            </w:r>
                          </w:p>
                        </w:txbxContent>
                      </v:textbox>
                    </v:shape>
                  </w:pict>
                </mc:Fallback>
              </mc:AlternateContent>
            </w:r>
            <w:r w:rsidRPr="00FF7661">
              <w:rPr>
                <w:rFonts w:ascii="Times New Roman" w:eastAsia="Times New Roman" w:hAnsi="Times New Roman" w:cs="Times New Roman"/>
                <w:color w:val="000000"/>
                <w:sz w:val="24"/>
                <w:szCs w:val="24"/>
              </w:rPr>
              <w:t xml:space="preserve">Public Sector Reforms </w:t>
            </w:r>
          </w:p>
        </w:tc>
      </w:tr>
      <w:tr w:rsidR="000B2AE7" w:rsidRPr="00FF7661" w14:paraId="34536735" w14:textId="77777777" w:rsidTr="00627460">
        <w:tc>
          <w:tcPr>
            <w:tcW w:w="738" w:type="dxa"/>
            <w:vMerge/>
          </w:tcPr>
          <w:p w14:paraId="427A00B7"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5D7A3516"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Human Resource Development, Labor, and Employment</w:t>
            </w:r>
          </w:p>
        </w:tc>
      </w:tr>
      <w:tr w:rsidR="000B2AE7" w:rsidRPr="00FF7661" w14:paraId="523136EC" w14:textId="77777777" w:rsidTr="00627460">
        <w:tc>
          <w:tcPr>
            <w:tcW w:w="738" w:type="dxa"/>
            <w:vMerge/>
          </w:tcPr>
          <w:p w14:paraId="7EAB2A67"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07869C92"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25CAA60C" wp14:editId="6A50E390">
                      <wp:simplePos x="0" y="0"/>
                      <wp:positionH relativeFrom="column">
                        <wp:posOffset>3387598</wp:posOffset>
                      </wp:positionH>
                      <wp:positionV relativeFrom="paragraph">
                        <wp:posOffset>31496</wp:posOffset>
                      </wp:positionV>
                      <wp:extent cx="2094865" cy="668158"/>
                      <wp:effectExtent l="0" t="0" r="19685" b="177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668158"/>
                              </a:xfrm>
                              <a:prstGeom prst="rect">
                                <a:avLst/>
                              </a:prstGeom>
                              <a:solidFill>
                                <a:srgbClr val="FFFFFF"/>
                              </a:solidFill>
                              <a:ln w="9525">
                                <a:solidFill>
                                  <a:srgbClr val="000000"/>
                                </a:solidFill>
                                <a:miter lim="800000"/>
                                <a:headEnd/>
                                <a:tailEnd/>
                              </a:ln>
                            </wps:spPr>
                            <wps:txbx>
                              <w:txbxContent>
                                <w:p w14:paraId="698DCCB5" w14:textId="77777777" w:rsidR="00DA29A4" w:rsidRPr="00E165AF" w:rsidRDefault="00DA29A4" w:rsidP="000B2AE7">
                                  <w:pPr>
                                    <w:spacing w:after="0" w:line="0" w:lineRule="atLeast"/>
                                    <w:rPr>
                                      <w:rFonts w:ascii="Times New Roman" w:hAnsi="Times New Roman" w:cs="Times New Roman"/>
                                      <w:sz w:val="24"/>
                                    </w:rPr>
                                  </w:pPr>
                                  <w:r w:rsidRPr="00E165AF">
                                    <w:rPr>
                                      <w:rFonts w:ascii="Times New Roman" w:hAnsi="Times New Roman" w:cs="Times New Roman"/>
                                      <w:sz w:val="24"/>
                                    </w:rPr>
                                    <w:t xml:space="preserve">Human Resource </w:t>
                                  </w:r>
                                </w:p>
                                <w:p w14:paraId="7FF3197C" w14:textId="77777777" w:rsidR="00DA29A4" w:rsidRPr="00E165AF" w:rsidRDefault="00DA29A4" w:rsidP="000B2AE7">
                                  <w:pPr>
                                    <w:spacing w:after="0" w:line="0" w:lineRule="atLeast"/>
                                    <w:rPr>
                                      <w:rFonts w:ascii="Times New Roman" w:hAnsi="Times New Roman" w:cs="Times New Roman"/>
                                      <w:sz w:val="24"/>
                                    </w:rPr>
                                  </w:pPr>
                                  <w:r w:rsidRPr="00E165AF">
                                    <w:rPr>
                                      <w:rFonts w:ascii="Times New Roman" w:hAnsi="Times New Roman" w:cs="Times New Roman"/>
                                      <w:sz w:val="24"/>
                                    </w:rPr>
                                    <w:t>Development, Labor, and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6.75pt;margin-top:2.5pt;width:164.95pt;height:5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">
                      <v:textbox>
                        <w:txbxContent>
                          <w:p w14:paraId="698DCCB5" w14:textId="77777777" w:rsidR="00DA29A4" w:rsidRPr="00E165AF" w:rsidRDefault="00DA29A4" w:rsidP="000B2AE7">
                            <w:pPr>
                              <w:spacing w:after="0" w:line="0" w:lineRule="atLeast"/>
                              <w:rPr>
                                <w:rFonts w:ascii="Times New Roman" w:hAnsi="Times New Roman" w:cs="Times New Roman"/>
                                <w:sz w:val="24"/>
                              </w:rPr>
                            </w:pPr>
                            <w:r w:rsidRPr="00E165AF">
                              <w:rPr>
                                <w:rFonts w:ascii="Times New Roman" w:hAnsi="Times New Roman" w:cs="Times New Roman"/>
                                <w:sz w:val="24"/>
                              </w:rPr>
                              <w:t xml:space="preserve">Human Resource </w:t>
                            </w:r>
                          </w:p>
                          <w:p w14:paraId="7FF3197C" w14:textId="77777777" w:rsidR="00DA29A4" w:rsidRPr="00E165AF" w:rsidRDefault="00DA29A4" w:rsidP="000B2AE7">
                            <w:pPr>
                              <w:spacing w:after="0" w:line="0" w:lineRule="atLeast"/>
                              <w:rPr>
                                <w:rFonts w:ascii="Times New Roman" w:hAnsi="Times New Roman" w:cs="Times New Roman"/>
                                <w:sz w:val="24"/>
                              </w:rPr>
                            </w:pPr>
                            <w:r w:rsidRPr="00E165AF">
                              <w:rPr>
                                <w:rFonts w:ascii="Times New Roman" w:hAnsi="Times New Roman" w:cs="Times New Roman"/>
                                <w:sz w:val="24"/>
                              </w:rPr>
                              <w:t>Development, Labor, and Employment</w:t>
                            </w:r>
                          </w:p>
                        </w:txbxContent>
                      </v:textbox>
                    </v:shape>
                  </w:pict>
                </mc:Fallback>
              </mc:AlternateContent>
            </w:r>
            <w:r w:rsidRPr="00FF7661">
              <w:rPr>
                <w:rFonts w:ascii="Times New Roman" w:eastAsia="Times New Roman" w:hAnsi="Times New Roman" w:cs="Times New Roman"/>
                <w:color w:val="000000"/>
                <w:sz w:val="24"/>
                <w:szCs w:val="24"/>
              </w:rPr>
              <w:t>Security, Peace Building and Conflict Resolution</w:t>
            </w:r>
          </w:p>
        </w:tc>
      </w:tr>
      <w:tr w:rsidR="000B2AE7" w:rsidRPr="00FF7661" w14:paraId="222E843A" w14:textId="77777777" w:rsidTr="00627460">
        <w:tc>
          <w:tcPr>
            <w:tcW w:w="738" w:type="dxa"/>
            <w:vMerge/>
          </w:tcPr>
          <w:p w14:paraId="4514EA2E"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4E68B682"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National values and Ethics</w:t>
            </w:r>
          </w:p>
        </w:tc>
      </w:tr>
      <w:tr w:rsidR="000B2AE7" w:rsidRPr="00FF7661" w14:paraId="61418184" w14:textId="77777777" w:rsidTr="00627460">
        <w:tc>
          <w:tcPr>
            <w:tcW w:w="738" w:type="dxa"/>
            <w:vMerge/>
          </w:tcPr>
          <w:p w14:paraId="6D93673B"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40" w:type="dxa"/>
          </w:tcPr>
          <w:p w14:paraId="4AEC2B2F"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3C36F6E9" wp14:editId="23AB1C31">
                      <wp:simplePos x="0" y="0"/>
                      <wp:positionH relativeFrom="column">
                        <wp:posOffset>3387598</wp:posOffset>
                      </wp:positionH>
                      <wp:positionV relativeFrom="paragraph">
                        <wp:posOffset>163576</wp:posOffset>
                      </wp:positionV>
                      <wp:extent cx="2094865" cy="501015"/>
                      <wp:effectExtent l="0" t="0" r="19685"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501015"/>
                              </a:xfrm>
                              <a:prstGeom prst="rect">
                                <a:avLst/>
                              </a:prstGeom>
                              <a:solidFill>
                                <a:srgbClr val="FFFFFF"/>
                              </a:solidFill>
                              <a:ln w="9525">
                                <a:solidFill>
                                  <a:srgbClr val="000000"/>
                                </a:solidFill>
                                <a:miter lim="800000"/>
                                <a:headEnd/>
                                <a:tailEnd/>
                              </a:ln>
                            </wps:spPr>
                            <wps:txbx>
                              <w:txbxContent>
                                <w:p w14:paraId="3D573BAF"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Disaster Risk Reduction and Ending Drought Emergencies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6.75pt;margin-top:12.9pt;width:164.95pt;height:3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FiJwIAAE0EAAAOAAAAZHJzL2Uyb0RvYy54bWysVNtu2zAMfR+wfxD0vtgx4q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">
                      <v:textbox>
                        <w:txbxContent>
                          <w:p w14:paraId="3D573BAF"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Disaster Risk Reduction and Ending Drought Emergencies</w:t>
                            </w:r>
                          </w:p>
                        </w:txbxContent>
                      </v:textbox>
                    </v:shape>
                  </w:pict>
                </mc:Fallback>
              </mc:AlternateContent>
            </w:r>
            <w:r w:rsidRPr="00FF7661">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76654B94" wp14:editId="27116D6B">
                      <wp:simplePos x="0" y="0"/>
                      <wp:positionH relativeFrom="column">
                        <wp:posOffset>2660650</wp:posOffset>
                      </wp:positionH>
                      <wp:positionV relativeFrom="paragraph">
                        <wp:posOffset>266700</wp:posOffset>
                      </wp:positionV>
                      <wp:extent cx="589915" cy="1311275"/>
                      <wp:effectExtent l="0" t="0" r="635" b="3175"/>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311275"/>
                              </a:xfrm>
                              <a:prstGeom prst="rect">
                                <a:avLst/>
                              </a:prstGeom>
                              <a:solidFill>
                                <a:srgbClr val="FFFFFF"/>
                              </a:solidFill>
                              <a:ln w="9525">
                                <a:noFill/>
                                <a:miter lim="800000"/>
                                <a:headEnd/>
                                <a:tailEnd/>
                              </a:ln>
                            </wps:spPr>
                            <wps:txbx>
                              <w:txbxContent>
                                <w:p w14:paraId="57B1AAC2"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Protection </w:t>
                                  </w:r>
                                </w:p>
                                <w:p w14:paraId="55F0CA43"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and Potential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09.5pt;margin-top:21pt;width:46.45pt;height:10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" stroked="f">
                      <v:textbox style="layout-flow:vertical;mso-layout-flow-alt:bottom-to-top">
                        <w:txbxContent>
                          <w:p w14:paraId="57B1AAC2"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Protection </w:t>
                            </w:r>
                          </w:p>
                          <w:p w14:paraId="55F0CA43" w14:textId="77777777" w:rsidR="00DA29A4" w:rsidRPr="00E165AF" w:rsidRDefault="00DA29A4" w:rsidP="000B2AE7">
                            <w:pPr>
                              <w:spacing w:after="0" w:line="0" w:lineRule="atLeast"/>
                              <w:jc w:val="center"/>
                              <w:rPr>
                                <w:rFonts w:ascii="Times New Roman" w:hAnsi="Times New Roman" w:cs="Times New Roman"/>
                                <w:b/>
                                <w:sz w:val="24"/>
                              </w:rPr>
                            </w:pPr>
                            <w:proofErr w:type="gramStart"/>
                            <w:r w:rsidRPr="00E165AF">
                              <w:rPr>
                                <w:rFonts w:ascii="Times New Roman" w:hAnsi="Times New Roman" w:cs="Times New Roman"/>
                                <w:b/>
                                <w:sz w:val="24"/>
                              </w:rPr>
                              <w:t>and</w:t>
                            </w:r>
                            <w:proofErr w:type="gramEnd"/>
                            <w:r w:rsidRPr="00E165AF">
                              <w:rPr>
                                <w:rFonts w:ascii="Times New Roman" w:hAnsi="Times New Roman" w:cs="Times New Roman"/>
                                <w:b/>
                                <w:sz w:val="24"/>
                              </w:rPr>
                              <w:t xml:space="preserve"> Potential</w:t>
                            </w:r>
                          </w:p>
                        </w:txbxContent>
                      </v:textbox>
                    </v:shape>
                  </w:pict>
                </mc:Fallback>
              </mc:AlternateContent>
            </w:r>
            <w:r w:rsidRPr="00FF7661">
              <w:rPr>
                <w:rFonts w:ascii="Times New Roman" w:eastAsia="Times New Roman" w:hAnsi="Times New Roman" w:cs="Times New Roman"/>
                <w:color w:val="000000"/>
                <w:sz w:val="24"/>
                <w:szCs w:val="24"/>
              </w:rPr>
              <w:t>Disaster Risk Reduction and Ending Drought Emergencies</w:t>
            </w:r>
          </w:p>
        </w:tc>
      </w:tr>
    </w:tbl>
    <w:p w14:paraId="29127DD2" w14:textId="77777777" w:rsidR="000B2AE7" w:rsidRPr="00FF7661" w:rsidRDefault="000B2AE7" w:rsidP="0062746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38"/>
        <w:gridCol w:w="3275"/>
      </w:tblGrid>
      <w:tr w:rsidR="000B2AE7" w:rsidRPr="00FF7661" w14:paraId="0A268FA3" w14:textId="77777777" w:rsidTr="00627460">
        <w:tc>
          <w:tcPr>
            <w:tcW w:w="738" w:type="dxa"/>
            <w:vMerge w:val="restart"/>
            <w:textDirection w:val="btLr"/>
          </w:tcPr>
          <w:p w14:paraId="4571A519" w14:textId="77777777" w:rsidR="000B2AE7" w:rsidRPr="00FF7661" w:rsidRDefault="000B2AE7" w:rsidP="00627460">
            <w:pPr>
              <w:ind w:firstLine="0"/>
              <w:jc w:val="center"/>
              <w:rPr>
                <w:rFonts w:ascii="Times New Roman" w:eastAsia="Times New Roman" w:hAnsi="Times New Roman" w:cs="Times New Roman"/>
                <w:b/>
                <w:color w:val="000000"/>
                <w:sz w:val="24"/>
                <w:szCs w:val="24"/>
              </w:rPr>
            </w:pPr>
            <w:r w:rsidRPr="00FF7661">
              <w:rPr>
                <w:rFonts w:ascii="Times New Roman" w:eastAsia="Times New Roman" w:hAnsi="Times New Roman" w:cs="Times New Roman"/>
                <w:b/>
                <w:color w:val="000000"/>
                <w:sz w:val="24"/>
                <w:szCs w:val="24"/>
              </w:rPr>
              <w:t>Social</w:t>
            </w:r>
          </w:p>
          <w:p w14:paraId="33D798AF" w14:textId="77777777" w:rsidR="000B2AE7" w:rsidRPr="00FF7661" w:rsidRDefault="000B2AE7" w:rsidP="00627460">
            <w:pPr>
              <w:ind w:firstLine="0"/>
              <w:rPr>
                <w:rFonts w:ascii="Times New Roman" w:eastAsia="Times New Roman" w:hAnsi="Times New Roman" w:cs="Times New Roman"/>
                <w:b/>
                <w:color w:val="000000"/>
                <w:sz w:val="24"/>
                <w:szCs w:val="24"/>
              </w:rPr>
            </w:pPr>
          </w:p>
        </w:tc>
        <w:tc>
          <w:tcPr>
            <w:tcW w:w="3275" w:type="dxa"/>
          </w:tcPr>
          <w:p w14:paraId="71093AED"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629F7710" wp14:editId="1AA78ECF">
                      <wp:simplePos x="0" y="0"/>
                      <wp:positionH relativeFrom="column">
                        <wp:posOffset>3420618</wp:posOffset>
                      </wp:positionH>
                      <wp:positionV relativeFrom="paragraph">
                        <wp:posOffset>124968</wp:posOffset>
                      </wp:positionV>
                      <wp:extent cx="2094865" cy="247135"/>
                      <wp:effectExtent l="0" t="0" r="19685" b="196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47135"/>
                              </a:xfrm>
                              <a:prstGeom prst="rect">
                                <a:avLst/>
                              </a:prstGeom>
                              <a:solidFill>
                                <a:srgbClr val="FFFFFF"/>
                              </a:solidFill>
                              <a:ln w="9525">
                                <a:solidFill>
                                  <a:srgbClr val="000000"/>
                                </a:solidFill>
                                <a:miter lim="800000"/>
                                <a:headEnd/>
                                <a:tailEnd/>
                              </a:ln>
                            </wps:spPr>
                            <wps:txbx>
                              <w:txbxContent>
                                <w:p w14:paraId="508680B0"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69.35pt;margin-top:9.85pt;width:164.95pt;height:1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eJw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">
                      <v:textbox>
                        <w:txbxContent>
                          <w:p w14:paraId="508680B0"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Health</w:t>
                            </w:r>
                          </w:p>
                        </w:txbxContent>
                      </v:textbox>
                    </v:shape>
                  </w:pict>
                </mc:Fallback>
              </mc:AlternateContent>
            </w:r>
            <w:r w:rsidRPr="00FF7661">
              <w:rPr>
                <w:rFonts w:ascii="Times New Roman" w:eastAsia="Times New Roman" w:hAnsi="Times New Roman" w:cs="Times New Roman"/>
                <w:color w:val="000000"/>
                <w:sz w:val="24"/>
                <w:szCs w:val="24"/>
              </w:rPr>
              <w:t>Education and Training</w:t>
            </w:r>
          </w:p>
        </w:tc>
      </w:tr>
      <w:tr w:rsidR="000B2AE7" w:rsidRPr="00FF7661" w14:paraId="62D644D6" w14:textId="77777777" w:rsidTr="00627460">
        <w:tc>
          <w:tcPr>
            <w:tcW w:w="738" w:type="dxa"/>
            <w:vMerge/>
          </w:tcPr>
          <w:p w14:paraId="0461054F"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191557CE"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Health</w:t>
            </w:r>
          </w:p>
        </w:tc>
      </w:tr>
      <w:tr w:rsidR="000B2AE7" w:rsidRPr="00FF7661" w14:paraId="3C4CFDD5" w14:textId="77777777" w:rsidTr="00627460">
        <w:tc>
          <w:tcPr>
            <w:tcW w:w="738" w:type="dxa"/>
            <w:vMerge/>
          </w:tcPr>
          <w:p w14:paraId="511BBF20"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3080125B"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91E678E" wp14:editId="0E776996">
                      <wp:simplePos x="0" y="0"/>
                      <wp:positionH relativeFrom="column">
                        <wp:posOffset>3420110</wp:posOffset>
                      </wp:positionH>
                      <wp:positionV relativeFrom="paragraph">
                        <wp:posOffset>-6477</wp:posOffset>
                      </wp:positionV>
                      <wp:extent cx="2094865" cy="438912"/>
                      <wp:effectExtent l="0" t="0" r="19685" b="184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38912"/>
                              </a:xfrm>
                              <a:prstGeom prst="rect">
                                <a:avLst/>
                              </a:prstGeom>
                              <a:solidFill>
                                <a:srgbClr val="FFFFFF"/>
                              </a:solidFill>
                              <a:ln w="9525">
                                <a:solidFill>
                                  <a:srgbClr val="000000"/>
                                </a:solidFill>
                                <a:miter lim="800000"/>
                                <a:headEnd/>
                                <a:tailEnd/>
                              </a:ln>
                            </wps:spPr>
                            <wps:txbx>
                              <w:txbxContent>
                                <w:p w14:paraId="52EF0276"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Environment, Water and Sanitation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69.3pt;margin-top:-.5pt;width:164.95pt;height:34.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">
                      <v:textbox>
                        <w:txbxContent>
                          <w:p w14:paraId="52EF0276"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Environment, Water and Sanitation</w:t>
                            </w:r>
                          </w:p>
                        </w:txbxContent>
                      </v:textbox>
                    </v:shape>
                  </w:pict>
                </mc:Fallback>
              </mc:AlternateContent>
            </w:r>
            <w:r w:rsidRPr="00FF7661">
              <w:rPr>
                <w:rFonts w:ascii="Times New Roman" w:eastAsia="Times New Roman" w:hAnsi="Times New Roman" w:cs="Times New Roman"/>
                <w:color w:val="000000"/>
                <w:sz w:val="24"/>
                <w:szCs w:val="24"/>
              </w:rPr>
              <w:t>Environment, Water and Sanitation</w:t>
            </w:r>
          </w:p>
        </w:tc>
      </w:tr>
      <w:tr w:rsidR="000B2AE7" w:rsidRPr="00FF7661" w14:paraId="1992258F" w14:textId="77777777" w:rsidTr="00627460">
        <w:tc>
          <w:tcPr>
            <w:tcW w:w="738" w:type="dxa"/>
            <w:vMerge/>
          </w:tcPr>
          <w:p w14:paraId="70B2A6DF"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10B8B8B1" w14:textId="77777777" w:rsidR="000B2AE7" w:rsidRPr="00FF7661" w:rsidRDefault="00B56C1B"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161A5F69" wp14:editId="0CCAF04D">
                      <wp:simplePos x="0" y="0"/>
                      <wp:positionH relativeFrom="column">
                        <wp:posOffset>3420110</wp:posOffset>
                      </wp:positionH>
                      <wp:positionV relativeFrom="paragraph">
                        <wp:posOffset>62738</wp:posOffset>
                      </wp:positionV>
                      <wp:extent cx="2094865" cy="462915"/>
                      <wp:effectExtent l="0" t="0" r="19685" b="133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2915"/>
                              </a:xfrm>
                              <a:prstGeom prst="rect">
                                <a:avLst/>
                              </a:prstGeom>
                              <a:solidFill>
                                <a:srgbClr val="FFFFFF"/>
                              </a:solidFill>
                              <a:ln w="9525">
                                <a:solidFill>
                                  <a:srgbClr val="000000"/>
                                </a:solidFill>
                                <a:miter lim="800000"/>
                                <a:headEnd/>
                                <a:tailEnd/>
                              </a:ln>
                            </wps:spPr>
                            <wps:txbx>
                              <w:txbxContent>
                                <w:p w14:paraId="0F46D7C6"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Population, Urbanization, and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9.3pt;margin-top:4.95pt;width:164.95pt;height:36.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s3Jw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">
                      <v:textbox>
                        <w:txbxContent>
                          <w:p w14:paraId="0F46D7C6"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Population, Urbanization, and Housing</w:t>
                            </w:r>
                          </w:p>
                        </w:txbxContent>
                      </v:textbox>
                    </v:shape>
                  </w:pict>
                </mc:Fallback>
              </mc:AlternateContent>
            </w:r>
            <w:r w:rsidR="000B2AE7" w:rsidRPr="00FF7661">
              <w:rPr>
                <w:rFonts w:ascii="Times New Roman" w:eastAsia="Times New Roman" w:hAnsi="Times New Roman" w:cs="Times New Roman"/>
                <w:color w:val="000000"/>
                <w:sz w:val="24"/>
                <w:szCs w:val="24"/>
              </w:rPr>
              <w:t xml:space="preserve">Population, Urbanization and Housing </w:t>
            </w:r>
          </w:p>
        </w:tc>
      </w:tr>
      <w:tr w:rsidR="000B2AE7" w:rsidRPr="00FF7661" w14:paraId="55A2C204" w14:textId="77777777" w:rsidTr="00627460">
        <w:tc>
          <w:tcPr>
            <w:tcW w:w="738" w:type="dxa"/>
            <w:vMerge/>
          </w:tcPr>
          <w:p w14:paraId="16B7AED3"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1FBAA042" w14:textId="77777777" w:rsidR="000B2AE7" w:rsidRPr="00FF7661" w:rsidRDefault="00B56C1B"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60717371" wp14:editId="7B669C1A">
                      <wp:simplePos x="0" y="0"/>
                      <wp:positionH relativeFrom="column">
                        <wp:posOffset>3420110</wp:posOffset>
                      </wp:positionH>
                      <wp:positionV relativeFrom="paragraph">
                        <wp:posOffset>156083</wp:posOffset>
                      </wp:positionV>
                      <wp:extent cx="2094865" cy="438150"/>
                      <wp:effectExtent l="0" t="0" r="19685"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38150"/>
                              </a:xfrm>
                              <a:prstGeom prst="rect">
                                <a:avLst/>
                              </a:prstGeom>
                              <a:solidFill>
                                <a:srgbClr val="FFFFFF"/>
                              </a:solidFill>
                              <a:ln w="9525">
                                <a:solidFill>
                                  <a:srgbClr val="000000"/>
                                </a:solidFill>
                                <a:miter lim="800000"/>
                                <a:headEnd/>
                                <a:tailEnd/>
                              </a:ln>
                            </wps:spPr>
                            <wps:txbx>
                              <w:txbxContent>
                                <w:p w14:paraId="76008FF4"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Gender, youth and vulnerable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69.3pt;margin-top:12.3pt;width:164.95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">
                      <v:textbox>
                        <w:txbxContent>
                          <w:p w14:paraId="76008FF4" w14:textId="77777777" w:rsidR="00DA29A4" w:rsidRPr="00E165AF" w:rsidRDefault="00DA29A4" w:rsidP="000B2AE7">
                            <w:pPr>
                              <w:rPr>
                                <w:rFonts w:ascii="Times New Roman" w:hAnsi="Times New Roman" w:cs="Times New Roman"/>
                                <w:sz w:val="24"/>
                              </w:rPr>
                            </w:pPr>
                            <w:r w:rsidRPr="00E165AF">
                              <w:rPr>
                                <w:rFonts w:ascii="Times New Roman" w:hAnsi="Times New Roman" w:cs="Times New Roman"/>
                                <w:sz w:val="24"/>
                              </w:rPr>
                              <w:t>Gender, youth and vulnerable groups</w:t>
                            </w:r>
                          </w:p>
                        </w:txbxContent>
                      </v:textbox>
                    </v:shape>
                  </w:pict>
                </mc:Fallback>
              </mc:AlternateContent>
            </w:r>
            <w:r w:rsidR="000B2AE7" w:rsidRPr="00FF7661">
              <w:rPr>
                <w:rFonts w:ascii="Times New Roman" w:eastAsia="Times New Roman" w:hAnsi="Times New Roman" w:cs="Times New Roman"/>
                <w:color w:val="000000"/>
                <w:sz w:val="24"/>
                <w:szCs w:val="24"/>
              </w:rPr>
              <w:t>Gender, Youth, and Vulnerable Groups</w:t>
            </w:r>
          </w:p>
        </w:tc>
      </w:tr>
    </w:tbl>
    <w:p w14:paraId="5FF9FC93" w14:textId="77777777" w:rsidR="000B2AE7" w:rsidRPr="00FF7661" w:rsidRDefault="000B2AE7" w:rsidP="00627460">
      <w:pPr>
        <w:spacing w:after="0" w:line="240" w:lineRule="auto"/>
        <w:rPr>
          <w:rFonts w:ascii="Times New Roman" w:hAnsi="Times New Roman" w:cs="Times New Roman"/>
          <w:sz w:val="24"/>
          <w:szCs w:val="24"/>
        </w:rPr>
      </w:pPr>
      <w:r w:rsidRPr="00FF7661">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99552" behindDoc="0" locked="0" layoutInCell="1" allowOverlap="1" wp14:anchorId="2A7F7A6C" wp14:editId="77884724">
                <wp:simplePos x="0" y="0"/>
                <wp:positionH relativeFrom="column">
                  <wp:posOffset>3101546</wp:posOffset>
                </wp:positionH>
                <wp:positionV relativeFrom="paragraph">
                  <wp:posOffset>162887</wp:posOffset>
                </wp:positionV>
                <wp:extent cx="733425" cy="951470"/>
                <wp:effectExtent l="0" t="0" r="9525"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951470"/>
                        </a:xfrm>
                        <a:prstGeom prst="rect">
                          <a:avLst/>
                        </a:prstGeom>
                        <a:solidFill>
                          <a:srgbClr val="FFFFFF"/>
                        </a:solidFill>
                        <a:ln w="9525">
                          <a:noFill/>
                          <a:miter lim="800000"/>
                          <a:headEnd/>
                          <a:tailEnd/>
                        </a:ln>
                      </wps:spPr>
                      <wps:txbx>
                        <w:txbxContent>
                          <w:p w14:paraId="16BA5C6E"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Building Consistency</w:t>
                            </w:r>
                          </w:p>
                          <w:p w14:paraId="06789346"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and Equity</w:t>
                            </w:r>
                          </w:p>
                          <w:p w14:paraId="5AB69774" w14:textId="77777777" w:rsidR="00DA29A4" w:rsidRPr="00E165AF" w:rsidRDefault="00DA29A4" w:rsidP="000B2AE7">
                            <w:pPr>
                              <w:spacing w:after="0" w:line="0" w:lineRule="atLeast"/>
                              <w:jc w:val="center"/>
                              <w:rPr>
                                <w:rFonts w:ascii="Times New Roman" w:hAnsi="Times New Roman" w:cs="Times New Roman"/>
                                <w:b/>
                                <w:sz w:val="24"/>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 o:spid="_x0000_s1052" type="#_x0000_t202" style="position:absolute;margin-left:244.2pt;margin-top:12.85pt;width:57.75pt;height:7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" stroked="f">
                <v:textbox style="layout-flow:vertical;mso-layout-flow-alt:bottom-to-top">
                  <w:txbxContent>
                    <w:p w14:paraId="16BA5C6E"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Building Consistency</w:t>
                      </w:r>
                    </w:p>
                    <w:p w14:paraId="06789346" w14:textId="77777777" w:rsidR="00DA29A4" w:rsidRPr="00E165AF" w:rsidRDefault="00DA29A4" w:rsidP="000B2AE7">
                      <w:pPr>
                        <w:spacing w:after="0" w:line="0" w:lineRule="atLeast"/>
                        <w:jc w:val="center"/>
                        <w:rPr>
                          <w:rFonts w:ascii="Times New Roman" w:hAnsi="Times New Roman" w:cs="Times New Roman"/>
                          <w:b/>
                          <w:sz w:val="24"/>
                        </w:rPr>
                      </w:pPr>
                      <w:proofErr w:type="gramStart"/>
                      <w:r w:rsidRPr="00E165AF">
                        <w:rPr>
                          <w:rFonts w:ascii="Times New Roman" w:hAnsi="Times New Roman" w:cs="Times New Roman"/>
                          <w:b/>
                          <w:sz w:val="24"/>
                        </w:rPr>
                        <w:t>and</w:t>
                      </w:r>
                      <w:proofErr w:type="gramEnd"/>
                      <w:r w:rsidRPr="00E165AF">
                        <w:rPr>
                          <w:rFonts w:ascii="Times New Roman" w:hAnsi="Times New Roman" w:cs="Times New Roman"/>
                          <w:b/>
                          <w:sz w:val="24"/>
                        </w:rPr>
                        <w:t xml:space="preserve"> Equity</w:t>
                      </w:r>
                    </w:p>
                    <w:p w14:paraId="5AB69774" w14:textId="77777777" w:rsidR="00DA29A4" w:rsidRPr="00E165AF" w:rsidRDefault="00DA29A4" w:rsidP="000B2AE7">
                      <w:pPr>
                        <w:spacing w:after="0" w:line="0" w:lineRule="atLeast"/>
                        <w:jc w:val="center"/>
                        <w:rPr>
                          <w:rFonts w:ascii="Times New Roman" w:hAnsi="Times New Roman" w:cs="Times New Roman"/>
                          <w:b/>
                          <w:sz w:val="24"/>
                        </w:rPr>
                      </w:pPr>
                    </w:p>
                  </w:txbxContent>
                </v:textbox>
              </v:shape>
            </w:pict>
          </mc:Fallback>
        </mc:AlternateContent>
      </w:r>
    </w:p>
    <w:tbl>
      <w:tblPr>
        <w:tblStyle w:val="TableGrid"/>
        <w:tblW w:w="0" w:type="auto"/>
        <w:tblLook w:val="04A0" w:firstRow="1" w:lastRow="0" w:firstColumn="1" w:lastColumn="0" w:noHBand="0" w:noVBand="1"/>
      </w:tblPr>
      <w:tblGrid>
        <w:gridCol w:w="738"/>
        <w:gridCol w:w="3275"/>
      </w:tblGrid>
      <w:tr w:rsidR="000B2AE7" w:rsidRPr="00FF7661" w14:paraId="28E3D535" w14:textId="77777777" w:rsidTr="00627460">
        <w:tc>
          <w:tcPr>
            <w:tcW w:w="738" w:type="dxa"/>
            <w:vMerge w:val="restart"/>
            <w:textDirection w:val="btLr"/>
          </w:tcPr>
          <w:p w14:paraId="145B8D8A" w14:textId="77777777" w:rsidR="000B2AE7" w:rsidRPr="00FF7661" w:rsidRDefault="000B2AE7" w:rsidP="00627460">
            <w:pPr>
              <w:ind w:firstLine="0"/>
              <w:jc w:val="center"/>
              <w:rPr>
                <w:rFonts w:ascii="Times New Roman" w:eastAsia="Times New Roman" w:hAnsi="Times New Roman" w:cs="Times New Roman"/>
                <w:b/>
                <w:color w:val="000000"/>
                <w:sz w:val="24"/>
                <w:szCs w:val="24"/>
              </w:rPr>
            </w:pPr>
            <w:r w:rsidRPr="00FF7661">
              <w:rPr>
                <w:rFonts w:ascii="Times New Roman" w:eastAsia="Times New Roman" w:hAnsi="Times New Roman" w:cs="Times New Roman"/>
                <w:b/>
                <w:color w:val="000000"/>
                <w:sz w:val="24"/>
                <w:szCs w:val="24"/>
              </w:rPr>
              <w:t>Economic</w:t>
            </w:r>
          </w:p>
          <w:p w14:paraId="17519D75" w14:textId="77777777" w:rsidR="000B2AE7" w:rsidRPr="00FF7661" w:rsidRDefault="000B2AE7" w:rsidP="00627460">
            <w:pPr>
              <w:ind w:firstLine="0"/>
              <w:jc w:val="center"/>
              <w:rPr>
                <w:rFonts w:ascii="Times New Roman" w:eastAsia="Times New Roman" w:hAnsi="Times New Roman" w:cs="Times New Roman"/>
                <w:b/>
                <w:color w:val="000000"/>
                <w:sz w:val="24"/>
                <w:szCs w:val="24"/>
              </w:rPr>
            </w:pPr>
          </w:p>
        </w:tc>
        <w:tc>
          <w:tcPr>
            <w:tcW w:w="3275" w:type="dxa"/>
          </w:tcPr>
          <w:p w14:paraId="31125F6E"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Tourism</w:t>
            </w:r>
          </w:p>
        </w:tc>
      </w:tr>
      <w:tr w:rsidR="000B2AE7" w:rsidRPr="00FF7661" w14:paraId="52A895DF" w14:textId="77777777" w:rsidTr="00627460">
        <w:tc>
          <w:tcPr>
            <w:tcW w:w="738" w:type="dxa"/>
            <w:vMerge/>
          </w:tcPr>
          <w:p w14:paraId="4777085A"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3C884414"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421E1BFA" wp14:editId="18240EE1">
                      <wp:simplePos x="0" y="0"/>
                      <wp:positionH relativeFrom="column">
                        <wp:posOffset>3408426</wp:posOffset>
                      </wp:positionH>
                      <wp:positionV relativeFrom="paragraph">
                        <wp:posOffset>169545</wp:posOffset>
                      </wp:positionV>
                      <wp:extent cx="2107057" cy="247650"/>
                      <wp:effectExtent l="0" t="0" r="26670"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057" cy="247650"/>
                              </a:xfrm>
                              <a:prstGeom prst="rect">
                                <a:avLst/>
                              </a:prstGeom>
                              <a:solidFill>
                                <a:srgbClr val="FFFFFF"/>
                              </a:solidFill>
                              <a:ln w="9525">
                                <a:solidFill>
                                  <a:srgbClr val="000000"/>
                                </a:solidFill>
                                <a:miter lim="800000"/>
                                <a:headEnd/>
                                <a:tailEnd/>
                              </a:ln>
                            </wps:spPr>
                            <wps:txbx>
                              <w:txbxContent>
                                <w:p w14:paraId="25C99EB0" w14:textId="77777777" w:rsidR="00DA29A4" w:rsidRPr="00D46F6E" w:rsidRDefault="00DA29A4" w:rsidP="000B2AE7">
                                  <w:pPr>
                                    <w:rPr>
                                      <w:rFonts w:ascii="Times New Roman" w:hAnsi="Times New Roman" w:cs="Times New Roman"/>
                                      <w:sz w:val="24"/>
                                    </w:rPr>
                                  </w:pPr>
                                  <w:r w:rsidRPr="00D46F6E">
                                    <w:rPr>
                                      <w:rFonts w:ascii="Times New Roman" w:hAnsi="Times New Roman" w:cs="Times New Roman"/>
                                      <w:sz w:val="24"/>
                                    </w:rPr>
                                    <w:t>Devolution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8.4pt;margin-top:13.35pt;width:165.9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UYKAIAAE0EAAAOAAAAZHJzL2Uyb0RvYy54bWysVNuO2yAQfa/Uf0C8N74oTn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">
                      <v:textbox>
                        <w:txbxContent>
                          <w:p w14:paraId="25C99EB0" w14:textId="77777777" w:rsidR="00DA29A4" w:rsidRPr="00D46F6E" w:rsidRDefault="00DA29A4" w:rsidP="000B2AE7">
                            <w:pPr>
                              <w:rPr>
                                <w:rFonts w:ascii="Times New Roman" w:hAnsi="Times New Roman" w:cs="Times New Roman"/>
                                <w:sz w:val="24"/>
                              </w:rPr>
                            </w:pPr>
                            <w:r w:rsidRPr="00D46F6E">
                              <w:rPr>
                                <w:rFonts w:ascii="Times New Roman" w:hAnsi="Times New Roman" w:cs="Times New Roman"/>
                                <w:sz w:val="24"/>
                              </w:rPr>
                              <w:t>Devolution</w:t>
                            </w:r>
                          </w:p>
                        </w:txbxContent>
                      </v:textbox>
                    </v:shape>
                  </w:pict>
                </mc:Fallback>
              </mc:AlternateContent>
            </w:r>
            <w:r w:rsidRPr="00FF7661">
              <w:rPr>
                <w:rFonts w:ascii="Times New Roman" w:eastAsia="Times New Roman" w:hAnsi="Times New Roman" w:cs="Times New Roman"/>
                <w:color w:val="000000"/>
                <w:sz w:val="24"/>
                <w:szCs w:val="24"/>
              </w:rPr>
              <w:t>Agriculture and Rural Development</w:t>
            </w:r>
          </w:p>
        </w:tc>
      </w:tr>
      <w:tr w:rsidR="000B2AE7" w:rsidRPr="00FF7661" w14:paraId="34D6BCDA" w14:textId="77777777" w:rsidTr="00627460">
        <w:tc>
          <w:tcPr>
            <w:tcW w:w="738" w:type="dxa"/>
            <w:vMerge/>
          </w:tcPr>
          <w:p w14:paraId="288A675A"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60ABAB47"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Trade</w:t>
            </w:r>
          </w:p>
        </w:tc>
      </w:tr>
      <w:tr w:rsidR="000B2AE7" w:rsidRPr="00FF7661" w14:paraId="447191F4" w14:textId="77777777" w:rsidTr="00627460">
        <w:tc>
          <w:tcPr>
            <w:tcW w:w="738" w:type="dxa"/>
            <w:vMerge/>
          </w:tcPr>
          <w:p w14:paraId="2D17CCEA"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051CFF0F"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3A5B8509" wp14:editId="640B860E">
                      <wp:simplePos x="0" y="0"/>
                      <wp:positionH relativeFrom="column">
                        <wp:posOffset>2632710</wp:posOffset>
                      </wp:positionH>
                      <wp:positionV relativeFrom="paragraph">
                        <wp:posOffset>136868</wp:posOffset>
                      </wp:positionV>
                      <wp:extent cx="714375" cy="1007110"/>
                      <wp:effectExtent l="0" t="0" r="9525" b="254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007110"/>
                              </a:xfrm>
                              <a:prstGeom prst="rect">
                                <a:avLst/>
                              </a:prstGeom>
                              <a:solidFill>
                                <a:srgbClr val="FFFFFF"/>
                              </a:solidFill>
                              <a:ln w="9525">
                                <a:noFill/>
                                <a:miter lim="800000"/>
                                <a:headEnd/>
                                <a:tailEnd/>
                              </a:ln>
                            </wps:spPr>
                            <wps:txbx>
                              <w:txbxContent>
                                <w:p w14:paraId="2FBF9EE4"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Garnering </w:t>
                                  </w:r>
                                </w:p>
                                <w:p w14:paraId="653F6558"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Good </w:t>
                                  </w:r>
                                </w:p>
                                <w:p w14:paraId="4C1FDCFA"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Governance</w:t>
                                  </w:r>
                                </w:p>
                                <w:p w14:paraId="7D6D2DE5" w14:textId="77777777" w:rsidR="00DA29A4" w:rsidRPr="00E165AF" w:rsidRDefault="00DA29A4" w:rsidP="000B2AE7">
                                  <w:pPr>
                                    <w:spacing w:after="0" w:line="0" w:lineRule="atLeast"/>
                                    <w:jc w:val="center"/>
                                    <w:rPr>
                                      <w:rFonts w:ascii="Times New Roman" w:hAnsi="Times New Roman" w:cs="Times New Roman"/>
                                      <w:sz w:val="24"/>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07.3pt;margin-top:10.8pt;width:56.25pt;height:7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" stroked="f">
                      <v:textbox style="layout-flow:vertical;mso-layout-flow-alt:bottom-to-top">
                        <w:txbxContent>
                          <w:p w14:paraId="2FBF9EE4"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Garnering </w:t>
                            </w:r>
                          </w:p>
                          <w:p w14:paraId="653F6558"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 xml:space="preserve">Good </w:t>
                            </w:r>
                          </w:p>
                          <w:p w14:paraId="4C1FDCFA" w14:textId="77777777" w:rsidR="00DA29A4" w:rsidRPr="00E165AF" w:rsidRDefault="00DA29A4" w:rsidP="000B2AE7">
                            <w:pPr>
                              <w:spacing w:after="0" w:line="0" w:lineRule="atLeast"/>
                              <w:jc w:val="center"/>
                              <w:rPr>
                                <w:rFonts w:ascii="Times New Roman" w:hAnsi="Times New Roman" w:cs="Times New Roman"/>
                                <w:b/>
                                <w:sz w:val="24"/>
                              </w:rPr>
                            </w:pPr>
                            <w:r w:rsidRPr="00E165AF">
                              <w:rPr>
                                <w:rFonts w:ascii="Times New Roman" w:hAnsi="Times New Roman" w:cs="Times New Roman"/>
                                <w:b/>
                                <w:sz w:val="24"/>
                              </w:rPr>
                              <w:t>Governance</w:t>
                            </w:r>
                          </w:p>
                          <w:p w14:paraId="7D6D2DE5" w14:textId="77777777" w:rsidR="00DA29A4" w:rsidRPr="00E165AF" w:rsidRDefault="00DA29A4" w:rsidP="000B2AE7">
                            <w:pPr>
                              <w:spacing w:after="0" w:line="0" w:lineRule="atLeast"/>
                              <w:jc w:val="center"/>
                              <w:rPr>
                                <w:rFonts w:ascii="Times New Roman" w:hAnsi="Times New Roman" w:cs="Times New Roman"/>
                                <w:sz w:val="24"/>
                              </w:rPr>
                            </w:pPr>
                          </w:p>
                        </w:txbxContent>
                      </v:textbox>
                    </v:shape>
                  </w:pict>
                </mc:Fallback>
              </mc:AlternateContent>
            </w:r>
            <w:r w:rsidRPr="00FF7661">
              <w:rPr>
                <w:rFonts w:ascii="Times New Roman" w:eastAsia="Times New Roman" w:hAnsi="Times New Roman" w:cs="Times New Roman"/>
                <w:color w:val="000000"/>
                <w:sz w:val="24"/>
                <w:szCs w:val="24"/>
              </w:rPr>
              <w:t>Manufacturing</w:t>
            </w:r>
          </w:p>
        </w:tc>
      </w:tr>
      <w:tr w:rsidR="000B2AE7" w:rsidRPr="00FF7661" w14:paraId="6910B67B" w14:textId="77777777" w:rsidTr="00627460">
        <w:tc>
          <w:tcPr>
            <w:tcW w:w="738" w:type="dxa"/>
            <w:vMerge/>
          </w:tcPr>
          <w:p w14:paraId="53F91D9F"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16F250C1"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2922B47C" wp14:editId="3372B404">
                      <wp:simplePos x="0" y="0"/>
                      <wp:positionH relativeFrom="column">
                        <wp:posOffset>3384043</wp:posOffset>
                      </wp:positionH>
                      <wp:positionV relativeFrom="paragraph">
                        <wp:posOffset>132207</wp:posOffset>
                      </wp:positionV>
                      <wp:extent cx="2131314" cy="419100"/>
                      <wp:effectExtent l="0" t="0" r="21590" b="1905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14" cy="419100"/>
                              </a:xfrm>
                              <a:prstGeom prst="rect">
                                <a:avLst/>
                              </a:prstGeom>
                              <a:solidFill>
                                <a:srgbClr val="FFFFFF"/>
                              </a:solidFill>
                              <a:ln w="9525">
                                <a:solidFill>
                                  <a:srgbClr val="000000"/>
                                </a:solidFill>
                                <a:miter lim="800000"/>
                                <a:headEnd/>
                                <a:tailEnd/>
                              </a:ln>
                            </wps:spPr>
                            <wps:txbx>
                              <w:txbxContent>
                                <w:p w14:paraId="2949762E" w14:textId="77777777" w:rsidR="00DA29A4" w:rsidRDefault="00DA29A4" w:rsidP="000B2AE7">
                                  <w:pPr>
                                    <w:spacing w:after="0" w:line="0" w:lineRule="atLeast"/>
                                    <w:rPr>
                                      <w:rFonts w:ascii="Times New Roman" w:hAnsi="Times New Roman" w:cs="Times New Roman"/>
                                      <w:sz w:val="24"/>
                                    </w:rPr>
                                  </w:pPr>
                                  <w:r w:rsidRPr="00D46F6E">
                                    <w:rPr>
                                      <w:rFonts w:ascii="Times New Roman" w:hAnsi="Times New Roman" w:cs="Times New Roman"/>
                                      <w:sz w:val="24"/>
                                    </w:rPr>
                                    <w:t xml:space="preserve">Governance and the </w:t>
                                  </w:r>
                                </w:p>
                                <w:p w14:paraId="02479AD5" w14:textId="77777777" w:rsidR="00DA29A4" w:rsidRPr="00D46F6E" w:rsidRDefault="00DA29A4" w:rsidP="000B2AE7">
                                  <w:pPr>
                                    <w:spacing w:after="0" w:line="0" w:lineRule="atLeast"/>
                                    <w:rPr>
                                      <w:rFonts w:ascii="Times New Roman" w:hAnsi="Times New Roman" w:cs="Times New Roman"/>
                                      <w:sz w:val="24"/>
                                    </w:rPr>
                                  </w:pPr>
                                  <w:r w:rsidRPr="00D46F6E">
                                    <w:rPr>
                                      <w:rFonts w:ascii="Times New Roman" w:hAnsi="Times New Roman" w:cs="Times New Roman"/>
                                      <w:sz w:val="24"/>
                                    </w:rPr>
                                    <w:t>Rule of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66.45pt;margin-top:10.4pt;width:167.8pt;height: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">
                      <v:textbox>
                        <w:txbxContent>
                          <w:p w14:paraId="2949762E" w14:textId="77777777" w:rsidR="00DA29A4" w:rsidRDefault="00DA29A4" w:rsidP="000B2AE7">
                            <w:pPr>
                              <w:spacing w:after="0" w:line="0" w:lineRule="atLeast"/>
                              <w:rPr>
                                <w:rFonts w:ascii="Times New Roman" w:hAnsi="Times New Roman" w:cs="Times New Roman"/>
                                <w:sz w:val="24"/>
                              </w:rPr>
                            </w:pPr>
                            <w:r w:rsidRPr="00D46F6E">
                              <w:rPr>
                                <w:rFonts w:ascii="Times New Roman" w:hAnsi="Times New Roman" w:cs="Times New Roman"/>
                                <w:sz w:val="24"/>
                              </w:rPr>
                              <w:t xml:space="preserve">Governance and the </w:t>
                            </w:r>
                          </w:p>
                          <w:p w14:paraId="02479AD5" w14:textId="77777777" w:rsidR="00DA29A4" w:rsidRPr="00D46F6E" w:rsidRDefault="00DA29A4" w:rsidP="000B2AE7">
                            <w:pPr>
                              <w:spacing w:after="0" w:line="0" w:lineRule="atLeast"/>
                              <w:rPr>
                                <w:rFonts w:ascii="Times New Roman" w:hAnsi="Times New Roman" w:cs="Times New Roman"/>
                                <w:sz w:val="24"/>
                              </w:rPr>
                            </w:pPr>
                            <w:r w:rsidRPr="00D46F6E">
                              <w:rPr>
                                <w:rFonts w:ascii="Times New Roman" w:hAnsi="Times New Roman" w:cs="Times New Roman"/>
                                <w:sz w:val="24"/>
                              </w:rPr>
                              <w:t>Rule of Law</w:t>
                            </w:r>
                          </w:p>
                        </w:txbxContent>
                      </v:textbox>
                    </v:shape>
                  </w:pict>
                </mc:Fallback>
              </mc:AlternateContent>
            </w:r>
            <w:r w:rsidRPr="00FF7661">
              <w:rPr>
                <w:rFonts w:ascii="Times New Roman" w:eastAsia="Times New Roman" w:hAnsi="Times New Roman" w:cs="Times New Roman"/>
                <w:color w:val="000000"/>
                <w:sz w:val="24"/>
                <w:szCs w:val="24"/>
              </w:rPr>
              <w:t>Business Process Outsourcing and IT enabled services</w:t>
            </w:r>
          </w:p>
        </w:tc>
      </w:tr>
      <w:tr w:rsidR="000B2AE7" w:rsidRPr="00FF7661" w14:paraId="69907434" w14:textId="77777777" w:rsidTr="00627460">
        <w:tc>
          <w:tcPr>
            <w:tcW w:w="738" w:type="dxa"/>
            <w:vMerge/>
          </w:tcPr>
          <w:p w14:paraId="413579A1"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3B87F360"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Financial Services</w:t>
            </w:r>
          </w:p>
        </w:tc>
      </w:tr>
      <w:tr w:rsidR="000B2AE7" w:rsidRPr="00FF7661" w14:paraId="4606EC34" w14:textId="77777777" w:rsidTr="00627460">
        <w:tc>
          <w:tcPr>
            <w:tcW w:w="738" w:type="dxa"/>
            <w:vMerge/>
          </w:tcPr>
          <w:p w14:paraId="65C6CFEC" w14:textId="77777777" w:rsidR="000B2AE7" w:rsidRPr="00FF7661" w:rsidRDefault="000B2AE7" w:rsidP="00627460">
            <w:pPr>
              <w:ind w:firstLine="0"/>
              <w:rPr>
                <w:rFonts w:ascii="Times New Roman" w:eastAsia="Times New Roman" w:hAnsi="Times New Roman" w:cs="Times New Roman"/>
                <w:color w:val="000000"/>
                <w:sz w:val="24"/>
                <w:szCs w:val="24"/>
              </w:rPr>
            </w:pPr>
          </w:p>
        </w:tc>
        <w:tc>
          <w:tcPr>
            <w:tcW w:w="3275" w:type="dxa"/>
          </w:tcPr>
          <w:p w14:paraId="17237331"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Oil and other mineral resources</w:t>
            </w:r>
          </w:p>
        </w:tc>
      </w:tr>
    </w:tbl>
    <w:p w14:paraId="12A052B9" w14:textId="77777777" w:rsidR="000B2AE7" w:rsidRPr="00FF7661" w:rsidRDefault="000B2AE7" w:rsidP="000B2AE7">
      <w:pPr>
        <w:spacing w:after="0" w:line="0"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38"/>
        <w:gridCol w:w="3275"/>
      </w:tblGrid>
      <w:tr w:rsidR="000B2AE7" w:rsidRPr="00FF7661" w14:paraId="0191325E" w14:textId="77777777" w:rsidTr="00627460">
        <w:tc>
          <w:tcPr>
            <w:tcW w:w="738" w:type="dxa"/>
            <w:vMerge w:val="restart"/>
            <w:textDirection w:val="btLr"/>
          </w:tcPr>
          <w:p w14:paraId="2B922FCA" w14:textId="77777777" w:rsidR="000B2AE7" w:rsidRPr="00FF7661" w:rsidRDefault="000B2AE7" w:rsidP="00627460">
            <w:pPr>
              <w:spacing w:line="0" w:lineRule="atLeast"/>
              <w:ind w:left="113" w:right="113"/>
              <w:jc w:val="center"/>
              <w:rPr>
                <w:rFonts w:ascii="Times New Roman" w:eastAsia="Times New Roman" w:hAnsi="Times New Roman" w:cs="Times New Roman"/>
                <w:b/>
                <w:color w:val="000000"/>
                <w:sz w:val="24"/>
                <w:szCs w:val="24"/>
              </w:rPr>
            </w:pPr>
            <w:r w:rsidRPr="00FF7661">
              <w:rPr>
                <w:rFonts w:ascii="Times New Roman" w:eastAsia="Times New Roman" w:hAnsi="Times New Roman" w:cs="Times New Roman"/>
                <w:b/>
                <w:color w:val="000000"/>
                <w:sz w:val="24"/>
                <w:szCs w:val="24"/>
              </w:rPr>
              <w:t>Political</w:t>
            </w:r>
          </w:p>
          <w:p w14:paraId="22403525" w14:textId="77777777" w:rsidR="000B2AE7" w:rsidRPr="00FF7661" w:rsidRDefault="000B2AE7" w:rsidP="00627460">
            <w:pPr>
              <w:spacing w:line="0" w:lineRule="atLeast"/>
              <w:ind w:left="113" w:right="113"/>
              <w:jc w:val="center"/>
              <w:rPr>
                <w:rFonts w:ascii="Times New Roman" w:eastAsia="Times New Roman" w:hAnsi="Times New Roman" w:cs="Times New Roman"/>
                <w:b/>
                <w:color w:val="000000"/>
                <w:sz w:val="24"/>
                <w:szCs w:val="24"/>
              </w:rPr>
            </w:pPr>
          </w:p>
        </w:tc>
        <w:tc>
          <w:tcPr>
            <w:tcW w:w="3275" w:type="dxa"/>
          </w:tcPr>
          <w:p w14:paraId="1443A157"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Devolution</w:t>
            </w:r>
          </w:p>
        </w:tc>
      </w:tr>
      <w:tr w:rsidR="000B2AE7" w:rsidRPr="00FF7661" w14:paraId="0DAC845C" w14:textId="77777777" w:rsidTr="00627460">
        <w:tc>
          <w:tcPr>
            <w:tcW w:w="738" w:type="dxa"/>
            <w:vMerge/>
          </w:tcPr>
          <w:p w14:paraId="3A45F69F" w14:textId="77777777" w:rsidR="000B2AE7" w:rsidRPr="00FF7661" w:rsidRDefault="000B2AE7" w:rsidP="00627460">
            <w:pPr>
              <w:spacing w:line="0" w:lineRule="atLeast"/>
              <w:rPr>
                <w:rFonts w:ascii="Times New Roman" w:eastAsia="Times New Roman" w:hAnsi="Times New Roman" w:cs="Times New Roman"/>
                <w:color w:val="000000"/>
                <w:sz w:val="24"/>
                <w:szCs w:val="24"/>
              </w:rPr>
            </w:pPr>
          </w:p>
        </w:tc>
        <w:tc>
          <w:tcPr>
            <w:tcW w:w="3275" w:type="dxa"/>
          </w:tcPr>
          <w:p w14:paraId="29130DA0"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 xml:space="preserve">Governance </w:t>
            </w:r>
          </w:p>
          <w:p w14:paraId="5AFE8C97" w14:textId="77777777" w:rsidR="000B2AE7" w:rsidRPr="00FF7661" w:rsidRDefault="000B2AE7" w:rsidP="00627460">
            <w:pPr>
              <w:ind w:firstLine="0"/>
              <w:rPr>
                <w:rFonts w:ascii="Times New Roman" w:eastAsia="Times New Roman" w:hAnsi="Times New Roman" w:cs="Times New Roman"/>
                <w:color w:val="000000"/>
                <w:sz w:val="24"/>
                <w:szCs w:val="24"/>
              </w:rPr>
            </w:pPr>
            <w:r w:rsidRPr="00FF7661">
              <w:rPr>
                <w:rFonts w:ascii="Times New Roman" w:eastAsia="Times New Roman" w:hAnsi="Times New Roman" w:cs="Times New Roman"/>
                <w:color w:val="000000"/>
                <w:sz w:val="24"/>
                <w:szCs w:val="24"/>
              </w:rPr>
              <w:t>and the Rule of Law</w:t>
            </w:r>
          </w:p>
          <w:p w14:paraId="7264520C" w14:textId="77777777" w:rsidR="000B2AE7" w:rsidRPr="00FF7661" w:rsidRDefault="000B2AE7" w:rsidP="00627460">
            <w:pPr>
              <w:ind w:firstLine="0"/>
              <w:rPr>
                <w:rFonts w:ascii="Times New Roman" w:eastAsia="Times New Roman" w:hAnsi="Times New Roman" w:cs="Times New Roman"/>
                <w:color w:val="000000"/>
                <w:sz w:val="24"/>
                <w:szCs w:val="24"/>
              </w:rPr>
            </w:pPr>
          </w:p>
        </w:tc>
      </w:tr>
    </w:tbl>
    <w:p w14:paraId="05553BC3" w14:textId="77777777" w:rsidR="00377A09" w:rsidRDefault="00377A09" w:rsidP="000B2AE7">
      <w:pPr>
        <w:spacing w:after="0"/>
        <w:sectPr w:rsidR="00377A09" w:rsidSect="00F96822">
          <w:pgSz w:w="12240" w:h="15840"/>
          <w:pgMar w:top="1440" w:right="1440" w:bottom="1440" w:left="1440" w:header="720" w:footer="720" w:gutter="0"/>
          <w:cols w:space="720"/>
          <w:docGrid w:linePitch="360"/>
        </w:sectPr>
      </w:pPr>
    </w:p>
    <w:p w14:paraId="740D7B04" w14:textId="77777777" w:rsidR="00377A09" w:rsidRPr="003A3CD2" w:rsidRDefault="00377A09" w:rsidP="00377A09">
      <w:pPr>
        <w:spacing w:after="0" w:line="240" w:lineRule="auto"/>
        <w:jc w:val="both"/>
        <w:rPr>
          <w:rFonts w:ascii="Times New Roman" w:hAnsi="Times New Roman" w:cs="Times New Roman"/>
          <w:sz w:val="24"/>
          <w:szCs w:val="24"/>
        </w:rPr>
      </w:pPr>
      <w:r w:rsidRPr="003A3CD2">
        <w:rPr>
          <w:rFonts w:ascii="Times New Roman" w:hAnsi="Times New Roman" w:cs="Times New Roman"/>
          <w:i/>
          <w:sz w:val="24"/>
          <w:szCs w:val="24"/>
          <w:u w:val="single"/>
        </w:rPr>
        <w:lastRenderedPageBreak/>
        <w:t>Hence at the next level</w:t>
      </w:r>
      <w:r w:rsidRPr="003A3CD2">
        <w:rPr>
          <w:rFonts w:ascii="Times New Roman" w:hAnsi="Times New Roman" w:cs="Times New Roman"/>
          <w:sz w:val="24"/>
          <w:szCs w:val="24"/>
        </w:rPr>
        <w:t xml:space="preserve">, to be more incisive in our choices and to do that in an adaptable way over time (what some have termed “dynamic selectivity”), our new approach we will forge any new activity—especially investment operations—against a four-pronged benchmark, to ensure it is genuinely where we should deploy our scare resources and where there are reasonable prospects of success. </w:t>
      </w:r>
    </w:p>
    <w:p w14:paraId="44354DD3" w14:textId="77777777" w:rsidR="00377A09" w:rsidRPr="003A3CD2" w:rsidRDefault="00377A09" w:rsidP="00377A09">
      <w:pPr>
        <w:spacing w:after="0" w:line="240" w:lineRule="auto"/>
        <w:jc w:val="both"/>
        <w:rPr>
          <w:rFonts w:ascii="Times New Roman" w:hAnsi="Times New Roman" w:cs="Times New Roman"/>
          <w:sz w:val="24"/>
          <w:szCs w:val="24"/>
        </w:rPr>
      </w:pPr>
    </w:p>
    <w:p w14:paraId="4BF77DC7" w14:textId="77777777" w:rsidR="00377A09" w:rsidRPr="003A3CD2" w:rsidRDefault="00377A09" w:rsidP="00377A09">
      <w:pPr>
        <w:spacing w:after="0" w:line="240" w:lineRule="auto"/>
        <w:jc w:val="both"/>
        <w:rPr>
          <w:rFonts w:ascii="Times New Roman" w:hAnsi="Times New Roman" w:cs="Times New Roman"/>
          <w:sz w:val="24"/>
          <w:szCs w:val="24"/>
        </w:rPr>
      </w:pPr>
      <w:r w:rsidRPr="003A3CD2">
        <w:rPr>
          <w:rFonts w:ascii="Times New Roman" w:hAnsi="Times New Roman" w:cs="Times New Roman"/>
          <w:sz w:val="24"/>
          <w:szCs w:val="24"/>
        </w:rPr>
        <w:t>This is not a mechanistic exercise and will call for professional judgment but the process can be made disciplined with a simple checklist that teams can utilize as project concept and preparation is undertaken. The template is being developed and is shaped as follows. The “4C” test is specifically:</w:t>
      </w:r>
    </w:p>
    <w:p w14:paraId="70A12B3C" w14:textId="77777777" w:rsidR="00377A09" w:rsidRPr="003A3CD2" w:rsidRDefault="00377A09" w:rsidP="00377A09">
      <w:pPr>
        <w:spacing w:after="0" w:line="240" w:lineRule="auto"/>
        <w:jc w:val="both"/>
        <w:rPr>
          <w:rFonts w:ascii="Times New Roman" w:hAnsi="Times New Roman" w:cs="Times New Roman"/>
          <w:sz w:val="24"/>
          <w:szCs w:val="24"/>
        </w:rPr>
      </w:pPr>
    </w:p>
    <w:p w14:paraId="720484DF" w14:textId="77777777" w:rsidR="00377A09" w:rsidRPr="003A3CD2" w:rsidRDefault="00377A09" w:rsidP="00377A09">
      <w:pPr>
        <w:spacing w:after="0" w:line="240" w:lineRule="auto"/>
        <w:jc w:val="both"/>
        <w:rPr>
          <w:rFonts w:ascii="Times New Roman" w:hAnsi="Times New Roman" w:cs="Times New Roman"/>
          <w:b/>
          <w:sz w:val="24"/>
          <w:szCs w:val="24"/>
        </w:rPr>
      </w:pPr>
      <w:r w:rsidRPr="003A3CD2">
        <w:rPr>
          <w:rFonts w:ascii="Times New Roman" w:hAnsi="Times New Roman" w:cs="Times New Roman"/>
          <w:b/>
          <w:sz w:val="24"/>
          <w:szCs w:val="24"/>
        </w:rPr>
        <w:t>C1:</w:t>
      </w:r>
      <w:r w:rsidRPr="003A3CD2">
        <w:rPr>
          <w:rFonts w:ascii="Times New Roman" w:hAnsi="Times New Roman" w:cs="Times New Roman"/>
          <w:b/>
          <w:sz w:val="24"/>
          <w:szCs w:val="24"/>
        </w:rPr>
        <w:tab/>
      </w:r>
      <w:r w:rsidRPr="003A3CD2">
        <w:rPr>
          <w:rFonts w:ascii="Times New Roman" w:hAnsi="Times New Roman" w:cs="Times New Roman"/>
          <w:b/>
          <w:sz w:val="24"/>
          <w:szCs w:val="24"/>
        </w:rPr>
        <w:tab/>
        <w:t>Confirming a credible line of sight</w:t>
      </w:r>
    </w:p>
    <w:p w14:paraId="326A4464" w14:textId="77777777" w:rsidR="00377A09" w:rsidRPr="00B56C1B" w:rsidRDefault="00377A09" w:rsidP="00377A09">
      <w:pPr>
        <w:pStyle w:val="ListParagraph"/>
        <w:numPr>
          <w:ilvl w:val="0"/>
          <w:numId w:val="34"/>
        </w:numPr>
        <w:spacing w:after="0" w:line="240" w:lineRule="auto"/>
        <w:ind w:left="720"/>
        <w:rPr>
          <w:rFonts w:ascii="Times New Roman" w:hAnsi="Times New Roman" w:cs="Times New Roman"/>
          <w:sz w:val="24"/>
          <w:szCs w:val="24"/>
        </w:rPr>
      </w:pPr>
      <w:r w:rsidRPr="00B56C1B">
        <w:rPr>
          <w:rFonts w:ascii="Times New Roman" w:hAnsi="Times New Roman" w:cs="Times New Roman"/>
          <w:sz w:val="24"/>
          <w:szCs w:val="24"/>
        </w:rPr>
        <w:t>Does the investment directly target the poor (which in Kenya’s case cover the bottom 40 percent) and can this be measured?</w:t>
      </w:r>
    </w:p>
    <w:p w14:paraId="31CE8107" w14:textId="77777777" w:rsidR="00377A09" w:rsidRPr="00B56C1B" w:rsidRDefault="00377A09" w:rsidP="00377A09">
      <w:pPr>
        <w:pStyle w:val="ListParagraph"/>
        <w:numPr>
          <w:ilvl w:val="0"/>
          <w:numId w:val="34"/>
        </w:numPr>
        <w:spacing w:after="0" w:line="240" w:lineRule="auto"/>
        <w:ind w:left="720"/>
        <w:rPr>
          <w:rFonts w:ascii="Times New Roman" w:hAnsi="Times New Roman" w:cs="Times New Roman"/>
          <w:sz w:val="24"/>
          <w:szCs w:val="24"/>
        </w:rPr>
      </w:pPr>
      <w:r w:rsidRPr="00B56C1B">
        <w:rPr>
          <w:rFonts w:ascii="Times New Roman" w:hAnsi="Times New Roman" w:cs="Times New Roman"/>
          <w:sz w:val="24"/>
          <w:szCs w:val="24"/>
        </w:rPr>
        <w:t>If not, is there a plausible causal chain, even if long term, and what sensible intermediate indicators can be deployed?</w:t>
      </w:r>
    </w:p>
    <w:p w14:paraId="5A38B512" w14:textId="77777777" w:rsidR="00377A09" w:rsidRPr="00B56C1B" w:rsidRDefault="00377A09" w:rsidP="00377A09">
      <w:pPr>
        <w:pStyle w:val="ListParagraph"/>
        <w:numPr>
          <w:ilvl w:val="0"/>
          <w:numId w:val="34"/>
        </w:numPr>
        <w:spacing w:after="0" w:line="240" w:lineRule="auto"/>
        <w:ind w:left="720"/>
        <w:rPr>
          <w:rFonts w:ascii="Times New Roman" w:hAnsi="Times New Roman" w:cs="Times New Roman"/>
          <w:sz w:val="24"/>
          <w:szCs w:val="24"/>
        </w:rPr>
      </w:pPr>
      <w:r w:rsidRPr="00B56C1B">
        <w:rPr>
          <w:rFonts w:ascii="Times New Roman" w:hAnsi="Times New Roman" w:cs="Times New Roman"/>
          <w:sz w:val="24"/>
          <w:szCs w:val="24"/>
        </w:rPr>
        <w:t>Is there evidence to show the expected economic benefit is acceptable, and ideally higher than other comparable interventions?</w:t>
      </w:r>
    </w:p>
    <w:p w14:paraId="4C8750F9" w14:textId="77777777" w:rsidR="00377A09" w:rsidRPr="00B56C1B" w:rsidRDefault="00377A09" w:rsidP="00377A09">
      <w:pPr>
        <w:pStyle w:val="ListParagraph"/>
        <w:numPr>
          <w:ilvl w:val="0"/>
          <w:numId w:val="34"/>
        </w:numPr>
        <w:spacing w:after="0" w:line="240" w:lineRule="auto"/>
        <w:ind w:left="720"/>
        <w:rPr>
          <w:rFonts w:ascii="Times New Roman" w:hAnsi="Times New Roman" w:cs="Times New Roman"/>
          <w:sz w:val="24"/>
          <w:szCs w:val="24"/>
        </w:rPr>
      </w:pPr>
      <w:r w:rsidRPr="00B56C1B">
        <w:rPr>
          <w:rFonts w:ascii="Times New Roman" w:hAnsi="Times New Roman" w:cs="Times New Roman"/>
          <w:sz w:val="24"/>
          <w:szCs w:val="24"/>
        </w:rPr>
        <w:t xml:space="preserve">Will this activity directly create jobs (especially relevant for some IFC deals) and/or help poor beneficiaries including women (for whom the alleviation of specific constraints would be identified)? </w:t>
      </w:r>
    </w:p>
    <w:p w14:paraId="7E3A4DB3" w14:textId="77777777" w:rsidR="00377A09" w:rsidRPr="003A3CD2" w:rsidRDefault="00377A09" w:rsidP="00377A09">
      <w:pPr>
        <w:spacing w:after="0" w:line="240" w:lineRule="auto"/>
        <w:jc w:val="both"/>
        <w:rPr>
          <w:rFonts w:ascii="Times New Roman" w:hAnsi="Times New Roman" w:cs="Times New Roman"/>
          <w:b/>
          <w:sz w:val="24"/>
          <w:szCs w:val="24"/>
        </w:rPr>
      </w:pPr>
      <w:r w:rsidRPr="003A3CD2">
        <w:rPr>
          <w:rFonts w:ascii="Times New Roman" w:hAnsi="Times New Roman" w:cs="Times New Roman"/>
          <w:b/>
          <w:sz w:val="24"/>
          <w:szCs w:val="24"/>
        </w:rPr>
        <w:t>C2:</w:t>
      </w:r>
      <w:r w:rsidRPr="003A3CD2">
        <w:rPr>
          <w:rFonts w:ascii="Times New Roman" w:hAnsi="Times New Roman" w:cs="Times New Roman"/>
          <w:b/>
          <w:sz w:val="24"/>
          <w:szCs w:val="24"/>
        </w:rPr>
        <w:tab/>
      </w:r>
      <w:r w:rsidRPr="003A3CD2">
        <w:rPr>
          <w:rFonts w:ascii="Times New Roman" w:hAnsi="Times New Roman" w:cs="Times New Roman"/>
          <w:b/>
          <w:sz w:val="24"/>
          <w:szCs w:val="24"/>
        </w:rPr>
        <w:tab/>
        <w:t>Critically reviewing our capability and comparative advantage</w:t>
      </w:r>
    </w:p>
    <w:p w14:paraId="1DC3C5CA" w14:textId="77777777" w:rsidR="00377A09" w:rsidRPr="00B56C1B" w:rsidRDefault="00377A09" w:rsidP="00377A09">
      <w:pPr>
        <w:pStyle w:val="ListParagraph"/>
        <w:numPr>
          <w:ilvl w:val="0"/>
          <w:numId w:val="74"/>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 xml:space="preserve">How many donors or other financiers are involved in this sector and what added value does the Bank bring? </w:t>
      </w:r>
    </w:p>
    <w:p w14:paraId="7A87904D" w14:textId="77777777" w:rsidR="00377A09" w:rsidRPr="00B56C1B" w:rsidRDefault="00377A09" w:rsidP="00377A09">
      <w:pPr>
        <w:pStyle w:val="ListParagraph"/>
        <w:numPr>
          <w:ilvl w:val="0"/>
          <w:numId w:val="74"/>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Does the Bank Group (globally) have an established track record in this area (and how is that demonstrated in IEG and other evidence)?</w:t>
      </w:r>
    </w:p>
    <w:p w14:paraId="3DB7C379" w14:textId="77777777" w:rsidR="00377A09" w:rsidRPr="00B56C1B" w:rsidRDefault="00377A09" w:rsidP="00377A09">
      <w:pPr>
        <w:pStyle w:val="ListParagraph"/>
        <w:numPr>
          <w:ilvl w:val="0"/>
          <w:numId w:val="74"/>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Do we have an experienced team and TTL that will be deployed, and have the requisite expertise that might be needed not just in the specialist discipline but also in fiduciary and safeguards?</w:t>
      </w:r>
    </w:p>
    <w:p w14:paraId="4DD2C934" w14:textId="77777777" w:rsidR="00377A09" w:rsidRPr="003A3CD2" w:rsidRDefault="00377A09" w:rsidP="00377A09">
      <w:pPr>
        <w:spacing w:after="0" w:line="240" w:lineRule="auto"/>
        <w:jc w:val="both"/>
        <w:rPr>
          <w:rFonts w:ascii="Times New Roman" w:hAnsi="Times New Roman" w:cs="Times New Roman"/>
          <w:b/>
          <w:sz w:val="24"/>
          <w:szCs w:val="24"/>
        </w:rPr>
      </w:pPr>
      <w:r w:rsidRPr="003A3CD2">
        <w:rPr>
          <w:rFonts w:ascii="Times New Roman" w:hAnsi="Times New Roman" w:cs="Times New Roman"/>
          <w:b/>
          <w:sz w:val="24"/>
          <w:szCs w:val="24"/>
        </w:rPr>
        <w:t>C3:</w:t>
      </w:r>
      <w:r w:rsidRPr="003A3CD2">
        <w:rPr>
          <w:rFonts w:ascii="Times New Roman" w:hAnsi="Times New Roman" w:cs="Times New Roman"/>
          <w:b/>
          <w:sz w:val="24"/>
          <w:szCs w:val="24"/>
        </w:rPr>
        <w:tab/>
      </w:r>
      <w:r w:rsidRPr="003A3CD2">
        <w:rPr>
          <w:rFonts w:ascii="Times New Roman" w:hAnsi="Times New Roman" w:cs="Times New Roman"/>
          <w:b/>
          <w:sz w:val="24"/>
          <w:szCs w:val="24"/>
        </w:rPr>
        <w:tab/>
        <w:t>Cementing client ownership</w:t>
      </w:r>
    </w:p>
    <w:p w14:paraId="2A7DBE56" w14:textId="77777777" w:rsidR="00377A09" w:rsidRPr="00B56C1B" w:rsidRDefault="00377A09" w:rsidP="00377A09">
      <w:pPr>
        <w:pStyle w:val="ListParagraph"/>
        <w:numPr>
          <w:ilvl w:val="0"/>
          <w:numId w:val="75"/>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Is there a forceful, meaningful and formal Government request from the relevant line Ministry(s)—with evidence of support from the Minister and the PS?</w:t>
      </w:r>
    </w:p>
    <w:p w14:paraId="34FBB90B" w14:textId="77777777" w:rsidR="00377A09" w:rsidRPr="00B56C1B" w:rsidRDefault="00377A09" w:rsidP="00377A09">
      <w:pPr>
        <w:pStyle w:val="ListParagraph"/>
        <w:numPr>
          <w:ilvl w:val="0"/>
          <w:numId w:val="75"/>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Is there the same from the Treasury—CS and PS?</w:t>
      </w:r>
    </w:p>
    <w:p w14:paraId="37F69FA2" w14:textId="77777777" w:rsidR="00377A09" w:rsidRPr="00B56C1B" w:rsidRDefault="00377A09" w:rsidP="00377A09">
      <w:pPr>
        <w:pStyle w:val="ListParagraph"/>
        <w:numPr>
          <w:ilvl w:val="0"/>
          <w:numId w:val="75"/>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Is the project explicitly identified in key Government planning documents—MTP2?</w:t>
      </w:r>
    </w:p>
    <w:p w14:paraId="0B56CC04" w14:textId="77777777" w:rsidR="00377A09" w:rsidRPr="00B56C1B" w:rsidRDefault="00377A09" w:rsidP="00377A09">
      <w:pPr>
        <w:pStyle w:val="ListParagraph"/>
        <w:numPr>
          <w:ilvl w:val="0"/>
          <w:numId w:val="75"/>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Is there a review (including political economy assessment) of any resistance to the proposal?</w:t>
      </w:r>
    </w:p>
    <w:p w14:paraId="1BDD77D8" w14:textId="77777777" w:rsidR="00377A09" w:rsidRPr="003A3CD2" w:rsidRDefault="00377A09" w:rsidP="00377A09">
      <w:pPr>
        <w:spacing w:after="0" w:line="240" w:lineRule="auto"/>
        <w:jc w:val="both"/>
        <w:rPr>
          <w:rFonts w:ascii="Times New Roman" w:hAnsi="Times New Roman" w:cs="Times New Roman"/>
          <w:b/>
          <w:sz w:val="24"/>
          <w:szCs w:val="24"/>
        </w:rPr>
      </w:pPr>
      <w:r w:rsidRPr="003A3CD2">
        <w:rPr>
          <w:rFonts w:ascii="Times New Roman" w:hAnsi="Times New Roman" w:cs="Times New Roman"/>
          <w:b/>
          <w:sz w:val="24"/>
          <w:szCs w:val="24"/>
        </w:rPr>
        <w:t>C4:</w:t>
      </w:r>
      <w:r w:rsidRPr="003A3CD2">
        <w:rPr>
          <w:rFonts w:ascii="Times New Roman" w:hAnsi="Times New Roman" w:cs="Times New Roman"/>
          <w:b/>
          <w:sz w:val="24"/>
          <w:szCs w:val="24"/>
        </w:rPr>
        <w:tab/>
      </w:r>
      <w:r w:rsidRPr="003A3CD2">
        <w:rPr>
          <w:rFonts w:ascii="Times New Roman" w:hAnsi="Times New Roman" w:cs="Times New Roman"/>
          <w:b/>
          <w:sz w:val="24"/>
          <w:szCs w:val="24"/>
        </w:rPr>
        <w:tab/>
        <w:t>Calibrating client capacity</w:t>
      </w:r>
    </w:p>
    <w:p w14:paraId="1A4B4A66" w14:textId="77777777" w:rsidR="00377A09" w:rsidRPr="00B56C1B" w:rsidRDefault="00377A09" w:rsidP="00377A09">
      <w:pPr>
        <w:pStyle w:val="ListParagraph"/>
        <w:numPr>
          <w:ilvl w:val="0"/>
          <w:numId w:val="76"/>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Is there a track record of adequate client capacity in the line Ministry?</w:t>
      </w:r>
    </w:p>
    <w:p w14:paraId="5571F5FB" w14:textId="77777777" w:rsidR="00377A09" w:rsidRPr="00B56C1B" w:rsidRDefault="00377A09" w:rsidP="00377A09">
      <w:pPr>
        <w:pStyle w:val="ListParagraph"/>
        <w:numPr>
          <w:ilvl w:val="0"/>
          <w:numId w:val="76"/>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Are there credible procurement and financial management resources and expertise?</w:t>
      </w:r>
    </w:p>
    <w:p w14:paraId="0FF6909A" w14:textId="77777777" w:rsidR="00377A09" w:rsidRPr="00B56C1B" w:rsidRDefault="00377A09" w:rsidP="00377A09">
      <w:pPr>
        <w:pStyle w:val="ListParagraph"/>
        <w:numPr>
          <w:ilvl w:val="0"/>
          <w:numId w:val="76"/>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Are there integrity and corruption concerns and how will they be managed?</w:t>
      </w:r>
    </w:p>
    <w:p w14:paraId="01162570" w14:textId="77777777" w:rsidR="00377A09" w:rsidRPr="00B56C1B" w:rsidRDefault="00377A09" w:rsidP="00377A09">
      <w:pPr>
        <w:pStyle w:val="ListParagraph"/>
        <w:numPr>
          <w:ilvl w:val="0"/>
          <w:numId w:val="76"/>
        </w:numPr>
        <w:spacing w:after="0" w:line="240" w:lineRule="auto"/>
        <w:jc w:val="both"/>
        <w:rPr>
          <w:rFonts w:ascii="Times New Roman" w:hAnsi="Times New Roman" w:cs="Times New Roman"/>
          <w:sz w:val="24"/>
          <w:szCs w:val="24"/>
        </w:rPr>
      </w:pPr>
      <w:r w:rsidRPr="00B56C1B">
        <w:rPr>
          <w:rFonts w:ascii="Times New Roman" w:hAnsi="Times New Roman" w:cs="Times New Roman"/>
          <w:sz w:val="24"/>
          <w:szCs w:val="24"/>
        </w:rPr>
        <w:t xml:space="preserve">Where there are gaps in the above, how tenable is it that they can be addressed, including being built and deployed through the project itself? </w:t>
      </w:r>
    </w:p>
    <w:p w14:paraId="49A6E3B9" w14:textId="77777777" w:rsidR="00377A09" w:rsidRPr="003A3CD2" w:rsidRDefault="00377A09" w:rsidP="00377A09">
      <w:pPr>
        <w:spacing w:after="0" w:line="240" w:lineRule="auto"/>
        <w:jc w:val="both"/>
        <w:rPr>
          <w:rFonts w:ascii="Times New Roman" w:hAnsi="Times New Roman" w:cs="Times New Roman"/>
          <w:sz w:val="24"/>
          <w:szCs w:val="24"/>
        </w:rPr>
      </w:pPr>
    </w:p>
    <w:p w14:paraId="526614A7" w14:textId="227B063A" w:rsidR="00377A09" w:rsidRDefault="00377A09" w:rsidP="00377A09">
      <w:pPr>
        <w:spacing w:after="0"/>
        <w:sectPr w:rsidR="00377A09" w:rsidSect="00F96822">
          <w:pgSz w:w="12240" w:h="15840"/>
          <w:pgMar w:top="1440" w:right="1440" w:bottom="1440" w:left="1440" w:header="720" w:footer="720" w:gutter="0"/>
          <w:cols w:space="720"/>
          <w:docGrid w:linePitch="360"/>
        </w:sectPr>
      </w:pPr>
      <w:r w:rsidRPr="003A3CD2">
        <w:rPr>
          <w:rFonts w:ascii="Times New Roman" w:hAnsi="Times New Roman" w:cs="Times New Roman"/>
          <w:sz w:val="24"/>
          <w:szCs w:val="24"/>
        </w:rPr>
        <w:t>Not every proposal will have a “perfect score” against these four benchmarks but by testing in a rigorous way, management can more credibly make the difficult trade-offs.</w:t>
      </w:r>
    </w:p>
    <w:p w14:paraId="063551C7" w14:textId="781DD0C3" w:rsidR="000B2AE7" w:rsidRPr="00856F4E" w:rsidRDefault="001D55FA" w:rsidP="000B2AE7">
      <w:r w:rsidRPr="00856F4E">
        <w:rPr>
          <w:noProof/>
        </w:rPr>
        <w:lastRenderedPageBreak/>
        <mc:AlternateContent>
          <mc:Choice Requires="wps">
            <w:drawing>
              <wp:anchor distT="0" distB="0" distL="114300" distR="114300" simplePos="0" relativeHeight="251734016" behindDoc="0" locked="0" layoutInCell="1" allowOverlap="1" wp14:anchorId="5270D56B" wp14:editId="5D35C0D7">
                <wp:simplePos x="0" y="0"/>
                <wp:positionH relativeFrom="column">
                  <wp:posOffset>-573405</wp:posOffset>
                </wp:positionH>
                <wp:positionV relativeFrom="paragraph">
                  <wp:posOffset>-146050</wp:posOffset>
                </wp:positionV>
                <wp:extent cx="2194560" cy="1901825"/>
                <wp:effectExtent l="0" t="0" r="0" b="31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01825"/>
                        </a:xfrm>
                        <a:prstGeom prst="rect">
                          <a:avLst/>
                        </a:prstGeom>
                        <a:solidFill>
                          <a:srgbClr val="FFFFFF"/>
                        </a:solidFill>
                        <a:ln w="9525">
                          <a:noFill/>
                          <a:miter lim="800000"/>
                          <a:headEnd/>
                          <a:tailEnd/>
                        </a:ln>
                      </wps:spPr>
                      <wps:txbx>
                        <w:txbxContent>
                          <w:p w14:paraId="24820D1A" w14:textId="77777777" w:rsidR="00DA29A4" w:rsidRPr="008F56D1" w:rsidRDefault="00DA29A4" w:rsidP="007B5E57">
                            <w:pPr>
                              <w:pStyle w:val="ListParagraph"/>
                              <w:numPr>
                                <w:ilvl w:val="0"/>
                                <w:numId w:val="65"/>
                              </w:numPr>
                              <w:rPr>
                                <w:sz w:val="16"/>
                                <w:szCs w:val="16"/>
                              </w:rPr>
                            </w:pPr>
                            <w:r w:rsidRPr="008F56D1">
                              <w:rPr>
                                <w:sz w:val="16"/>
                                <w:szCs w:val="16"/>
                              </w:rPr>
                              <w:t>Is there a forceful, meaningful and formal Government request from the relevant line Ministry(s)—with evidence of support from the Minister and the PS?</w:t>
                            </w:r>
                          </w:p>
                          <w:p w14:paraId="2C3D54B2" w14:textId="77777777" w:rsidR="00DA29A4" w:rsidRPr="008F56D1" w:rsidRDefault="00DA29A4" w:rsidP="007B5E57">
                            <w:pPr>
                              <w:pStyle w:val="ListParagraph"/>
                              <w:numPr>
                                <w:ilvl w:val="0"/>
                                <w:numId w:val="60"/>
                              </w:numPr>
                              <w:rPr>
                                <w:sz w:val="16"/>
                                <w:szCs w:val="16"/>
                              </w:rPr>
                            </w:pPr>
                            <w:r w:rsidRPr="008F56D1">
                              <w:rPr>
                                <w:sz w:val="16"/>
                                <w:szCs w:val="16"/>
                              </w:rPr>
                              <w:t>Is there the same from the Treasury—CS and PS?</w:t>
                            </w:r>
                          </w:p>
                          <w:p w14:paraId="47E6F79F" w14:textId="77777777" w:rsidR="00DA29A4" w:rsidRPr="008F56D1" w:rsidRDefault="00DA29A4" w:rsidP="007B5E57">
                            <w:pPr>
                              <w:pStyle w:val="ListParagraph"/>
                              <w:numPr>
                                <w:ilvl w:val="0"/>
                                <w:numId w:val="64"/>
                              </w:numPr>
                              <w:rPr>
                                <w:sz w:val="16"/>
                                <w:szCs w:val="16"/>
                              </w:rPr>
                            </w:pPr>
                            <w:r w:rsidRPr="008F56D1">
                              <w:rPr>
                                <w:sz w:val="16"/>
                                <w:szCs w:val="16"/>
                              </w:rPr>
                              <w:t>Is the project explicitly identified in key Government planning documents—MTP2?</w:t>
                            </w:r>
                          </w:p>
                          <w:p w14:paraId="02B66921" w14:textId="77777777" w:rsidR="00DA29A4" w:rsidRPr="008F56D1" w:rsidRDefault="00DA29A4" w:rsidP="007B5E57">
                            <w:pPr>
                              <w:pStyle w:val="ListParagraph"/>
                              <w:numPr>
                                <w:ilvl w:val="0"/>
                                <w:numId w:val="60"/>
                              </w:numPr>
                              <w:rPr>
                                <w:sz w:val="16"/>
                                <w:szCs w:val="16"/>
                              </w:rPr>
                            </w:pPr>
                            <w:r w:rsidRPr="008F56D1">
                              <w:rPr>
                                <w:sz w:val="16"/>
                                <w:szCs w:val="16"/>
                              </w:rPr>
                              <w:t>Is there a review (including political economy assessment) of any resistance to the proposal?</w:t>
                            </w:r>
                            <w:r>
                              <w:rPr>
                                <w:sz w:val="16"/>
                                <w:szCs w:val="16"/>
                              </w:rPr>
                              <w:t xml:space="preserve"> </w:t>
                            </w:r>
                          </w:p>
                          <w:p w14:paraId="2AEBCCB7" w14:textId="77777777" w:rsidR="00DA29A4" w:rsidRPr="008F56D1" w:rsidRDefault="00DA29A4" w:rsidP="000B2AE7">
                            <w:pPr>
                              <w:tabs>
                                <w:tab w:val="left" w:pos="450"/>
                              </w:tabs>
                              <w:spacing w:after="0" w:line="0" w:lineRule="atLeast"/>
                              <w:ind w:left="27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5.15pt;margin-top:-11.5pt;width:172.8pt;height:14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7NJAIAACU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" stroked="f">
                <v:textbox>
                  <w:txbxContent>
                    <w:p w14:paraId="24820D1A" w14:textId="77777777" w:rsidR="00DA29A4" w:rsidRPr="008F56D1" w:rsidRDefault="00DA29A4" w:rsidP="007B5E57">
                      <w:pPr>
                        <w:pStyle w:val="ListParagraph"/>
                        <w:numPr>
                          <w:ilvl w:val="0"/>
                          <w:numId w:val="65"/>
                        </w:numPr>
                        <w:rPr>
                          <w:sz w:val="16"/>
                          <w:szCs w:val="16"/>
                        </w:rPr>
                      </w:pPr>
                      <w:r w:rsidRPr="008F56D1">
                        <w:rPr>
                          <w:sz w:val="16"/>
                          <w:szCs w:val="16"/>
                        </w:rPr>
                        <w:t>Is there a forceful, meaningful and formal Government request from the relevant line Ministry(s)—with evidence of support from the Minister and the PS?</w:t>
                      </w:r>
                    </w:p>
                    <w:p w14:paraId="2C3D54B2" w14:textId="77777777" w:rsidR="00DA29A4" w:rsidRPr="008F56D1" w:rsidRDefault="00DA29A4" w:rsidP="007B5E57">
                      <w:pPr>
                        <w:pStyle w:val="ListParagraph"/>
                        <w:numPr>
                          <w:ilvl w:val="0"/>
                          <w:numId w:val="60"/>
                        </w:numPr>
                        <w:rPr>
                          <w:sz w:val="16"/>
                          <w:szCs w:val="16"/>
                        </w:rPr>
                      </w:pPr>
                      <w:r w:rsidRPr="008F56D1">
                        <w:rPr>
                          <w:sz w:val="16"/>
                          <w:szCs w:val="16"/>
                        </w:rPr>
                        <w:t>Is there the same from the Treasury—CS and PS?</w:t>
                      </w:r>
                    </w:p>
                    <w:p w14:paraId="47E6F79F" w14:textId="77777777" w:rsidR="00DA29A4" w:rsidRPr="008F56D1" w:rsidRDefault="00DA29A4" w:rsidP="007B5E57">
                      <w:pPr>
                        <w:pStyle w:val="ListParagraph"/>
                        <w:numPr>
                          <w:ilvl w:val="0"/>
                          <w:numId w:val="64"/>
                        </w:numPr>
                        <w:rPr>
                          <w:sz w:val="16"/>
                          <w:szCs w:val="16"/>
                        </w:rPr>
                      </w:pPr>
                      <w:r w:rsidRPr="008F56D1">
                        <w:rPr>
                          <w:sz w:val="16"/>
                          <w:szCs w:val="16"/>
                        </w:rPr>
                        <w:t>Is the project explicitly identified in key Government planning documents—MTP2?</w:t>
                      </w:r>
                    </w:p>
                    <w:p w14:paraId="02B66921" w14:textId="77777777" w:rsidR="00DA29A4" w:rsidRPr="008F56D1" w:rsidRDefault="00DA29A4" w:rsidP="007B5E57">
                      <w:pPr>
                        <w:pStyle w:val="ListParagraph"/>
                        <w:numPr>
                          <w:ilvl w:val="0"/>
                          <w:numId w:val="60"/>
                        </w:numPr>
                        <w:rPr>
                          <w:sz w:val="16"/>
                          <w:szCs w:val="16"/>
                        </w:rPr>
                      </w:pPr>
                      <w:r w:rsidRPr="008F56D1">
                        <w:rPr>
                          <w:sz w:val="16"/>
                          <w:szCs w:val="16"/>
                        </w:rPr>
                        <w:t>Is there a review (including political economy assessment) of any resistance to the proposal?</w:t>
                      </w:r>
                      <w:r>
                        <w:rPr>
                          <w:sz w:val="16"/>
                          <w:szCs w:val="16"/>
                        </w:rPr>
                        <w:t xml:space="preserve"> </w:t>
                      </w:r>
                    </w:p>
                    <w:p w14:paraId="2AEBCCB7" w14:textId="77777777" w:rsidR="00DA29A4" w:rsidRPr="008F56D1" w:rsidRDefault="00DA29A4" w:rsidP="000B2AE7">
                      <w:pPr>
                        <w:tabs>
                          <w:tab w:val="left" w:pos="450"/>
                        </w:tabs>
                        <w:spacing w:after="0" w:line="0" w:lineRule="atLeast"/>
                        <w:ind w:left="270" w:hanging="270"/>
                        <w:jc w:val="center"/>
                        <w:rPr>
                          <w:sz w:val="16"/>
                          <w:szCs w:val="16"/>
                        </w:rPr>
                      </w:pPr>
                    </w:p>
                  </w:txbxContent>
                </v:textbox>
              </v:shape>
            </w:pict>
          </mc:Fallback>
        </mc:AlternateContent>
      </w:r>
      <w:r w:rsidR="00026F59" w:rsidRPr="00856F4E">
        <w:rPr>
          <w:noProof/>
        </w:rPr>
        <mc:AlternateContent>
          <mc:Choice Requires="wps">
            <w:drawing>
              <wp:anchor distT="0" distB="0" distL="114300" distR="114300" simplePos="0" relativeHeight="251742208" behindDoc="0" locked="0" layoutInCell="1" allowOverlap="1" wp14:anchorId="6883E4A8" wp14:editId="10344ED8">
                <wp:simplePos x="0" y="0"/>
                <wp:positionH relativeFrom="column">
                  <wp:posOffset>3832860</wp:posOffset>
                </wp:positionH>
                <wp:positionV relativeFrom="paragraph">
                  <wp:posOffset>-50165</wp:posOffset>
                </wp:positionV>
                <wp:extent cx="340995" cy="0"/>
                <wp:effectExtent l="0" t="76200" r="20955" b="114300"/>
                <wp:wrapNone/>
                <wp:docPr id="292" name="Straight Arrow Connector 292"/>
                <wp:cNvGraphicFramePr/>
                <a:graphic xmlns:a="http://schemas.openxmlformats.org/drawingml/2006/main">
                  <a:graphicData uri="http://schemas.microsoft.com/office/word/2010/wordprocessingShape">
                    <wps:wsp>
                      <wps:cNvCnPr/>
                      <wps:spPr>
                        <a:xfrm>
                          <a:off x="0" y="0"/>
                          <a:ext cx="3409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B082E" id="Straight Arrow Connector 292" o:spid="_x0000_s1026" type="#_x0000_t32" style="position:absolute;margin-left:301.8pt;margin-top:-3.95pt;width:26.8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" strokecolor="black [3213]">
                <v:stroke endarrow="open"/>
              </v:shape>
            </w:pict>
          </mc:Fallback>
        </mc:AlternateContent>
      </w:r>
      <w:r w:rsidR="00026F59" w:rsidRPr="00856F4E">
        <w:rPr>
          <w:noProof/>
        </w:rPr>
        <mc:AlternateContent>
          <mc:Choice Requires="wps">
            <w:drawing>
              <wp:anchor distT="0" distB="0" distL="114300" distR="114300" simplePos="0" relativeHeight="251728896" behindDoc="0" locked="0" layoutInCell="1" allowOverlap="1" wp14:anchorId="00B53AB6" wp14:editId="35435A4E">
                <wp:simplePos x="0" y="0"/>
                <wp:positionH relativeFrom="column">
                  <wp:posOffset>1682750</wp:posOffset>
                </wp:positionH>
                <wp:positionV relativeFrom="paragraph">
                  <wp:posOffset>-143510</wp:posOffset>
                </wp:positionV>
                <wp:extent cx="2254885" cy="466725"/>
                <wp:effectExtent l="0" t="0" r="0"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466725"/>
                        </a:xfrm>
                        <a:prstGeom prst="rect">
                          <a:avLst/>
                        </a:prstGeom>
                        <a:solidFill>
                          <a:srgbClr val="FFFFFF"/>
                        </a:solidFill>
                        <a:ln w="9525">
                          <a:noFill/>
                          <a:miter lim="800000"/>
                          <a:headEnd/>
                          <a:tailEnd/>
                        </a:ln>
                      </wps:spPr>
                      <wps:txbx>
                        <w:txbxContent>
                          <w:p w14:paraId="2EC87158"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 xml:space="preserve">Critically reviewing our capability </w:t>
                            </w:r>
                          </w:p>
                          <w:p w14:paraId="5AB10CEA"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and comparative advantage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32.5pt;margin-top:-11.3pt;width:177.55pt;height:3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" stroked="f">
                <v:textbox>
                  <w:txbxContent>
                    <w:p w14:paraId="2EC87158"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 xml:space="preserve">Critically reviewing our capability </w:t>
                      </w:r>
                    </w:p>
                    <w:p w14:paraId="5AB10CEA" w14:textId="77777777" w:rsidR="00DA29A4" w:rsidRPr="00FF7661" w:rsidRDefault="00DA29A4" w:rsidP="000B2AE7">
                      <w:pPr>
                        <w:spacing w:after="0" w:line="0" w:lineRule="atLeast"/>
                        <w:jc w:val="center"/>
                        <w:rPr>
                          <w:rFonts w:ascii="Times New Roman" w:hAnsi="Times New Roman" w:cs="Times New Roman"/>
                          <w:b/>
                          <w:i/>
                          <w:sz w:val="20"/>
                        </w:rPr>
                      </w:pPr>
                      <w:proofErr w:type="gramStart"/>
                      <w:r w:rsidRPr="00FF7661">
                        <w:rPr>
                          <w:rFonts w:ascii="Times New Roman" w:hAnsi="Times New Roman" w:cs="Times New Roman"/>
                          <w:b/>
                          <w:i/>
                          <w:sz w:val="20"/>
                        </w:rPr>
                        <w:t>and</w:t>
                      </w:r>
                      <w:proofErr w:type="gramEnd"/>
                      <w:r w:rsidRPr="00FF7661">
                        <w:rPr>
                          <w:rFonts w:ascii="Times New Roman" w:hAnsi="Times New Roman" w:cs="Times New Roman"/>
                          <w:b/>
                          <w:i/>
                          <w:sz w:val="20"/>
                        </w:rPr>
                        <w:t xml:space="preserve"> comparative advantage</w:t>
                      </w:r>
                    </w:p>
                  </w:txbxContent>
                </v:textbox>
              </v:shape>
            </w:pict>
          </mc:Fallback>
        </mc:AlternateContent>
      </w:r>
      <w:r w:rsidR="00026F59" w:rsidRPr="00856F4E">
        <w:rPr>
          <w:noProof/>
        </w:rPr>
        <mc:AlternateContent>
          <mc:Choice Requires="wps">
            <w:drawing>
              <wp:anchor distT="0" distB="0" distL="114300" distR="114300" simplePos="0" relativeHeight="251669503" behindDoc="0" locked="0" layoutInCell="1" allowOverlap="1" wp14:anchorId="32749E7F" wp14:editId="2ADEC021">
                <wp:simplePos x="0" y="0"/>
                <wp:positionH relativeFrom="column">
                  <wp:posOffset>4128770</wp:posOffset>
                </wp:positionH>
                <wp:positionV relativeFrom="paragraph">
                  <wp:posOffset>-161925</wp:posOffset>
                </wp:positionV>
                <wp:extent cx="2419985" cy="1840865"/>
                <wp:effectExtent l="0" t="0" r="0" b="698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840865"/>
                        </a:xfrm>
                        <a:prstGeom prst="rect">
                          <a:avLst/>
                        </a:prstGeom>
                        <a:solidFill>
                          <a:srgbClr val="FFFFFF"/>
                        </a:solidFill>
                        <a:ln w="9525">
                          <a:noFill/>
                          <a:miter lim="800000"/>
                          <a:headEnd/>
                          <a:tailEnd/>
                        </a:ln>
                      </wps:spPr>
                      <wps:txbx>
                        <w:txbxContent>
                          <w:p w14:paraId="6B79DF07" w14:textId="77777777" w:rsidR="00DA29A4" w:rsidRDefault="00DA29A4" w:rsidP="007B5E57">
                            <w:pPr>
                              <w:pStyle w:val="ListParagraph"/>
                              <w:numPr>
                                <w:ilvl w:val="0"/>
                                <w:numId w:val="57"/>
                              </w:numPr>
                              <w:ind w:left="360" w:hanging="270"/>
                              <w:rPr>
                                <w:sz w:val="16"/>
                                <w:szCs w:val="16"/>
                              </w:rPr>
                            </w:pPr>
                            <w:r w:rsidRPr="008F56D1">
                              <w:rPr>
                                <w:sz w:val="16"/>
                                <w:szCs w:val="16"/>
                              </w:rPr>
                              <w:t xml:space="preserve">How many donors or other financiers are involved in this sector and what added value does the Bank bring? </w:t>
                            </w:r>
                          </w:p>
                          <w:p w14:paraId="3D6E064E" w14:textId="77777777" w:rsidR="00DA29A4" w:rsidRPr="008F56D1" w:rsidRDefault="00DA29A4" w:rsidP="007B5E57">
                            <w:pPr>
                              <w:pStyle w:val="ListParagraph"/>
                              <w:numPr>
                                <w:ilvl w:val="0"/>
                                <w:numId w:val="61"/>
                              </w:numPr>
                              <w:ind w:hanging="270"/>
                              <w:rPr>
                                <w:sz w:val="16"/>
                                <w:szCs w:val="16"/>
                              </w:rPr>
                            </w:pPr>
                            <w:r w:rsidRPr="008F56D1">
                              <w:rPr>
                                <w:sz w:val="16"/>
                                <w:szCs w:val="16"/>
                              </w:rPr>
                              <w:t>Does the Bank Group (globally) have an established track record in this area (and how is that demonstrated in IEG and other evidence)?</w:t>
                            </w:r>
                          </w:p>
                          <w:p w14:paraId="40F4B46E" w14:textId="77777777" w:rsidR="00DA29A4" w:rsidRPr="008F56D1" w:rsidRDefault="00DA29A4" w:rsidP="007B5E57">
                            <w:pPr>
                              <w:pStyle w:val="ListParagraph"/>
                              <w:numPr>
                                <w:ilvl w:val="0"/>
                                <w:numId w:val="61"/>
                              </w:numPr>
                              <w:ind w:hanging="270"/>
                              <w:rPr>
                                <w:sz w:val="16"/>
                                <w:szCs w:val="16"/>
                              </w:rPr>
                            </w:pPr>
                            <w:r w:rsidRPr="008F56D1">
                              <w:rPr>
                                <w:sz w:val="16"/>
                                <w:szCs w:val="16"/>
                              </w:rPr>
                              <w:t>Do we have an experienced team and TTL that will be deployed, and have the requisite expertise that might be needed not just in the specialist discipline but also in fiduciary and safeguards?</w:t>
                            </w:r>
                          </w:p>
                          <w:p w14:paraId="06BAAE7D" w14:textId="77777777" w:rsidR="00DA29A4" w:rsidRPr="008F56D1" w:rsidRDefault="00DA29A4" w:rsidP="000B2AE7">
                            <w:pPr>
                              <w:tabs>
                                <w:tab w:val="left" w:pos="450"/>
                              </w:tabs>
                              <w:spacing w:after="0" w:line="0" w:lineRule="atLeast"/>
                              <w:ind w:left="45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25.1pt;margin-top:-12.75pt;width:190.55pt;height:144.9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" stroked="f">
                <v:textbox>
                  <w:txbxContent>
                    <w:p w14:paraId="6B79DF07" w14:textId="77777777" w:rsidR="00DA29A4" w:rsidRDefault="00DA29A4" w:rsidP="007B5E57">
                      <w:pPr>
                        <w:pStyle w:val="ListParagraph"/>
                        <w:numPr>
                          <w:ilvl w:val="0"/>
                          <w:numId w:val="57"/>
                        </w:numPr>
                        <w:ind w:left="360" w:hanging="270"/>
                        <w:rPr>
                          <w:sz w:val="16"/>
                          <w:szCs w:val="16"/>
                        </w:rPr>
                      </w:pPr>
                      <w:r w:rsidRPr="008F56D1">
                        <w:rPr>
                          <w:sz w:val="16"/>
                          <w:szCs w:val="16"/>
                        </w:rPr>
                        <w:t xml:space="preserve">How many donors or other financiers are involved in this sector and what added value does the Bank bring? </w:t>
                      </w:r>
                    </w:p>
                    <w:p w14:paraId="3D6E064E" w14:textId="77777777" w:rsidR="00DA29A4" w:rsidRPr="008F56D1" w:rsidRDefault="00DA29A4" w:rsidP="007B5E57">
                      <w:pPr>
                        <w:pStyle w:val="ListParagraph"/>
                        <w:numPr>
                          <w:ilvl w:val="0"/>
                          <w:numId w:val="61"/>
                        </w:numPr>
                        <w:ind w:hanging="270"/>
                        <w:rPr>
                          <w:sz w:val="16"/>
                          <w:szCs w:val="16"/>
                        </w:rPr>
                      </w:pPr>
                      <w:r w:rsidRPr="008F56D1">
                        <w:rPr>
                          <w:sz w:val="16"/>
                          <w:szCs w:val="16"/>
                        </w:rPr>
                        <w:t>Does the Bank Group (globally) have an established track record in this area (and how is that demonstrated in IEG and other evidence)?</w:t>
                      </w:r>
                    </w:p>
                    <w:p w14:paraId="40F4B46E" w14:textId="77777777" w:rsidR="00DA29A4" w:rsidRPr="008F56D1" w:rsidRDefault="00DA29A4" w:rsidP="007B5E57">
                      <w:pPr>
                        <w:pStyle w:val="ListParagraph"/>
                        <w:numPr>
                          <w:ilvl w:val="0"/>
                          <w:numId w:val="61"/>
                        </w:numPr>
                        <w:ind w:hanging="270"/>
                        <w:rPr>
                          <w:sz w:val="16"/>
                          <w:szCs w:val="16"/>
                        </w:rPr>
                      </w:pPr>
                      <w:r w:rsidRPr="008F56D1">
                        <w:rPr>
                          <w:sz w:val="16"/>
                          <w:szCs w:val="16"/>
                        </w:rPr>
                        <w:t>Do we have an experienced team and TTL that will be deployed, and have the requisite expertise that might be needed not just in the specialist discipline but also in fiduciary and safeguards?</w:t>
                      </w:r>
                    </w:p>
                    <w:p w14:paraId="06BAAE7D" w14:textId="77777777" w:rsidR="00DA29A4" w:rsidRPr="008F56D1" w:rsidRDefault="00DA29A4" w:rsidP="000B2AE7">
                      <w:pPr>
                        <w:tabs>
                          <w:tab w:val="left" w:pos="450"/>
                        </w:tabs>
                        <w:spacing w:after="0" w:line="0" w:lineRule="atLeast"/>
                        <w:ind w:left="450" w:hanging="270"/>
                        <w:jc w:val="center"/>
                        <w:rPr>
                          <w:sz w:val="16"/>
                          <w:szCs w:val="16"/>
                        </w:rPr>
                      </w:pPr>
                    </w:p>
                  </w:txbxContent>
                </v:textbox>
              </v:shape>
            </w:pict>
          </mc:Fallback>
        </mc:AlternateContent>
      </w:r>
      <w:r w:rsidR="00B56C1B" w:rsidRPr="00856F4E">
        <w:rPr>
          <w:noProof/>
        </w:rPr>
        <mc:AlternateContent>
          <mc:Choice Requires="wps">
            <w:drawing>
              <wp:anchor distT="0" distB="0" distL="114300" distR="114300" simplePos="0" relativeHeight="251736064" behindDoc="0" locked="0" layoutInCell="1" allowOverlap="1" wp14:anchorId="463E37B4" wp14:editId="08129AF4">
                <wp:simplePos x="0" y="0"/>
                <wp:positionH relativeFrom="column">
                  <wp:posOffset>972820</wp:posOffset>
                </wp:positionH>
                <wp:positionV relativeFrom="paragraph">
                  <wp:posOffset>-447675</wp:posOffset>
                </wp:positionV>
                <wp:extent cx="3524250" cy="276225"/>
                <wp:effectExtent l="0" t="0" r="0"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6225"/>
                        </a:xfrm>
                        <a:prstGeom prst="rect">
                          <a:avLst/>
                        </a:prstGeom>
                        <a:solidFill>
                          <a:srgbClr val="FFFFFF"/>
                        </a:solidFill>
                        <a:ln w="9525">
                          <a:noFill/>
                          <a:miter lim="800000"/>
                          <a:headEnd/>
                          <a:tailEnd/>
                        </a:ln>
                      </wps:spPr>
                      <wps:txbx>
                        <w:txbxContent>
                          <w:p w14:paraId="0F075258" w14:textId="77777777" w:rsidR="00DA29A4" w:rsidRPr="00B56C1B" w:rsidRDefault="00DA29A4" w:rsidP="007B5E57">
                            <w:pPr>
                              <w:pStyle w:val="ListParagraph"/>
                              <w:numPr>
                                <w:ilvl w:val="0"/>
                                <w:numId w:val="72"/>
                              </w:numPr>
                              <w:spacing w:after="0" w:line="0" w:lineRule="atLeast"/>
                              <w:jc w:val="center"/>
                              <w:rPr>
                                <w:rFonts w:ascii="Times New Roman" w:hAnsi="Times New Roman" w:cs="Times New Roman"/>
                                <w:b/>
                                <w:sz w:val="20"/>
                                <w:u w:val="single"/>
                              </w:rPr>
                            </w:pPr>
                            <w:r w:rsidRPr="00B56C1B">
                              <w:rPr>
                                <w:rFonts w:ascii="Times New Roman" w:hAnsi="Times New Roman" w:cs="Times New Roman"/>
                                <w:b/>
                                <w:sz w:val="20"/>
                                <w:u w:val="single"/>
                              </w:rPr>
                              <w:t xml:space="preserve">AGRICULTURE AND RURAL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76.6pt;margin-top:-35.25pt;width:27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" stroked="f">
                <v:textbox>
                  <w:txbxContent>
                    <w:p w14:paraId="0F075258" w14:textId="77777777" w:rsidR="00DA29A4" w:rsidRPr="00B56C1B" w:rsidRDefault="00DA29A4" w:rsidP="007B5E57">
                      <w:pPr>
                        <w:pStyle w:val="ListParagraph"/>
                        <w:numPr>
                          <w:ilvl w:val="0"/>
                          <w:numId w:val="72"/>
                        </w:numPr>
                        <w:spacing w:after="0" w:line="0" w:lineRule="atLeast"/>
                        <w:jc w:val="center"/>
                        <w:rPr>
                          <w:rFonts w:ascii="Times New Roman" w:hAnsi="Times New Roman" w:cs="Times New Roman"/>
                          <w:b/>
                          <w:sz w:val="20"/>
                          <w:u w:val="single"/>
                        </w:rPr>
                      </w:pPr>
                      <w:r w:rsidRPr="00B56C1B">
                        <w:rPr>
                          <w:rFonts w:ascii="Times New Roman" w:hAnsi="Times New Roman" w:cs="Times New Roman"/>
                          <w:b/>
                          <w:sz w:val="20"/>
                          <w:u w:val="single"/>
                        </w:rPr>
                        <w:t xml:space="preserve">AGRICULTURE AND RURAL DEVELOPMENT </w:t>
                      </w:r>
                    </w:p>
                  </w:txbxContent>
                </v:textbox>
              </v:shape>
            </w:pict>
          </mc:Fallback>
        </mc:AlternateContent>
      </w:r>
      <w:r w:rsidR="000B2AE7" w:rsidRPr="00856F4E">
        <w:rPr>
          <w:noProof/>
        </w:rPr>
        <mc:AlternateContent>
          <mc:Choice Requires="wps">
            <w:drawing>
              <wp:anchor distT="0" distB="0" distL="114300" distR="114300" simplePos="0" relativeHeight="251731968" behindDoc="0" locked="0" layoutInCell="1" allowOverlap="1" wp14:anchorId="09AA01A7" wp14:editId="1CE4CA5F">
                <wp:simplePos x="0" y="0"/>
                <wp:positionH relativeFrom="column">
                  <wp:posOffset>2838323</wp:posOffset>
                </wp:positionH>
                <wp:positionV relativeFrom="paragraph">
                  <wp:posOffset>190500</wp:posOffset>
                </wp:positionV>
                <wp:extent cx="0" cy="2933700"/>
                <wp:effectExtent l="95250" t="38100" r="57150" b="57150"/>
                <wp:wrapNone/>
                <wp:docPr id="289" name="Straight Arrow Connector 289"/>
                <wp:cNvGraphicFramePr/>
                <a:graphic xmlns:a="http://schemas.openxmlformats.org/drawingml/2006/main">
                  <a:graphicData uri="http://schemas.microsoft.com/office/word/2010/wordprocessingShape">
                    <wps:wsp>
                      <wps:cNvCnPr/>
                      <wps:spPr>
                        <a:xfrm flipV="1">
                          <a:off x="0" y="0"/>
                          <a:ext cx="0" cy="29337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A8C8E" id="Straight Arrow Connector 289" o:spid="_x0000_s1026" type="#_x0000_t32" style="position:absolute;margin-left:223.5pt;margin-top:15pt;width:0;height:23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" strokecolor="black [3213]">
                <v:stroke startarrow="open" endarrow="open"/>
              </v:shape>
            </w:pict>
          </mc:Fallback>
        </mc:AlternateContent>
      </w:r>
    </w:p>
    <w:p w14:paraId="468EEB47" w14:textId="692CB80C" w:rsidR="000B2AE7" w:rsidRPr="00856F4E" w:rsidRDefault="000B2AE7" w:rsidP="000B2AE7">
      <w:r w:rsidRPr="00856F4E">
        <w:rPr>
          <w:noProof/>
        </w:rPr>
        <mc:AlternateContent>
          <mc:Choice Requires="wps">
            <w:drawing>
              <wp:anchor distT="0" distB="0" distL="114300" distR="114300" simplePos="0" relativeHeight="251773952" behindDoc="0" locked="0" layoutInCell="1" allowOverlap="1" wp14:anchorId="2A1D33A8" wp14:editId="3D537C1D">
                <wp:simplePos x="0" y="0"/>
                <wp:positionH relativeFrom="column">
                  <wp:posOffset>2852420</wp:posOffset>
                </wp:positionH>
                <wp:positionV relativeFrom="paragraph">
                  <wp:posOffset>1297940</wp:posOffset>
                </wp:positionV>
                <wp:extent cx="1010920" cy="524510"/>
                <wp:effectExtent l="0" t="0" r="17780" b="27940"/>
                <wp:wrapNone/>
                <wp:docPr id="329" name="Straight Connector 329"/>
                <wp:cNvGraphicFramePr/>
                <a:graphic xmlns:a="http://schemas.openxmlformats.org/drawingml/2006/main">
                  <a:graphicData uri="http://schemas.microsoft.com/office/word/2010/wordprocessingShape">
                    <wps:wsp>
                      <wps:cNvCnPr/>
                      <wps:spPr>
                        <a:xfrm flipV="1">
                          <a:off x="0" y="0"/>
                          <a:ext cx="1010920" cy="524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676B02" id="Straight Connector 32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102.2pt" to="30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" strokecolor="black [3213]"/>
            </w:pict>
          </mc:Fallback>
        </mc:AlternateContent>
      </w:r>
      <w:r w:rsidRPr="00856F4E">
        <w:rPr>
          <w:noProof/>
        </w:rPr>
        <mc:AlternateContent>
          <mc:Choice Requires="wps">
            <w:drawing>
              <wp:anchor distT="0" distB="0" distL="114300" distR="114300" simplePos="0" relativeHeight="251772928" behindDoc="0" locked="0" layoutInCell="1" allowOverlap="1" wp14:anchorId="46CD3455" wp14:editId="495D8BE0">
                <wp:simplePos x="0" y="0"/>
                <wp:positionH relativeFrom="column">
                  <wp:posOffset>2840355</wp:posOffset>
                </wp:positionH>
                <wp:positionV relativeFrom="paragraph">
                  <wp:posOffset>688340</wp:posOffset>
                </wp:positionV>
                <wp:extent cx="1048385" cy="609600"/>
                <wp:effectExtent l="0" t="0" r="18415" b="19050"/>
                <wp:wrapNone/>
                <wp:docPr id="328" name="Straight Connector 328"/>
                <wp:cNvGraphicFramePr/>
                <a:graphic xmlns:a="http://schemas.openxmlformats.org/drawingml/2006/main">
                  <a:graphicData uri="http://schemas.microsoft.com/office/word/2010/wordprocessingShape">
                    <wps:wsp>
                      <wps:cNvCnPr/>
                      <wps:spPr>
                        <a:xfrm>
                          <a:off x="0" y="0"/>
                          <a:ext cx="1048385"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C78EAEA" id="Straight Connector 328"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5pt,54.2pt" to="306.2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" strokecolor="black [3213]"/>
            </w:pict>
          </mc:Fallback>
        </mc:AlternateContent>
      </w:r>
      <w:r w:rsidRPr="00856F4E">
        <w:rPr>
          <w:noProof/>
        </w:rPr>
        <mc:AlternateContent>
          <mc:Choice Requires="wps">
            <w:drawing>
              <wp:anchor distT="0" distB="0" distL="114300" distR="114300" simplePos="0" relativeHeight="251796480" behindDoc="0" locked="0" layoutInCell="1" allowOverlap="1" wp14:anchorId="24CBF8E7" wp14:editId="4018784E">
                <wp:simplePos x="0" y="0"/>
                <wp:positionH relativeFrom="column">
                  <wp:posOffset>2834513</wp:posOffset>
                </wp:positionH>
                <wp:positionV relativeFrom="paragraph">
                  <wp:posOffset>6217539</wp:posOffset>
                </wp:positionV>
                <wp:extent cx="266699" cy="255524"/>
                <wp:effectExtent l="0" t="0" r="19685" b="30480"/>
                <wp:wrapNone/>
                <wp:docPr id="356" name="Straight Connector 356"/>
                <wp:cNvGraphicFramePr/>
                <a:graphic xmlns:a="http://schemas.openxmlformats.org/drawingml/2006/main">
                  <a:graphicData uri="http://schemas.microsoft.com/office/word/2010/wordprocessingShape">
                    <wps:wsp>
                      <wps:cNvCnPr/>
                      <wps:spPr>
                        <a:xfrm flipH="1">
                          <a:off x="0" y="0"/>
                          <a:ext cx="266699" cy="2555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BDDB40" id="Straight Connector 356"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489.55pt" to="244.2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" strokecolor="black [3213]"/>
            </w:pict>
          </mc:Fallback>
        </mc:AlternateContent>
      </w:r>
      <w:r w:rsidRPr="00856F4E">
        <w:rPr>
          <w:noProof/>
        </w:rPr>
        <mc:AlternateContent>
          <mc:Choice Requires="wps">
            <w:drawing>
              <wp:anchor distT="0" distB="0" distL="114300" distR="114300" simplePos="0" relativeHeight="251795456" behindDoc="0" locked="0" layoutInCell="1" allowOverlap="1" wp14:anchorId="05CC1FA2" wp14:editId="02E62E6C">
                <wp:simplePos x="0" y="0"/>
                <wp:positionH relativeFrom="column">
                  <wp:posOffset>2572513</wp:posOffset>
                </wp:positionH>
                <wp:positionV relativeFrom="paragraph">
                  <wp:posOffset>5919089</wp:posOffset>
                </wp:positionV>
                <wp:extent cx="266699" cy="255524"/>
                <wp:effectExtent l="0" t="0" r="19685" b="30480"/>
                <wp:wrapNone/>
                <wp:docPr id="355" name="Straight Connector 355"/>
                <wp:cNvGraphicFramePr/>
                <a:graphic xmlns:a="http://schemas.openxmlformats.org/drawingml/2006/main">
                  <a:graphicData uri="http://schemas.microsoft.com/office/word/2010/wordprocessingShape">
                    <wps:wsp>
                      <wps:cNvCnPr/>
                      <wps:spPr>
                        <a:xfrm flipH="1">
                          <a:off x="0" y="0"/>
                          <a:ext cx="266699" cy="2555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257C02" id="Straight Connector 355"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466.05pt" to="223.5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" strokecolor="black [3213]"/>
            </w:pict>
          </mc:Fallback>
        </mc:AlternateContent>
      </w:r>
      <w:r w:rsidRPr="00856F4E">
        <w:rPr>
          <w:noProof/>
        </w:rPr>
        <mc:AlternateContent>
          <mc:Choice Requires="wps">
            <w:drawing>
              <wp:anchor distT="0" distB="0" distL="114300" distR="114300" simplePos="0" relativeHeight="251794432" behindDoc="0" locked="0" layoutInCell="1" allowOverlap="1" wp14:anchorId="538F8AEC" wp14:editId="44D16796">
                <wp:simplePos x="0" y="0"/>
                <wp:positionH relativeFrom="column">
                  <wp:posOffset>2590546</wp:posOffset>
                </wp:positionH>
                <wp:positionV relativeFrom="paragraph">
                  <wp:posOffset>6217412</wp:posOffset>
                </wp:positionV>
                <wp:extent cx="268224" cy="256032"/>
                <wp:effectExtent l="0" t="0" r="17780" b="29845"/>
                <wp:wrapNone/>
                <wp:docPr id="354" name="Straight Connector 354"/>
                <wp:cNvGraphicFramePr/>
                <a:graphic xmlns:a="http://schemas.openxmlformats.org/drawingml/2006/main">
                  <a:graphicData uri="http://schemas.microsoft.com/office/word/2010/wordprocessingShape">
                    <wps:wsp>
                      <wps:cNvCnPr/>
                      <wps:spPr>
                        <a:xfrm>
                          <a:off x="0" y="0"/>
                          <a:ext cx="268224" cy="25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880BA9" id="Straight Connector 35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489.55pt" to="225.1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" strokecolor="black [3213]"/>
            </w:pict>
          </mc:Fallback>
        </mc:AlternateContent>
      </w:r>
      <w:r w:rsidRPr="00856F4E">
        <w:rPr>
          <w:noProof/>
        </w:rPr>
        <mc:AlternateContent>
          <mc:Choice Requires="wps">
            <w:drawing>
              <wp:anchor distT="0" distB="0" distL="114300" distR="114300" simplePos="0" relativeHeight="251793408" behindDoc="0" locked="0" layoutInCell="1" allowOverlap="1" wp14:anchorId="307FCCE5" wp14:editId="31E43A25">
                <wp:simplePos x="0" y="0"/>
                <wp:positionH relativeFrom="column">
                  <wp:posOffset>2852928</wp:posOffset>
                </wp:positionH>
                <wp:positionV relativeFrom="paragraph">
                  <wp:posOffset>5943473</wp:posOffset>
                </wp:positionV>
                <wp:extent cx="268224" cy="256032"/>
                <wp:effectExtent l="0" t="0" r="17780" b="29845"/>
                <wp:wrapNone/>
                <wp:docPr id="353" name="Straight Connector 353"/>
                <wp:cNvGraphicFramePr/>
                <a:graphic xmlns:a="http://schemas.openxmlformats.org/drawingml/2006/main">
                  <a:graphicData uri="http://schemas.microsoft.com/office/word/2010/wordprocessingShape">
                    <wps:wsp>
                      <wps:cNvCnPr/>
                      <wps:spPr>
                        <a:xfrm>
                          <a:off x="0" y="0"/>
                          <a:ext cx="268224" cy="25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DF5C62" id="Straight Connector 35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468pt" to="245.75pt,4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" strokecolor="black [3213]"/>
            </w:pict>
          </mc:Fallback>
        </mc:AlternateContent>
      </w:r>
      <w:r w:rsidRPr="00856F4E">
        <w:rPr>
          <w:noProof/>
        </w:rPr>
        <mc:AlternateContent>
          <mc:Choice Requires="wps">
            <w:drawing>
              <wp:anchor distT="0" distB="0" distL="114300" distR="114300" simplePos="0" relativeHeight="251774976" behindDoc="0" locked="0" layoutInCell="1" allowOverlap="1" wp14:anchorId="1B9765D3" wp14:editId="1A2A14F7">
                <wp:simplePos x="0" y="0"/>
                <wp:positionH relativeFrom="column">
                  <wp:posOffset>2206625</wp:posOffset>
                </wp:positionH>
                <wp:positionV relativeFrom="paragraph">
                  <wp:posOffset>1297940</wp:posOffset>
                </wp:positionV>
                <wp:extent cx="633730" cy="535940"/>
                <wp:effectExtent l="0" t="0" r="33020" b="35560"/>
                <wp:wrapNone/>
                <wp:docPr id="330" name="Straight Connector 330"/>
                <wp:cNvGraphicFramePr/>
                <a:graphic xmlns:a="http://schemas.openxmlformats.org/drawingml/2006/main">
                  <a:graphicData uri="http://schemas.microsoft.com/office/word/2010/wordprocessingShape">
                    <wps:wsp>
                      <wps:cNvCnPr/>
                      <wps:spPr>
                        <a:xfrm>
                          <a:off x="0" y="0"/>
                          <a:ext cx="633730" cy="535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09BA03" id="Straight Connector 33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102.2pt" to="223.6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" strokecolor="black [3213]"/>
            </w:pict>
          </mc:Fallback>
        </mc:AlternateContent>
      </w:r>
      <w:r w:rsidRPr="00856F4E">
        <w:rPr>
          <w:noProof/>
        </w:rPr>
        <mc:AlternateContent>
          <mc:Choice Requires="wps">
            <w:drawing>
              <wp:anchor distT="0" distB="0" distL="114300" distR="114300" simplePos="0" relativeHeight="251791360" behindDoc="0" locked="0" layoutInCell="1" allowOverlap="1" wp14:anchorId="5B72FBE1" wp14:editId="6535D0C3">
                <wp:simplePos x="0" y="0"/>
                <wp:positionH relativeFrom="column">
                  <wp:posOffset>1996313</wp:posOffset>
                </wp:positionH>
                <wp:positionV relativeFrom="paragraph">
                  <wp:posOffset>6117590</wp:posOffset>
                </wp:positionV>
                <wp:extent cx="0" cy="182245"/>
                <wp:effectExtent l="0" t="0" r="19050" b="27305"/>
                <wp:wrapNone/>
                <wp:docPr id="351" name="Straight Connector 351"/>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EB6846" id="Straight Connector 35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pt,481.7pt" to="157.2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92384" behindDoc="0" locked="0" layoutInCell="1" allowOverlap="1" wp14:anchorId="5C96A380" wp14:editId="1A0B5D76">
                <wp:simplePos x="0" y="0"/>
                <wp:positionH relativeFrom="column">
                  <wp:posOffset>1640205</wp:posOffset>
                </wp:positionH>
                <wp:positionV relativeFrom="paragraph">
                  <wp:posOffset>6130798</wp:posOffset>
                </wp:positionV>
                <wp:extent cx="0" cy="182245"/>
                <wp:effectExtent l="0" t="0" r="19050" b="27305"/>
                <wp:wrapNone/>
                <wp:docPr id="352" name="Straight Connector 352"/>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05BD5D" id="Straight Connector 35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482.75pt" to="129.1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90336" behindDoc="0" locked="0" layoutInCell="1" allowOverlap="1" wp14:anchorId="410D4A4A" wp14:editId="35E7CB3B">
                <wp:simplePos x="0" y="0"/>
                <wp:positionH relativeFrom="column">
                  <wp:posOffset>2313305</wp:posOffset>
                </wp:positionH>
                <wp:positionV relativeFrom="paragraph">
                  <wp:posOffset>6117717</wp:posOffset>
                </wp:positionV>
                <wp:extent cx="0" cy="182245"/>
                <wp:effectExtent l="0" t="0" r="19050" b="27305"/>
                <wp:wrapNone/>
                <wp:docPr id="350" name="Straight Connector 350"/>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BD3488" id="Straight Connector 35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5pt,481.7pt" to="182.15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" strokecolor="black [3213]"/>
            </w:pict>
          </mc:Fallback>
        </mc:AlternateContent>
      </w:r>
      <w:r w:rsidRPr="00856F4E">
        <w:rPr>
          <w:noProof/>
        </w:rPr>
        <mc:AlternateContent>
          <mc:Choice Requires="wps">
            <w:drawing>
              <wp:anchor distT="0" distB="0" distL="114300" distR="114300" simplePos="0" relativeHeight="251789312" behindDoc="0" locked="0" layoutInCell="1" allowOverlap="1" wp14:anchorId="186C61D0" wp14:editId="10F13811">
                <wp:simplePos x="0" y="0"/>
                <wp:positionH relativeFrom="column">
                  <wp:posOffset>2568448</wp:posOffset>
                </wp:positionH>
                <wp:positionV relativeFrom="paragraph">
                  <wp:posOffset>6108065</wp:posOffset>
                </wp:positionV>
                <wp:extent cx="0" cy="182245"/>
                <wp:effectExtent l="0" t="0" r="19050" b="27305"/>
                <wp:wrapNone/>
                <wp:docPr id="349" name="Straight Connector 349"/>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609088" id="Straight Connector 34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5pt,480.95pt" to="202.2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&#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88288" behindDoc="0" locked="0" layoutInCell="1" allowOverlap="1" wp14:anchorId="11008CF1" wp14:editId="5D2BA5D5">
                <wp:simplePos x="0" y="0"/>
                <wp:positionH relativeFrom="column">
                  <wp:posOffset>3909695</wp:posOffset>
                </wp:positionH>
                <wp:positionV relativeFrom="paragraph">
                  <wp:posOffset>6107938</wp:posOffset>
                </wp:positionV>
                <wp:extent cx="0" cy="182245"/>
                <wp:effectExtent l="0" t="0" r="19050" b="27305"/>
                <wp:wrapNone/>
                <wp:docPr id="346" name="Straight Connector 346"/>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93DD8E" id="Straight Connector 34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5pt,480.95pt" to="307.8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&#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86240" behindDoc="0" locked="0" layoutInCell="1" allowOverlap="1" wp14:anchorId="6E85C3A1" wp14:editId="1CAEDCDE">
                <wp:simplePos x="0" y="0"/>
                <wp:positionH relativeFrom="column">
                  <wp:posOffset>3399917</wp:posOffset>
                </wp:positionH>
                <wp:positionV relativeFrom="paragraph">
                  <wp:posOffset>6107430</wp:posOffset>
                </wp:positionV>
                <wp:extent cx="0" cy="182245"/>
                <wp:effectExtent l="0" t="0" r="19050" b="27305"/>
                <wp:wrapNone/>
                <wp:docPr id="342" name="Straight Connector 342"/>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9E36B8" id="Straight Connector 34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pt,480.9pt" to="267.7pt,4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&#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87264" behindDoc="0" locked="0" layoutInCell="1" allowOverlap="1" wp14:anchorId="7B5C0158" wp14:editId="13AC7EDD">
                <wp:simplePos x="0" y="0"/>
                <wp:positionH relativeFrom="column">
                  <wp:posOffset>3660775</wp:posOffset>
                </wp:positionH>
                <wp:positionV relativeFrom="paragraph">
                  <wp:posOffset>6107938</wp:posOffset>
                </wp:positionV>
                <wp:extent cx="0" cy="182245"/>
                <wp:effectExtent l="0" t="0" r="19050" b="27305"/>
                <wp:wrapNone/>
                <wp:docPr id="345" name="Straight Connector 345"/>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42722F" id="Straight Connector 34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480.95pt" to="288.2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85216" behindDoc="0" locked="0" layoutInCell="1" allowOverlap="1" wp14:anchorId="5B8B9B5B" wp14:editId="15D3DF4F">
                <wp:simplePos x="0" y="0"/>
                <wp:positionH relativeFrom="column">
                  <wp:posOffset>3126740</wp:posOffset>
                </wp:positionH>
                <wp:positionV relativeFrom="paragraph">
                  <wp:posOffset>6108065</wp:posOffset>
                </wp:positionV>
                <wp:extent cx="0" cy="182245"/>
                <wp:effectExtent l="0" t="0" r="19050" b="27305"/>
                <wp:wrapNone/>
                <wp:docPr id="341" name="Straight Connector 341"/>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7B81F3" id="Straight Connector 34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480.95pt" to="246.2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&#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81120" behindDoc="0" locked="0" layoutInCell="1" allowOverlap="1" wp14:anchorId="7C2A86BA" wp14:editId="067F9425">
                <wp:simplePos x="0" y="0"/>
                <wp:positionH relativeFrom="column">
                  <wp:posOffset>2755392</wp:posOffset>
                </wp:positionH>
                <wp:positionV relativeFrom="paragraph">
                  <wp:posOffset>6772529</wp:posOffset>
                </wp:positionV>
                <wp:extent cx="195834" cy="0"/>
                <wp:effectExtent l="0" t="0" r="13970" b="19050"/>
                <wp:wrapNone/>
                <wp:docPr id="336" name="Straight Connector 336"/>
                <wp:cNvGraphicFramePr/>
                <a:graphic xmlns:a="http://schemas.openxmlformats.org/drawingml/2006/main">
                  <a:graphicData uri="http://schemas.microsoft.com/office/word/2010/wordprocessingShape">
                    <wps:wsp>
                      <wps:cNvCnPr/>
                      <wps:spPr>
                        <a:xfrm>
                          <a:off x="0" y="0"/>
                          <a:ext cx="195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30DEA80" id="Straight Connector 336"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95pt,533.25pt" to="232.3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84192" behindDoc="0" locked="0" layoutInCell="1" allowOverlap="1" wp14:anchorId="67630B9B" wp14:editId="5DC1340A">
                <wp:simplePos x="0" y="0"/>
                <wp:positionH relativeFrom="column">
                  <wp:posOffset>2759075</wp:posOffset>
                </wp:positionH>
                <wp:positionV relativeFrom="paragraph">
                  <wp:posOffset>7094220</wp:posOffset>
                </wp:positionV>
                <wp:extent cx="194310" cy="0"/>
                <wp:effectExtent l="0" t="0" r="15240" b="19050"/>
                <wp:wrapNone/>
                <wp:docPr id="339" name="Straight Connector 339"/>
                <wp:cNvGraphicFramePr/>
                <a:graphic xmlns:a="http://schemas.openxmlformats.org/drawingml/2006/main">
                  <a:graphicData uri="http://schemas.microsoft.com/office/word/2010/wordprocessingShape">
                    <wps:wsp>
                      <wps:cNvCnPr/>
                      <wps:spPr>
                        <a:xfrm>
                          <a:off x="0" y="0"/>
                          <a:ext cx="1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CAEB5DA" id="Straight Connector 339"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25pt,558.6pt" to="232.55pt,5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83168" behindDoc="0" locked="0" layoutInCell="1" allowOverlap="1" wp14:anchorId="57F651B4" wp14:editId="1FA939B7">
                <wp:simplePos x="0" y="0"/>
                <wp:positionH relativeFrom="column">
                  <wp:posOffset>2741041</wp:posOffset>
                </wp:positionH>
                <wp:positionV relativeFrom="paragraph">
                  <wp:posOffset>7378319</wp:posOffset>
                </wp:positionV>
                <wp:extent cx="207010" cy="0"/>
                <wp:effectExtent l="0" t="0" r="21590" b="19050"/>
                <wp:wrapNone/>
                <wp:docPr id="338" name="Straight Connector 338"/>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2389689" id="Straight Connector 338"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85pt,580.95pt" to="232.15pt,5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82144" behindDoc="0" locked="0" layoutInCell="1" allowOverlap="1" wp14:anchorId="3A17D45C" wp14:editId="3F3A8DB6">
                <wp:simplePos x="0" y="0"/>
                <wp:positionH relativeFrom="column">
                  <wp:posOffset>2753360</wp:posOffset>
                </wp:positionH>
                <wp:positionV relativeFrom="paragraph">
                  <wp:posOffset>6490970</wp:posOffset>
                </wp:positionV>
                <wp:extent cx="194310" cy="0"/>
                <wp:effectExtent l="0" t="0" r="15240" b="19050"/>
                <wp:wrapNone/>
                <wp:docPr id="337" name="Straight Connector 337"/>
                <wp:cNvGraphicFramePr/>
                <a:graphic xmlns:a="http://schemas.openxmlformats.org/drawingml/2006/main">
                  <a:graphicData uri="http://schemas.microsoft.com/office/word/2010/wordprocessingShape">
                    <wps:wsp>
                      <wps:cNvCnPr/>
                      <wps:spPr>
                        <a:xfrm>
                          <a:off x="0" y="0"/>
                          <a:ext cx="1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148E9D5" id="Straight Connector 337"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8pt,511.1pt" to="232.1pt,5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79072" behindDoc="0" locked="0" layoutInCell="1" allowOverlap="1" wp14:anchorId="445B531D" wp14:editId="7E904AC2">
                <wp:simplePos x="0" y="0"/>
                <wp:positionH relativeFrom="column">
                  <wp:posOffset>2748280</wp:posOffset>
                </wp:positionH>
                <wp:positionV relativeFrom="paragraph">
                  <wp:posOffset>5372735</wp:posOffset>
                </wp:positionV>
                <wp:extent cx="207010" cy="0"/>
                <wp:effectExtent l="0" t="0" r="21590" b="19050"/>
                <wp:wrapNone/>
                <wp:docPr id="334" name="Straight Connector 334"/>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E81B268" id="Straight Connector 334"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pt,423.05pt" to="232.7pt,4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78048" behindDoc="0" locked="0" layoutInCell="1" allowOverlap="1" wp14:anchorId="009102C5" wp14:editId="5623F0A5">
                <wp:simplePos x="0" y="0"/>
                <wp:positionH relativeFrom="column">
                  <wp:posOffset>2761107</wp:posOffset>
                </wp:positionH>
                <wp:positionV relativeFrom="paragraph">
                  <wp:posOffset>5631815</wp:posOffset>
                </wp:positionV>
                <wp:extent cx="194310" cy="0"/>
                <wp:effectExtent l="0" t="0" r="15240" b="19050"/>
                <wp:wrapNone/>
                <wp:docPr id="333" name="Straight Connector 333"/>
                <wp:cNvGraphicFramePr/>
                <a:graphic xmlns:a="http://schemas.openxmlformats.org/drawingml/2006/main">
                  <a:graphicData uri="http://schemas.microsoft.com/office/word/2010/wordprocessingShape">
                    <wps:wsp>
                      <wps:cNvCnPr/>
                      <wps:spPr>
                        <a:xfrm>
                          <a:off x="0" y="0"/>
                          <a:ext cx="1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3ACC7F4" id="Straight Connector 333"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4pt,443.45pt" to="232.7pt,4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80096" behindDoc="0" locked="0" layoutInCell="1" allowOverlap="1" wp14:anchorId="3BD3C2CF" wp14:editId="45E54E79">
                <wp:simplePos x="0" y="0"/>
                <wp:positionH relativeFrom="column">
                  <wp:posOffset>2755265</wp:posOffset>
                </wp:positionH>
                <wp:positionV relativeFrom="paragraph">
                  <wp:posOffset>5088890</wp:posOffset>
                </wp:positionV>
                <wp:extent cx="194310" cy="0"/>
                <wp:effectExtent l="0" t="0" r="15240" b="19050"/>
                <wp:wrapNone/>
                <wp:docPr id="335" name="Straight Connector 335"/>
                <wp:cNvGraphicFramePr/>
                <a:graphic xmlns:a="http://schemas.openxmlformats.org/drawingml/2006/main">
                  <a:graphicData uri="http://schemas.microsoft.com/office/word/2010/wordprocessingShape">
                    <wps:wsp>
                      <wps:cNvCnPr/>
                      <wps:spPr>
                        <a:xfrm>
                          <a:off x="0" y="0"/>
                          <a:ext cx="1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11B9F81" id="Straight Connector 335"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95pt,400.7pt" to="232.25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77024" behindDoc="0" locked="0" layoutInCell="1" allowOverlap="1" wp14:anchorId="0900588B" wp14:editId="6D518524">
                <wp:simplePos x="0" y="0"/>
                <wp:positionH relativeFrom="column">
                  <wp:posOffset>2742565</wp:posOffset>
                </wp:positionH>
                <wp:positionV relativeFrom="paragraph">
                  <wp:posOffset>5915660</wp:posOffset>
                </wp:positionV>
                <wp:extent cx="207010" cy="0"/>
                <wp:effectExtent l="0" t="0" r="21590" b="19050"/>
                <wp:wrapNone/>
                <wp:docPr id="332" name="Straight Connector 332"/>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A85E48F" id="Straight Connector 332"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95pt,465.8pt" to="232.25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76000" behindDoc="0" locked="0" layoutInCell="1" allowOverlap="1" wp14:anchorId="6B6D9C34" wp14:editId="670E66E8">
                <wp:simplePos x="0" y="0"/>
                <wp:positionH relativeFrom="column">
                  <wp:posOffset>2206752</wp:posOffset>
                </wp:positionH>
                <wp:positionV relativeFrom="paragraph">
                  <wp:posOffset>688721</wp:posOffset>
                </wp:positionV>
                <wp:extent cx="632460" cy="609346"/>
                <wp:effectExtent l="0" t="0" r="34290" b="19685"/>
                <wp:wrapNone/>
                <wp:docPr id="331" name="Straight Connector 331"/>
                <wp:cNvGraphicFramePr/>
                <a:graphic xmlns:a="http://schemas.openxmlformats.org/drawingml/2006/main">
                  <a:graphicData uri="http://schemas.microsoft.com/office/word/2010/wordprocessingShape">
                    <wps:wsp>
                      <wps:cNvCnPr/>
                      <wps:spPr>
                        <a:xfrm flipH="1">
                          <a:off x="0" y="0"/>
                          <a:ext cx="632460" cy="6093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742604" id="Straight Connector 331"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54.25pt" to="223.5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" strokecolor="black [3213]"/>
            </w:pict>
          </mc:Fallback>
        </mc:AlternateContent>
      </w:r>
      <w:r w:rsidRPr="00856F4E">
        <w:rPr>
          <w:noProof/>
        </w:rPr>
        <mc:AlternateContent>
          <mc:Choice Requires="wps">
            <w:drawing>
              <wp:anchor distT="0" distB="0" distL="114300" distR="114300" simplePos="0" relativeHeight="251771904" behindDoc="0" locked="0" layoutInCell="1" allowOverlap="1" wp14:anchorId="2E8EC167" wp14:editId="359E4E35">
                <wp:simplePos x="0" y="0"/>
                <wp:positionH relativeFrom="column">
                  <wp:posOffset>1901825</wp:posOffset>
                </wp:positionH>
                <wp:positionV relativeFrom="paragraph">
                  <wp:posOffset>1212215</wp:posOffset>
                </wp:positionV>
                <wp:extent cx="0" cy="157480"/>
                <wp:effectExtent l="0" t="0" r="19050" b="13970"/>
                <wp:wrapNone/>
                <wp:docPr id="326" name="Straight Connector 326"/>
                <wp:cNvGraphicFramePr/>
                <a:graphic xmlns:a="http://schemas.openxmlformats.org/drawingml/2006/main">
                  <a:graphicData uri="http://schemas.microsoft.com/office/word/2010/wordprocessingShape">
                    <wps:wsp>
                      <wps:cNvCnPr/>
                      <wps:spPr>
                        <a:xfrm>
                          <a:off x="0" y="0"/>
                          <a:ext cx="0" cy="157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712B38" id="Straight Connector 32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95.45pt" to="149.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70880" behindDoc="0" locked="0" layoutInCell="1" allowOverlap="1" wp14:anchorId="152B0D2A" wp14:editId="2FA4C9CB">
                <wp:simplePos x="0" y="0"/>
                <wp:positionH relativeFrom="column">
                  <wp:posOffset>2206625</wp:posOffset>
                </wp:positionH>
                <wp:positionV relativeFrom="paragraph">
                  <wp:posOffset>1199388</wp:posOffset>
                </wp:positionV>
                <wp:extent cx="0" cy="184023"/>
                <wp:effectExtent l="0" t="0" r="19050" b="26035"/>
                <wp:wrapNone/>
                <wp:docPr id="325" name="Straight Connector 325"/>
                <wp:cNvGraphicFramePr/>
                <a:graphic xmlns:a="http://schemas.openxmlformats.org/drawingml/2006/main">
                  <a:graphicData uri="http://schemas.microsoft.com/office/word/2010/wordprocessingShape">
                    <wps:wsp>
                      <wps:cNvCnPr/>
                      <wps:spPr>
                        <a:xfrm>
                          <a:off x="0" y="0"/>
                          <a:ext cx="0" cy="184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B23E74" id="Straight Connector 32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94.45pt" to="173.7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69856" behindDoc="0" locked="0" layoutInCell="1" allowOverlap="1" wp14:anchorId="5FDE39CD" wp14:editId="6B5C4B21">
                <wp:simplePos x="0" y="0"/>
                <wp:positionH relativeFrom="column">
                  <wp:posOffset>2499360</wp:posOffset>
                </wp:positionH>
                <wp:positionV relativeFrom="paragraph">
                  <wp:posOffset>1224915</wp:posOffset>
                </wp:positionV>
                <wp:extent cx="0" cy="157480"/>
                <wp:effectExtent l="0" t="0" r="19050" b="13970"/>
                <wp:wrapNone/>
                <wp:docPr id="324" name="Straight Connector 324"/>
                <wp:cNvGraphicFramePr/>
                <a:graphic xmlns:a="http://schemas.openxmlformats.org/drawingml/2006/main">
                  <a:graphicData uri="http://schemas.microsoft.com/office/word/2010/wordprocessingShape">
                    <wps:wsp>
                      <wps:cNvCnPr/>
                      <wps:spPr>
                        <a:xfrm>
                          <a:off x="0" y="0"/>
                          <a:ext cx="0" cy="157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E2A6B5" id="Straight Connector 32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pt,96.45pt" to="196.8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68832" behindDoc="0" locked="0" layoutInCell="1" allowOverlap="1" wp14:anchorId="4EBB3323" wp14:editId="7EA5B32E">
                <wp:simplePos x="0" y="0"/>
                <wp:positionH relativeFrom="column">
                  <wp:posOffset>1621155</wp:posOffset>
                </wp:positionH>
                <wp:positionV relativeFrom="paragraph">
                  <wp:posOffset>1200785</wp:posOffset>
                </wp:positionV>
                <wp:extent cx="0" cy="182245"/>
                <wp:effectExtent l="0" t="0" r="19050" b="27305"/>
                <wp:wrapNone/>
                <wp:docPr id="323" name="Straight Connector 323"/>
                <wp:cNvGraphicFramePr/>
                <a:graphic xmlns:a="http://schemas.openxmlformats.org/drawingml/2006/main">
                  <a:graphicData uri="http://schemas.microsoft.com/office/word/2010/wordprocessingShape">
                    <wps:wsp>
                      <wps:cNvCnPr/>
                      <wps:spPr>
                        <a:xfrm>
                          <a:off x="0" y="0"/>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9B2CB4" id="Straight Connector 32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5pt,94.55pt" to="127.6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61664" behindDoc="0" locked="0" layoutInCell="1" allowOverlap="1" wp14:anchorId="35D7FA60" wp14:editId="39AD08B8">
                <wp:simplePos x="0" y="0"/>
                <wp:positionH relativeFrom="column">
                  <wp:posOffset>3894963</wp:posOffset>
                </wp:positionH>
                <wp:positionV relativeFrom="paragraph">
                  <wp:posOffset>1221740</wp:posOffset>
                </wp:positionV>
                <wp:extent cx="0" cy="146050"/>
                <wp:effectExtent l="0" t="0" r="19050" b="25400"/>
                <wp:wrapNone/>
                <wp:docPr id="314" name="Straight Connector 314"/>
                <wp:cNvGraphicFramePr/>
                <a:graphic xmlns:a="http://schemas.openxmlformats.org/drawingml/2006/main">
                  <a:graphicData uri="http://schemas.microsoft.com/office/word/2010/wordprocessingShape">
                    <wps:wsp>
                      <wps:cNvCnPr/>
                      <wps:spPr>
                        <a:xfrm>
                          <a:off x="0" y="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4ADA3D" id="Straight Connector 31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96.2pt" to="306.7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60640" behindDoc="0" locked="0" layoutInCell="1" allowOverlap="1" wp14:anchorId="3E345E80" wp14:editId="7A1A1E4D">
                <wp:simplePos x="0" y="0"/>
                <wp:positionH relativeFrom="column">
                  <wp:posOffset>3559048</wp:posOffset>
                </wp:positionH>
                <wp:positionV relativeFrom="paragraph">
                  <wp:posOffset>1228725</wp:posOffset>
                </wp:positionV>
                <wp:extent cx="0" cy="146050"/>
                <wp:effectExtent l="0" t="0" r="19050" b="25400"/>
                <wp:wrapNone/>
                <wp:docPr id="313" name="Straight Connector 313"/>
                <wp:cNvGraphicFramePr/>
                <a:graphic xmlns:a="http://schemas.openxmlformats.org/drawingml/2006/main">
                  <a:graphicData uri="http://schemas.microsoft.com/office/word/2010/wordprocessingShape">
                    <wps:wsp>
                      <wps:cNvCnPr/>
                      <wps:spPr>
                        <a:xfrm>
                          <a:off x="0" y="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442433" id="Straight Connector 31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96.75pt" to="280.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59616" behindDoc="0" locked="0" layoutInCell="1" allowOverlap="1" wp14:anchorId="57096CF4" wp14:editId="1FA5A595">
                <wp:simplePos x="0" y="0"/>
                <wp:positionH relativeFrom="column">
                  <wp:posOffset>3188843</wp:posOffset>
                </wp:positionH>
                <wp:positionV relativeFrom="paragraph">
                  <wp:posOffset>1223010</wp:posOffset>
                </wp:positionV>
                <wp:extent cx="0" cy="146050"/>
                <wp:effectExtent l="0" t="0" r="19050" b="25400"/>
                <wp:wrapNone/>
                <wp:docPr id="312" name="Straight Connector 312"/>
                <wp:cNvGraphicFramePr/>
                <a:graphic xmlns:a="http://schemas.openxmlformats.org/drawingml/2006/main">
                  <a:graphicData uri="http://schemas.microsoft.com/office/word/2010/wordprocessingShape">
                    <wps:wsp>
                      <wps:cNvCnPr/>
                      <wps:spPr>
                        <a:xfrm>
                          <a:off x="0" y="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7474B2" id="Straight Connector 31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96.3pt" to="251.1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pj0AEAAAY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67808" behindDoc="0" locked="0" layoutInCell="1" allowOverlap="1" wp14:anchorId="30CE0FE9" wp14:editId="6C451BC2">
                <wp:simplePos x="0" y="0"/>
                <wp:positionH relativeFrom="column">
                  <wp:posOffset>2743200</wp:posOffset>
                </wp:positionH>
                <wp:positionV relativeFrom="paragraph">
                  <wp:posOffset>139700</wp:posOffset>
                </wp:positionV>
                <wp:extent cx="194310" cy="0"/>
                <wp:effectExtent l="0" t="0" r="15240" b="19050"/>
                <wp:wrapNone/>
                <wp:docPr id="321" name="Straight Connector 321"/>
                <wp:cNvGraphicFramePr/>
                <a:graphic xmlns:a="http://schemas.openxmlformats.org/drawingml/2006/main">
                  <a:graphicData uri="http://schemas.microsoft.com/office/word/2010/wordprocessingShape">
                    <wps:wsp>
                      <wps:cNvCnPr/>
                      <wps:spPr>
                        <a:xfrm>
                          <a:off x="0" y="0"/>
                          <a:ext cx="1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9634EDC" id="Straight Connector 321"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11pt" to="23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&#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30944" behindDoc="0" locked="0" layoutInCell="1" allowOverlap="1" wp14:anchorId="3246D192" wp14:editId="61E29DB0">
                <wp:simplePos x="0" y="0"/>
                <wp:positionH relativeFrom="column">
                  <wp:posOffset>1219200</wp:posOffset>
                </wp:positionH>
                <wp:positionV relativeFrom="paragraph">
                  <wp:posOffset>1297940</wp:posOffset>
                </wp:positionV>
                <wp:extent cx="3358515" cy="0"/>
                <wp:effectExtent l="38100" t="76200" r="13335" b="114300"/>
                <wp:wrapNone/>
                <wp:docPr id="30" name="Straight Arrow Connector 30"/>
                <wp:cNvGraphicFramePr/>
                <a:graphic xmlns:a="http://schemas.openxmlformats.org/drawingml/2006/main">
                  <a:graphicData uri="http://schemas.microsoft.com/office/word/2010/wordprocessingShape">
                    <wps:wsp>
                      <wps:cNvCnPr/>
                      <wps:spPr>
                        <a:xfrm flipH="1">
                          <a:off x="0" y="0"/>
                          <a:ext cx="335851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AE24E" id="Straight Arrow Connector 30" o:spid="_x0000_s1026" type="#_x0000_t32" style="position:absolute;margin-left:96pt;margin-top:102.2pt;width:264.4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" strokecolor="black [3213]">
                <v:stroke startarrow="open" endarrow="open"/>
              </v:shape>
            </w:pict>
          </mc:Fallback>
        </mc:AlternateContent>
      </w:r>
      <w:r w:rsidRPr="00856F4E">
        <w:rPr>
          <w:noProof/>
        </w:rPr>
        <mc:AlternateContent>
          <mc:Choice Requires="wps">
            <w:drawing>
              <wp:anchor distT="0" distB="0" distL="114300" distR="114300" simplePos="0" relativeHeight="251765760" behindDoc="0" locked="0" layoutInCell="1" allowOverlap="1" wp14:anchorId="4DC845FF" wp14:editId="17323868">
                <wp:simplePos x="0" y="0"/>
                <wp:positionH relativeFrom="column">
                  <wp:posOffset>2741168</wp:posOffset>
                </wp:positionH>
                <wp:positionV relativeFrom="paragraph">
                  <wp:posOffset>2138045</wp:posOffset>
                </wp:positionV>
                <wp:extent cx="207010" cy="0"/>
                <wp:effectExtent l="0" t="0" r="21590" b="19050"/>
                <wp:wrapNone/>
                <wp:docPr id="319" name="Straight Connector 319"/>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F724AA" id="Straight Connector 31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168.35pt" to="232.1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66784" behindDoc="0" locked="0" layoutInCell="1" allowOverlap="1" wp14:anchorId="7CAAAF6A" wp14:editId="3B187A35">
                <wp:simplePos x="0" y="0"/>
                <wp:positionH relativeFrom="column">
                  <wp:posOffset>2747772</wp:posOffset>
                </wp:positionH>
                <wp:positionV relativeFrom="paragraph">
                  <wp:posOffset>2473325</wp:posOffset>
                </wp:positionV>
                <wp:extent cx="207010" cy="0"/>
                <wp:effectExtent l="0" t="0" r="21590" b="19050"/>
                <wp:wrapNone/>
                <wp:docPr id="320" name="Straight Connector 320"/>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7E5B90" id="Straight Connector 32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5pt,194.75pt" to="232.6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64736" behindDoc="0" locked="0" layoutInCell="1" allowOverlap="1" wp14:anchorId="3515111B" wp14:editId="043E0816">
                <wp:simplePos x="0" y="0"/>
                <wp:positionH relativeFrom="column">
                  <wp:posOffset>2748661</wp:posOffset>
                </wp:positionH>
                <wp:positionV relativeFrom="paragraph">
                  <wp:posOffset>1840611</wp:posOffset>
                </wp:positionV>
                <wp:extent cx="207010" cy="0"/>
                <wp:effectExtent l="0" t="0" r="21590" b="19050"/>
                <wp:wrapNone/>
                <wp:docPr id="318" name="Straight Connector 318"/>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197442" id="Straight Connector 31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144.95pt" to="232.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63712" behindDoc="0" locked="0" layoutInCell="1" allowOverlap="1" wp14:anchorId="5AC8EE36" wp14:editId="69676CA0">
                <wp:simplePos x="0" y="0"/>
                <wp:positionH relativeFrom="column">
                  <wp:posOffset>2742819</wp:posOffset>
                </wp:positionH>
                <wp:positionV relativeFrom="paragraph">
                  <wp:posOffset>1529715</wp:posOffset>
                </wp:positionV>
                <wp:extent cx="207010" cy="0"/>
                <wp:effectExtent l="0" t="0" r="21590" b="19050"/>
                <wp:wrapNone/>
                <wp:docPr id="317" name="Straight Connector 317"/>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07F566" id="Straight Connector 31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5pt,120.45pt" to="232.2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" strokecolor="black [3213]"/>
            </w:pict>
          </mc:Fallback>
        </mc:AlternateContent>
      </w:r>
      <w:r w:rsidRPr="00856F4E">
        <w:rPr>
          <w:noProof/>
        </w:rPr>
        <mc:AlternateContent>
          <mc:Choice Requires="wps">
            <w:drawing>
              <wp:anchor distT="0" distB="0" distL="114300" distR="114300" simplePos="0" relativeHeight="251762688" behindDoc="0" locked="0" layoutInCell="1" allowOverlap="1" wp14:anchorId="3FBF1C41" wp14:editId="21ABB332">
                <wp:simplePos x="0" y="0"/>
                <wp:positionH relativeFrom="column">
                  <wp:posOffset>4230497</wp:posOffset>
                </wp:positionH>
                <wp:positionV relativeFrom="paragraph">
                  <wp:posOffset>1228090</wp:posOffset>
                </wp:positionV>
                <wp:extent cx="0" cy="146050"/>
                <wp:effectExtent l="0" t="0" r="19050" b="25400"/>
                <wp:wrapNone/>
                <wp:docPr id="315" name="Straight Connector 315"/>
                <wp:cNvGraphicFramePr/>
                <a:graphic xmlns:a="http://schemas.openxmlformats.org/drawingml/2006/main">
                  <a:graphicData uri="http://schemas.microsoft.com/office/word/2010/wordprocessingShape">
                    <wps:wsp>
                      <wps:cNvCnPr/>
                      <wps:spPr>
                        <a:xfrm>
                          <a:off x="0" y="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D3D712" id="Straight Connector 31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pt,96.7pt" to="333.1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" strokecolor="black [3213]"/>
            </w:pict>
          </mc:Fallback>
        </mc:AlternateContent>
      </w:r>
      <w:r w:rsidRPr="00856F4E">
        <w:rPr>
          <w:noProof/>
        </w:rPr>
        <mc:AlternateContent>
          <mc:Choice Requires="wps">
            <w:drawing>
              <wp:anchor distT="0" distB="0" distL="114300" distR="114300" simplePos="0" relativeHeight="251756544" behindDoc="0" locked="0" layoutInCell="1" allowOverlap="1" wp14:anchorId="530646E0" wp14:editId="32D9E4AE">
                <wp:simplePos x="0" y="0"/>
                <wp:positionH relativeFrom="column">
                  <wp:posOffset>2743200</wp:posOffset>
                </wp:positionH>
                <wp:positionV relativeFrom="paragraph">
                  <wp:posOffset>687197</wp:posOffset>
                </wp:positionV>
                <wp:extent cx="207010" cy="0"/>
                <wp:effectExtent l="0" t="0" r="21590" b="19050"/>
                <wp:wrapNone/>
                <wp:docPr id="306" name="Straight Connector 306"/>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52764DE" id="Straight Connector 306"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54.1pt" to="232.3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0zgEAAAYEAAAOAAAAZHJzL2Uyb0RvYy54bWysU8GO0zAQvSPxD5bvNGmRFh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" strokecolor="black [3213]"/>
            </w:pict>
          </mc:Fallback>
        </mc:AlternateContent>
      </w:r>
      <w:r w:rsidRPr="00856F4E">
        <w:rPr>
          <w:noProof/>
        </w:rPr>
        <mc:AlternateContent>
          <mc:Choice Requires="wps">
            <w:drawing>
              <wp:anchor distT="0" distB="0" distL="114300" distR="114300" simplePos="0" relativeHeight="251758592" behindDoc="0" locked="0" layoutInCell="1" allowOverlap="1" wp14:anchorId="6C26B0DD" wp14:editId="235BFD55">
                <wp:simplePos x="0" y="0"/>
                <wp:positionH relativeFrom="column">
                  <wp:posOffset>2748915</wp:posOffset>
                </wp:positionH>
                <wp:positionV relativeFrom="paragraph">
                  <wp:posOffset>423672</wp:posOffset>
                </wp:positionV>
                <wp:extent cx="207010" cy="0"/>
                <wp:effectExtent l="0" t="0" r="21590" b="19050"/>
                <wp:wrapNone/>
                <wp:docPr id="311" name="Straight Connector 311"/>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54B593B" id="Straight Connector 3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5pt,33.35pt" to="232.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" strokecolor="black [3213]"/>
            </w:pict>
          </mc:Fallback>
        </mc:AlternateContent>
      </w:r>
      <w:r w:rsidRPr="00856F4E">
        <w:rPr>
          <w:noProof/>
        </w:rPr>
        <mc:AlternateContent>
          <mc:Choice Requires="wps">
            <w:drawing>
              <wp:anchor distT="0" distB="0" distL="114300" distR="114300" simplePos="0" relativeHeight="251757568" behindDoc="0" locked="0" layoutInCell="1" allowOverlap="1" wp14:anchorId="1B1260DA" wp14:editId="2B1A3CCD">
                <wp:simplePos x="0" y="0"/>
                <wp:positionH relativeFrom="column">
                  <wp:posOffset>2737104</wp:posOffset>
                </wp:positionH>
                <wp:positionV relativeFrom="paragraph">
                  <wp:posOffset>998601</wp:posOffset>
                </wp:positionV>
                <wp:extent cx="207264" cy="0"/>
                <wp:effectExtent l="0" t="0" r="21590" b="19050"/>
                <wp:wrapNone/>
                <wp:docPr id="309" name="Straight Connector 309"/>
                <wp:cNvGraphicFramePr/>
                <a:graphic xmlns:a="http://schemas.openxmlformats.org/drawingml/2006/main">
                  <a:graphicData uri="http://schemas.microsoft.com/office/word/2010/wordprocessingShape">
                    <wps:wsp>
                      <wps:cNvCnPr/>
                      <wps:spPr>
                        <a:xfrm>
                          <a:off x="0" y="0"/>
                          <a:ext cx="207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6098072" id="Straight Connector 309"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5pt,78.65pt" to="231.8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" strokecolor="black [3213]"/>
            </w:pict>
          </mc:Fallback>
        </mc:AlternateContent>
      </w:r>
      <w:r w:rsidRPr="00856F4E">
        <w:rPr>
          <w:noProof/>
        </w:rPr>
        <mc:AlternateContent>
          <mc:Choice Requires="wps">
            <w:drawing>
              <wp:anchor distT="0" distB="0" distL="114300" distR="114300" simplePos="0" relativeHeight="251753472" behindDoc="0" locked="0" layoutInCell="1" allowOverlap="1" wp14:anchorId="4D1216C6" wp14:editId="4E7EA745">
                <wp:simplePos x="0" y="0"/>
                <wp:positionH relativeFrom="column">
                  <wp:posOffset>3863975</wp:posOffset>
                </wp:positionH>
                <wp:positionV relativeFrom="paragraph">
                  <wp:posOffset>4558030</wp:posOffset>
                </wp:positionV>
                <wp:extent cx="340995" cy="0"/>
                <wp:effectExtent l="0" t="76200" r="20955" b="114300"/>
                <wp:wrapNone/>
                <wp:docPr id="302" name="Straight Arrow Connector 302"/>
                <wp:cNvGraphicFramePr/>
                <a:graphic xmlns:a="http://schemas.openxmlformats.org/drawingml/2006/main">
                  <a:graphicData uri="http://schemas.microsoft.com/office/word/2010/wordprocessingShape">
                    <wps:wsp>
                      <wps:cNvCnPr/>
                      <wps:spPr>
                        <a:xfrm>
                          <a:off x="0" y="0"/>
                          <a:ext cx="3409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93249" id="Straight Arrow Connector 302" o:spid="_x0000_s1026" type="#_x0000_t32" style="position:absolute;margin-left:304.25pt;margin-top:358.9pt;width:26.8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" strokecolor="black [3213]">
                <v:stroke endarrow="open"/>
              </v:shape>
            </w:pict>
          </mc:Fallback>
        </mc:AlternateContent>
      </w:r>
      <w:r w:rsidRPr="00856F4E">
        <w:rPr>
          <w:noProof/>
        </w:rPr>
        <mc:AlternateContent>
          <mc:Choice Requires="wps">
            <w:drawing>
              <wp:anchor distT="0" distB="0" distL="114300" distR="114300" simplePos="0" relativeHeight="251746304" behindDoc="0" locked="0" layoutInCell="1" allowOverlap="1" wp14:anchorId="32FF523C" wp14:editId="7E3E2255">
                <wp:simplePos x="0" y="0"/>
                <wp:positionH relativeFrom="column">
                  <wp:posOffset>1684655</wp:posOffset>
                </wp:positionH>
                <wp:positionV relativeFrom="paragraph">
                  <wp:posOffset>7823708</wp:posOffset>
                </wp:positionV>
                <wp:extent cx="2200275" cy="257175"/>
                <wp:effectExtent l="0" t="0" r="9525"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3C6E776A" w14:textId="77777777" w:rsidR="00DA29A4" w:rsidRPr="00FF7661" w:rsidRDefault="00DA29A4" w:rsidP="000B2AE7">
                            <w:pPr>
                              <w:jc w:val="center"/>
                              <w:rPr>
                                <w:rFonts w:ascii="Times New Roman" w:hAnsi="Times New Roman" w:cs="Times New Roman"/>
                                <w:b/>
                                <w:i/>
                                <w:sz w:val="20"/>
                              </w:rPr>
                            </w:pPr>
                            <w:r w:rsidRPr="00FF7661">
                              <w:rPr>
                                <w:rFonts w:ascii="Times New Roman" w:hAnsi="Times New Roman" w:cs="Times New Roman"/>
                                <w:b/>
                                <w:i/>
                                <w:sz w:val="20"/>
                              </w:rPr>
                              <w:t>Calibrating client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32.65pt;margin-top:616.05pt;width:173.2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" stroked="f">
                <v:textbox>
                  <w:txbxContent>
                    <w:p w14:paraId="3C6E776A" w14:textId="77777777" w:rsidR="00DA29A4" w:rsidRPr="00FF7661" w:rsidRDefault="00DA29A4" w:rsidP="000B2AE7">
                      <w:pPr>
                        <w:jc w:val="center"/>
                        <w:rPr>
                          <w:rFonts w:ascii="Times New Roman" w:hAnsi="Times New Roman" w:cs="Times New Roman"/>
                          <w:b/>
                          <w:i/>
                          <w:sz w:val="20"/>
                        </w:rPr>
                      </w:pPr>
                      <w:r w:rsidRPr="00FF7661">
                        <w:rPr>
                          <w:rFonts w:ascii="Times New Roman" w:hAnsi="Times New Roman" w:cs="Times New Roman"/>
                          <w:b/>
                          <w:i/>
                          <w:sz w:val="20"/>
                        </w:rPr>
                        <w:t>Calibrating client capacity</w:t>
                      </w:r>
                    </w:p>
                  </w:txbxContent>
                </v:textbox>
              </v:shape>
            </w:pict>
          </mc:Fallback>
        </mc:AlternateContent>
      </w:r>
      <w:r w:rsidRPr="00856F4E">
        <w:rPr>
          <w:noProof/>
        </w:rPr>
        <mc:AlternateContent>
          <mc:Choice Requires="wps">
            <w:drawing>
              <wp:anchor distT="0" distB="0" distL="114300" distR="114300" simplePos="0" relativeHeight="251725824" behindDoc="0" locked="0" layoutInCell="1" allowOverlap="1" wp14:anchorId="25639819" wp14:editId="01288C62">
                <wp:simplePos x="0" y="0"/>
                <wp:positionH relativeFrom="column">
                  <wp:posOffset>-660654</wp:posOffset>
                </wp:positionH>
                <wp:positionV relativeFrom="paragraph">
                  <wp:posOffset>6057265</wp:posOffset>
                </wp:positionV>
                <wp:extent cx="2200275" cy="25717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2F1F7650"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Cementing client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2pt;margin-top:476.95pt;width:173.2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" stroked="f">
                <v:textbox>
                  <w:txbxContent>
                    <w:p w14:paraId="2F1F7650"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Cementing client ownership</w:t>
                      </w:r>
                    </w:p>
                  </w:txbxContent>
                </v:textbox>
              </v:shape>
            </w:pict>
          </mc:Fallback>
        </mc:AlternateContent>
      </w:r>
      <w:r w:rsidRPr="00856F4E">
        <w:rPr>
          <w:noProof/>
        </w:rPr>
        <mc:AlternateContent>
          <mc:Choice Requires="wps">
            <w:drawing>
              <wp:anchor distT="0" distB="0" distL="114300" distR="114300" simplePos="0" relativeHeight="251739136" behindDoc="0" locked="0" layoutInCell="1" allowOverlap="1" wp14:anchorId="2FFB4D60" wp14:editId="1CBA3D2A">
                <wp:simplePos x="0" y="0"/>
                <wp:positionH relativeFrom="column">
                  <wp:posOffset>979805</wp:posOffset>
                </wp:positionH>
                <wp:positionV relativeFrom="paragraph">
                  <wp:posOffset>4304665</wp:posOffset>
                </wp:positionV>
                <wp:extent cx="3524250" cy="466725"/>
                <wp:effectExtent l="0" t="0" r="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66725"/>
                        </a:xfrm>
                        <a:prstGeom prst="rect">
                          <a:avLst/>
                        </a:prstGeom>
                        <a:solidFill>
                          <a:srgbClr val="FFFFFF"/>
                        </a:solidFill>
                        <a:ln w="9525">
                          <a:noFill/>
                          <a:miter lim="800000"/>
                          <a:headEnd/>
                          <a:tailEnd/>
                        </a:ln>
                      </wps:spPr>
                      <wps:txbx>
                        <w:txbxContent>
                          <w:p w14:paraId="654C84CA"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 xml:space="preserve">Critically reviewing our capability </w:t>
                            </w:r>
                          </w:p>
                          <w:p w14:paraId="438F1DC9"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and comparative advantage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7.15pt;margin-top:338.95pt;width:277.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" stroked="f">
                <v:textbox>
                  <w:txbxContent>
                    <w:p w14:paraId="654C84CA" w14:textId="77777777" w:rsidR="00DA29A4" w:rsidRPr="00FF7661" w:rsidRDefault="00DA29A4" w:rsidP="000B2AE7">
                      <w:pPr>
                        <w:spacing w:after="0" w:line="0" w:lineRule="atLeast"/>
                        <w:jc w:val="center"/>
                        <w:rPr>
                          <w:rFonts w:ascii="Times New Roman" w:hAnsi="Times New Roman" w:cs="Times New Roman"/>
                          <w:b/>
                          <w:i/>
                          <w:sz w:val="20"/>
                        </w:rPr>
                      </w:pPr>
                      <w:r w:rsidRPr="00FF7661">
                        <w:rPr>
                          <w:rFonts w:ascii="Times New Roman" w:hAnsi="Times New Roman" w:cs="Times New Roman"/>
                          <w:b/>
                          <w:i/>
                          <w:sz w:val="20"/>
                        </w:rPr>
                        <w:t xml:space="preserve">Critically reviewing our capability </w:t>
                      </w:r>
                    </w:p>
                    <w:p w14:paraId="438F1DC9" w14:textId="77777777" w:rsidR="00DA29A4" w:rsidRPr="00FF7661" w:rsidRDefault="00DA29A4" w:rsidP="000B2AE7">
                      <w:pPr>
                        <w:spacing w:after="0" w:line="0" w:lineRule="atLeast"/>
                        <w:jc w:val="center"/>
                        <w:rPr>
                          <w:rFonts w:ascii="Times New Roman" w:hAnsi="Times New Roman" w:cs="Times New Roman"/>
                          <w:b/>
                          <w:i/>
                          <w:sz w:val="20"/>
                        </w:rPr>
                      </w:pPr>
                      <w:proofErr w:type="gramStart"/>
                      <w:r w:rsidRPr="00FF7661">
                        <w:rPr>
                          <w:rFonts w:ascii="Times New Roman" w:hAnsi="Times New Roman" w:cs="Times New Roman"/>
                          <w:b/>
                          <w:i/>
                          <w:sz w:val="20"/>
                        </w:rPr>
                        <w:t>and</w:t>
                      </w:r>
                      <w:proofErr w:type="gramEnd"/>
                      <w:r w:rsidRPr="00FF7661">
                        <w:rPr>
                          <w:rFonts w:ascii="Times New Roman" w:hAnsi="Times New Roman" w:cs="Times New Roman"/>
                          <w:b/>
                          <w:i/>
                          <w:sz w:val="20"/>
                        </w:rPr>
                        <w:t xml:space="preserve"> comparative advantage</w:t>
                      </w:r>
                    </w:p>
                  </w:txbxContent>
                </v:textbox>
              </v:shape>
            </w:pict>
          </mc:Fallback>
        </mc:AlternateContent>
      </w:r>
      <w:r w:rsidRPr="00856F4E">
        <w:rPr>
          <w:noProof/>
        </w:rPr>
        <mc:AlternateContent>
          <mc:Choice Requires="wps">
            <w:drawing>
              <wp:anchor distT="0" distB="0" distL="114300" distR="114300" simplePos="0" relativeHeight="251744256" behindDoc="0" locked="0" layoutInCell="1" allowOverlap="1" wp14:anchorId="23C79A0E" wp14:editId="4254E5C2">
                <wp:simplePos x="0" y="0"/>
                <wp:positionH relativeFrom="column">
                  <wp:posOffset>2844165</wp:posOffset>
                </wp:positionH>
                <wp:positionV relativeFrom="paragraph">
                  <wp:posOffset>4774565</wp:posOffset>
                </wp:positionV>
                <wp:extent cx="0" cy="2933700"/>
                <wp:effectExtent l="95250" t="38100" r="57150" b="57150"/>
                <wp:wrapNone/>
                <wp:docPr id="301" name="Straight Arrow Connector 301"/>
                <wp:cNvGraphicFramePr/>
                <a:graphic xmlns:a="http://schemas.openxmlformats.org/drawingml/2006/main">
                  <a:graphicData uri="http://schemas.microsoft.com/office/word/2010/wordprocessingShape">
                    <wps:wsp>
                      <wps:cNvCnPr/>
                      <wps:spPr>
                        <a:xfrm flipV="1">
                          <a:off x="0" y="0"/>
                          <a:ext cx="0" cy="29337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585C19" id="Straight Arrow Connector 301" o:spid="_x0000_s1026" type="#_x0000_t32" style="position:absolute;margin-left:223.95pt;margin-top:375.95pt;width:0;height:23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" strokecolor="black [3213]">
                <v:stroke startarrow="open" endarrow="open"/>
              </v:shape>
            </w:pict>
          </mc:Fallback>
        </mc:AlternateContent>
      </w:r>
      <w:r w:rsidRPr="00856F4E">
        <w:rPr>
          <w:noProof/>
        </w:rPr>
        <mc:AlternateContent>
          <mc:Choice Requires="wps">
            <w:drawing>
              <wp:anchor distT="0" distB="0" distL="114300" distR="114300" simplePos="0" relativeHeight="251729920" behindDoc="0" locked="0" layoutInCell="1" allowOverlap="1" wp14:anchorId="3D8FB6F5" wp14:editId="748007F4">
                <wp:simplePos x="0" y="0"/>
                <wp:positionH relativeFrom="column">
                  <wp:posOffset>1663065</wp:posOffset>
                </wp:positionH>
                <wp:positionV relativeFrom="paragraph">
                  <wp:posOffset>2956560</wp:posOffset>
                </wp:positionV>
                <wp:extent cx="2200275" cy="257175"/>
                <wp:effectExtent l="0" t="0" r="9525"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33AB0C36" w14:textId="77777777" w:rsidR="00DA29A4" w:rsidRPr="00FF7661" w:rsidRDefault="00DA29A4" w:rsidP="000B2AE7">
                            <w:pPr>
                              <w:jc w:val="center"/>
                              <w:rPr>
                                <w:rFonts w:ascii="Times New Roman" w:hAnsi="Times New Roman" w:cs="Times New Roman"/>
                                <w:b/>
                                <w:i/>
                                <w:sz w:val="20"/>
                              </w:rPr>
                            </w:pPr>
                            <w:r w:rsidRPr="00FF7661">
                              <w:rPr>
                                <w:rFonts w:ascii="Times New Roman" w:hAnsi="Times New Roman" w:cs="Times New Roman"/>
                                <w:b/>
                                <w:i/>
                                <w:sz w:val="20"/>
                              </w:rPr>
                              <w:t>Calibrating client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30.95pt;margin-top:232.8pt;width:173.2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" stroked="f">
                <v:textbox>
                  <w:txbxContent>
                    <w:p w14:paraId="33AB0C36" w14:textId="77777777" w:rsidR="00DA29A4" w:rsidRPr="00FF7661" w:rsidRDefault="00DA29A4" w:rsidP="000B2AE7">
                      <w:pPr>
                        <w:jc w:val="center"/>
                        <w:rPr>
                          <w:rFonts w:ascii="Times New Roman" w:hAnsi="Times New Roman" w:cs="Times New Roman"/>
                          <w:b/>
                          <w:i/>
                          <w:sz w:val="20"/>
                        </w:rPr>
                      </w:pPr>
                      <w:r w:rsidRPr="00FF7661">
                        <w:rPr>
                          <w:rFonts w:ascii="Times New Roman" w:hAnsi="Times New Roman" w:cs="Times New Roman"/>
                          <w:b/>
                          <w:i/>
                          <w:sz w:val="20"/>
                        </w:rPr>
                        <w:t>Calibrating client capacity</w:t>
                      </w:r>
                    </w:p>
                  </w:txbxContent>
                </v:textbox>
              </v:shape>
            </w:pict>
          </mc:Fallback>
        </mc:AlternateContent>
      </w:r>
      <w:r w:rsidRPr="00856F4E">
        <w:rPr>
          <w:noProof/>
        </w:rPr>
        <mc:AlternateContent>
          <mc:Choice Requires="wps">
            <w:drawing>
              <wp:anchor distT="0" distB="0" distL="114300" distR="114300" simplePos="0" relativeHeight="251727872" behindDoc="0" locked="0" layoutInCell="1" allowOverlap="1" wp14:anchorId="11F5F84E" wp14:editId="24438EC5">
                <wp:simplePos x="0" y="0"/>
                <wp:positionH relativeFrom="column">
                  <wp:posOffset>4591050</wp:posOffset>
                </wp:positionH>
                <wp:positionV relativeFrom="paragraph">
                  <wp:posOffset>1172210</wp:posOffset>
                </wp:positionV>
                <wp:extent cx="2200275" cy="257175"/>
                <wp:effectExtent l="0" t="0" r="9525" b="95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5B158E43"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Confirming a credible line of 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61.5pt;margin-top:92.3pt;width:173.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" stroked="f">
                <v:textbox>
                  <w:txbxContent>
                    <w:p w14:paraId="5B158E43"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Confirming a credible line of sight</w:t>
                      </w:r>
                    </w:p>
                  </w:txbxContent>
                </v:textbox>
              </v:shape>
            </w:pict>
          </mc:Fallback>
        </mc:AlternateContent>
      </w:r>
    </w:p>
    <w:p w14:paraId="73E4CE2B" w14:textId="77777777" w:rsidR="000B2AE7" w:rsidRPr="00856F4E" w:rsidRDefault="000B2AE7" w:rsidP="000B2AE7"/>
    <w:p w14:paraId="2BC63D7C" w14:textId="77777777" w:rsidR="000B2AE7" w:rsidRPr="00856F4E" w:rsidRDefault="000B2AE7" w:rsidP="000B2AE7">
      <w:pPr>
        <w:pStyle w:val="ListParagraph"/>
        <w:ind w:left="0"/>
        <w:contextualSpacing w:val="0"/>
        <w:jc w:val="both"/>
        <w:rPr>
          <w:b/>
        </w:rPr>
      </w:pPr>
    </w:p>
    <w:p w14:paraId="6F318D3E" w14:textId="5ECC0491" w:rsidR="000B2AE7" w:rsidRDefault="001D55FA" w:rsidP="000B2AE7">
      <w:r w:rsidRPr="00856F4E">
        <w:rPr>
          <w:noProof/>
        </w:rPr>
        <mc:AlternateContent>
          <mc:Choice Requires="wps">
            <w:drawing>
              <wp:anchor distT="0" distB="0" distL="114300" distR="114300" simplePos="0" relativeHeight="251748352" behindDoc="0" locked="0" layoutInCell="1" allowOverlap="1" wp14:anchorId="13F6FFE5" wp14:editId="252CBAB3">
                <wp:simplePos x="0" y="0"/>
                <wp:positionH relativeFrom="column">
                  <wp:posOffset>3886200</wp:posOffset>
                </wp:positionH>
                <wp:positionV relativeFrom="paragraph">
                  <wp:posOffset>5525135</wp:posOffset>
                </wp:positionV>
                <wp:extent cx="2590800" cy="208597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85975"/>
                        </a:xfrm>
                        <a:prstGeom prst="rect">
                          <a:avLst/>
                        </a:prstGeom>
                        <a:solidFill>
                          <a:srgbClr val="FFFFFF"/>
                        </a:solidFill>
                        <a:ln w="9525">
                          <a:noFill/>
                          <a:miter lim="800000"/>
                          <a:headEnd/>
                          <a:tailEnd/>
                        </a:ln>
                      </wps:spPr>
                      <wps:txbx>
                        <w:txbxContent>
                          <w:p w14:paraId="7BD8AED5"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Does the investment directly target the poor (which in Kenya’s case cover the bottom 40 percent) and can this be measured?</w:t>
                            </w:r>
                          </w:p>
                          <w:p w14:paraId="42B80AE1" w14:textId="77777777" w:rsidR="00DA29A4" w:rsidRPr="008F56D1" w:rsidRDefault="00DA29A4" w:rsidP="007B5E57">
                            <w:pPr>
                              <w:pStyle w:val="ListParagraph"/>
                              <w:numPr>
                                <w:ilvl w:val="0"/>
                                <w:numId w:val="69"/>
                              </w:numPr>
                              <w:tabs>
                                <w:tab w:val="left" w:pos="450"/>
                              </w:tabs>
                              <w:rPr>
                                <w:sz w:val="16"/>
                                <w:szCs w:val="16"/>
                              </w:rPr>
                            </w:pPr>
                            <w:r w:rsidRPr="008F56D1">
                              <w:rPr>
                                <w:sz w:val="16"/>
                                <w:szCs w:val="16"/>
                              </w:rPr>
                              <w:t>If not, is there a plausible causal chain, even if long term, and what sensible intermediate indicators can be deployed?</w:t>
                            </w:r>
                          </w:p>
                          <w:p w14:paraId="298629FD"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Is there evidence to show the expected economic benefit is acceptable, and ideally higher than other comparable interventions?</w:t>
                            </w:r>
                          </w:p>
                          <w:p w14:paraId="1B0596FE"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 xml:space="preserve">Will this activity directly create jobs (especially relevant for some IFC deals) and/or help poor beneficiaries including women (for whom the alleviation of specific constraints would be identified)? </w:t>
                            </w:r>
                          </w:p>
                          <w:p w14:paraId="407E5E13" w14:textId="77777777" w:rsidR="00DA29A4" w:rsidRPr="008F56D1" w:rsidRDefault="00DA29A4" w:rsidP="000B2AE7">
                            <w:pPr>
                              <w:tabs>
                                <w:tab w:val="left" w:pos="450"/>
                              </w:tabs>
                              <w:spacing w:after="0" w:line="0" w:lineRule="atLeast"/>
                              <w:ind w:left="27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06pt;margin-top:435.05pt;width:204pt;height:16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oDJQIAACY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" stroked="f">
                <v:textbox>
                  <w:txbxContent>
                    <w:p w14:paraId="7BD8AED5"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Does the investment directly target the poor (which in Kenya’s case cover the bottom 40 percent) and can this be measured?</w:t>
                      </w:r>
                    </w:p>
                    <w:p w14:paraId="42B80AE1" w14:textId="77777777" w:rsidR="00DA29A4" w:rsidRPr="008F56D1" w:rsidRDefault="00DA29A4" w:rsidP="007B5E57">
                      <w:pPr>
                        <w:pStyle w:val="ListParagraph"/>
                        <w:numPr>
                          <w:ilvl w:val="0"/>
                          <w:numId w:val="69"/>
                        </w:numPr>
                        <w:tabs>
                          <w:tab w:val="left" w:pos="450"/>
                        </w:tabs>
                        <w:rPr>
                          <w:sz w:val="16"/>
                          <w:szCs w:val="16"/>
                        </w:rPr>
                      </w:pPr>
                      <w:r w:rsidRPr="008F56D1">
                        <w:rPr>
                          <w:sz w:val="16"/>
                          <w:szCs w:val="16"/>
                        </w:rPr>
                        <w:t>If not, is there a plausible causal chain, even if long term, and what sensible intermediate indicators can be deployed?</w:t>
                      </w:r>
                    </w:p>
                    <w:p w14:paraId="298629FD"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Is there evidence to show the expected economic benefit is acceptable, and ideally higher than other comparable interventions?</w:t>
                      </w:r>
                    </w:p>
                    <w:p w14:paraId="1B0596FE" w14:textId="77777777" w:rsidR="00DA29A4" w:rsidRPr="008F56D1" w:rsidRDefault="00DA29A4" w:rsidP="007B5E57">
                      <w:pPr>
                        <w:pStyle w:val="ListParagraph"/>
                        <w:numPr>
                          <w:ilvl w:val="0"/>
                          <w:numId w:val="58"/>
                        </w:numPr>
                        <w:tabs>
                          <w:tab w:val="left" w:pos="450"/>
                        </w:tabs>
                        <w:rPr>
                          <w:sz w:val="16"/>
                          <w:szCs w:val="16"/>
                        </w:rPr>
                      </w:pPr>
                      <w:r w:rsidRPr="008F56D1">
                        <w:rPr>
                          <w:sz w:val="16"/>
                          <w:szCs w:val="16"/>
                        </w:rPr>
                        <w:t xml:space="preserve">Will this activity directly create jobs (especially relevant for some IFC deals) and/or help poor beneficiaries including women (for whom the alleviation of specific constraints would be identified)? </w:t>
                      </w:r>
                    </w:p>
                    <w:p w14:paraId="407E5E13" w14:textId="77777777" w:rsidR="00DA29A4" w:rsidRPr="008F56D1" w:rsidRDefault="00DA29A4" w:rsidP="000B2AE7">
                      <w:pPr>
                        <w:tabs>
                          <w:tab w:val="left" w:pos="450"/>
                        </w:tabs>
                        <w:spacing w:after="0" w:line="0" w:lineRule="atLeast"/>
                        <w:ind w:left="270" w:hanging="270"/>
                        <w:jc w:val="center"/>
                        <w:rPr>
                          <w:sz w:val="16"/>
                          <w:szCs w:val="16"/>
                        </w:rPr>
                      </w:pPr>
                    </w:p>
                  </w:txbxContent>
                </v:textbox>
              </v:shape>
            </w:pict>
          </mc:Fallback>
        </mc:AlternateContent>
      </w:r>
      <w:r w:rsidRPr="00856F4E">
        <w:rPr>
          <w:noProof/>
        </w:rPr>
        <mc:AlternateContent>
          <mc:Choice Requires="wps">
            <w:drawing>
              <wp:anchor distT="0" distB="0" distL="114300" distR="114300" simplePos="0" relativeHeight="251743232" behindDoc="0" locked="0" layoutInCell="1" allowOverlap="1" wp14:anchorId="7E1D15FF" wp14:editId="5E790DA0">
                <wp:simplePos x="0" y="0"/>
                <wp:positionH relativeFrom="column">
                  <wp:posOffset>1133475</wp:posOffset>
                </wp:positionH>
                <wp:positionV relativeFrom="paragraph">
                  <wp:posOffset>5212080</wp:posOffset>
                </wp:positionV>
                <wp:extent cx="3285490" cy="0"/>
                <wp:effectExtent l="38100" t="76200" r="10160" b="114300"/>
                <wp:wrapNone/>
                <wp:docPr id="305" name="Straight Arrow Connector 305"/>
                <wp:cNvGraphicFramePr/>
                <a:graphic xmlns:a="http://schemas.openxmlformats.org/drawingml/2006/main">
                  <a:graphicData uri="http://schemas.microsoft.com/office/word/2010/wordprocessingShape">
                    <wps:wsp>
                      <wps:cNvCnPr/>
                      <wps:spPr>
                        <a:xfrm flipH="1">
                          <a:off x="0" y="0"/>
                          <a:ext cx="328549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39150" id="Straight Arrow Connector 305" o:spid="_x0000_s1026" type="#_x0000_t32" style="position:absolute;margin-left:89.25pt;margin-top:410.4pt;width:258.7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" strokecolor="black [3213]">
                <v:stroke startarrow="open" endarrow="open"/>
              </v:shape>
            </w:pict>
          </mc:Fallback>
        </mc:AlternateContent>
      </w:r>
      <w:r w:rsidRPr="00856F4E">
        <w:rPr>
          <w:noProof/>
        </w:rPr>
        <mc:AlternateContent>
          <mc:Choice Requires="wps">
            <w:drawing>
              <wp:anchor distT="0" distB="0" distL="114300" distR="114300" simplePos="0" relativeHeight="251750400" behindDoc="0" locked="0" layoutInCell="1" allowOverlap="1" wp14:anchorId="78EFDE56" wp14:editId="3E73A669">
                <wp:simplePos x="0" y="0"/>
                <wp:positionH relativeFrom="column">
                  <wp:posOffset>-582295</wp:posOffset>
                </wp:positionH>
                <wp:positionV relativeFrom="paragraph">
                  <wp:posOffset>3072765</wp:posOffset>
                </wp:positionV>
                <wp:extent cx="2190750" cy="175260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752600"/>
                        </a:xfrm>
                        <a:prstGeom prst="rect">
                          <a:avLst/>
                        </a:prstGeom>
                        <a:solidFill>
                          <a:srgbClr val="FFFFFF"/>
                        </a:solidFill>
                        <a:ln w="9525">
                          <a:noFill/>
                          <a:miter lim="800000"/>
                          <a:headEnd/>
                          <a:tailEnd/>
                        </a:ln>
                      </wps:spPr>
                      <wps:txbx>
                        <w:txbxContent>
                          <w:p w14:paraId="7C60550E" w14:textId="77777777" w:rsidR="00DA29A4" w:rsidRPr="008F56D1" w:rsidRDefault="00DA29A4" w:rsidP="007B5E57">
                            <w:pPr>
                              <w:pStyle w:val="ListParagraph"/>
                              <w:numPr>
                                <w:ilvl w:val="0"/>
                                <w:numId w:val="71"/>
                              </w:numPr>
                              <w:rPr>
                                <w:sz w:val="16"/>
                                <w:szCs w:val="16"/>
                              </w:rPr>
                            </w:pPr>
                            <w:r w:rsidRPr="008F56D1">
                              <w:rPr>
                                <w:sz w:val="16"/>
                                <w:szCs w:val="16"/>
                              </w:rPr>
                              <w:t>Is there a forceful, meaningful and formal Government request from the relevant line Ministry(s)—with evidence of support from the Minister and the PS?</w:t>
                            </w:r>
                          </w:p>
                          <w:p w14:paraId="16ABF652" w14:textId="77777777" w:rsidR="00DA29A4" w:rsidRPr="008F56D1" w:rsidRDefault="00DA29A4" w:rsidP="007B5E57">
                            <w:pPr>
                              <w:pStyle w:val="ListParagraph"/>
                              <w:numPr>
                                <w:ilvl w:val="0"/>
                                <w:numId w:val="60"/>
                              </w:numPr>
                              <w:rPr>
                                <w:sz w:val="16"/>
                                <w:szCs w:val="16"/>
                              </w:rPr>
                            </w:pPr>
                            <w:r w:rsidRPr="008F56D1">
                              <w:rPr>
                                <w:sz w:val="16"/>
                                <w:szCs w:val="16"/>
                              </w:rPr>
                              <w:t>Is there the same from the Treasury—CS and PS?</w:t>
                            </w:r>
                          </w:p>
                          <w:p w14:paraId="5E15618F" w14:textId="77777777" w:rsidR="00DA29A4" w:rsidRPr="008F56D1" w:rsidRDefault="00DA29A4" w:rsidP="007B5E57">
                            <w:pPr>
                              <w:pStyle w:val="ListParagraph"/>
                              <w:numPr>
                                <w:ilvl w:val="0"/>
                                <w:numId w:val="60"/>
                              </w:numPr>
                              <w:rPr>
                                <w:sz w:val="16"/>
                                <w:szCs w:val="16"/>
                              </w:rPr>
                            </w:pPr>
                            <w:r w:rsidRPr="008F56D1">
                              <w:rPr>
                                <w:sz w:val="16"/>
                                <w:szCs w:val="16"/>
                              </w:rPr>
                              <w:t>Is the project explicitly identified in key Government planning documents—MTP2?</w:t>
                            </w:r>
                          </w:p>
                          <w:p w14:paraId="754C8682" w14:textId="77777777" w:rsidR="00DA29A4" w:rsidRPr="008F56D1" w:rsidRDefault="00DA29A4" w:rsidP="007B5E57">
                            <w:pPr>
                              <w:pStyle w:val="ListParagraph"/>
                              <w:numPr>
                                <w:ilvl w:val="0"/>
                                <w:numId w:val="60"/>
                              </w:numPr>
                              <w:rPr>
                                <w:sz w:val="16"/>
                                <w:szCs w:val="16"/>
                              </w:rPr>
                            </w:pPr>
                            <w:r w:rsidRPr="008F56D1">
                              <w:rPr>
                                <w:sz w:val="16"/>
                                <w:szCs w:val="16"/>
                              </w:rPr>
                              <w:t>Is there a review (including political economy assessment) of any resistance to the proposal?</w:t>
                            </w:r>
                          </w:p>
                          <w:p w14:paraId="13D12815" w14:textId="77777777" w:rsidR="00DA29A4" w:rsidRPr="008F56D1" w:rsidRDefault="00DA29A4" w:rsidP="000B2AE7">
                            <w:pPr>
                              <w:tabs>
                                <w:tab w:val="left" w:pos="450"/>
                              </w:tabs>
                              <w:spacing w:after="0" w:line="0" w:lineRule="atLeast"/>
                              <w:ind w:left="27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5.85pt;margin-top:241.95pt;width:172.5pt;height:1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fVJgIAACY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" stroked="f">
                <v:textbox>
                  <w:txbxContent>
                    <w:p w14:paraId="7C60550E" w14:textId="77777777" w:rsidR="00DA29A4" w:rsidRPr="008F56D1" w:rsidRDefault="00DA29A4" w:rsidP="007B5E57">
                      <w:pPr>
                        <w:pStyle w:val="ListParagraph"/>
                        <w:numPr>
                          <w:ilvl w:val="0"/>
                          <w:numId w:val="71"/>
                        </w:numPr>
                        <w:rPr>
                          <w:sz w:val="16"/>
                          <w:szCs w:val="16"/>
                        </w:rPr>
                      </w:pPr>
                      <w:r w:rsidRPr="008F56D1">
                        <w:rPr>
                          <w:sz w:val="16"/>
                          <w:szCs w:val="16"/>
                        </w:rPr>
                        <w:t>Is there a forceful, meaningful and formal Government request from the relevant line Ministry(s)—with evidence of support from the Minister and the PS?</w:t>
                      </w:r>
                    </w:p>
                    <w:p w14:paraId="16ABF652" w14:textId="77777777" w:rsidR="00DA29A4" w:rsidRPr="008F56D1" w:rsidRDefault="00DA29A4" w:rsidP="007B5E57">
                      <w:pPr>
                        <w:pStyle w:val="ListParagraph"/>
                        <w:numPr>
                          <w:ilvl w:val="0"/>
                          <w:numId w:val="60"/>
                        </w:numPr>
                        <w:rPr>
                          <w:sz w:val="16"/>
                          <w:szCs w:val="16"/>
                        </w:rPr>
                      </w:pPr>
                      <w:r w:rsidRPr="008F56D1">
                        <w:rPr>
                          <w:sz w:val="16"/>
                          <w:szCs w:val="16"/>
                        </w:rPr>
                        <w:t>Is there the same from the Treasury—CS and PS?</w:t>
                      </w:r>
                    </w:p>
                    <w:p w14:paraId="5E15618F" w14:textId="77777777" w:rsidR="00DA29A4" w:rsidRPr="008F56D1" w:rsidRDefault="00DA29A4" w:rsidP="007B5E57">
                      <w:pPr>
                        <w:pStyle w:val="ListParagraph"/>
                        <w:numPr>
                          <w:ilvl w:val="0"/>
                          <w:numId w:val="60"/>
                        </w:numPr>
                        <w:rPr>
                          <w:sz w:val="16"/>
                          <w:szCs w:val="16"/>
                        </w:rPr>
                      </w:pPr>
                      <w:r w:rsidRPr="008F56D1">
                        <w:rPr>
                          <w:sz w:val="16"/>
                          <w:szCs w:val="16"/>
                        </w:rPr>
                        <w:t>Is the project explicitly identified in key Government planning documents—MTP2?</w:t>
                      </w:r>
                    </w:p>
                    <w:p w14:paraId="754C8682" w14:textId="77777777" w:rsidR="00DA29A4" w:rsidRPr="008F56D1" w:rsidRDefault="00DA29A4" w:rsidP="007B5E57">
                      <w:pPr>
                        <w:pStyle w:val="ListParagraph"/>
                        <w:numPr>
                          <w:ilvl w:val="0"/>
                          <w:numId w:val="60"/>
                        </w:numPr>
                        <w:rPr>
                          <w:sz w:val="16"/>
                          <w:szCs w:val="16"/>
                        </w:rPr>
                      </w:pPr>
                      <w:r w:rsidRPr="008F56D1">
                        <w:rPr>
                          <w:sz w:val="16"/>
                          <w:szCs w:val="16"/>
                        </w:rPr>
                        <w:t>Is there a review (including political economy assessment) of any resistance to the proposal?</w:t>
                      </w:r>
                    </w:p>
                    <w:p w14:paraId="13D12815" w14:textId="77777777" w:rsidR="00DA29A4" w:rsidRPr="008F56D1" w:rsidRDefault="00DA29A4" w:rsidP="000B2AE7">
                      <w:pPr>
                        <w:tabs>
                          <w:tab w:val="left" w:pos="450"/>
                        </w:tabs>
                        <w:spacing w:after="0" w:line="0" w:lineRule="atLeast"/>
                        <w:ind w:left="270" w:hanging="270"/>
                        <w:jc w:val="center"/>
                        <w:rPr>
                          <w:sz w:val="16"/>
                          <w:szCs w:val="16"/>
                        </w:rPr>
                      </w:pPr>
                    </w:p>
                  </w:txbxContent>
                </v:textbox>
              </v:shape>
            </w:pict>
          </mc:Fallback>
        </mc:AlternateContent>
      </w:r>
      <w:r w:rsidRPr="00856F4E">
        <w:rPr>
          <w:noProof/>
        </w:rPr>
        <mc:AlternateContent>
          <mc:Choice Requires="wps">
            <w:drawing>
              <wp:anchor distT="0" distB="0" distL="114300" distR="114300" simplePos="0" relativeHeight="251737088" behindDoc="0" locked="0" layoutInCell="1" allowOverlap="1" wp14:anchorId="06557DCA" wp14:editId="30B8040D">
                <wp:simplePos x="0" y="0"/>
                <wp:positionH relativeFrom="column">
                  <wp:posOffset>1062990</wp:posOffset>
                </wp:positionH>
                <wp:positionV relativeFrom="paragraph">
                  <wp:posOffset>2783205</wp:posOffset>
                </wp:positionV>
                <wp:extent cx="3524250" cy="276225"/>
                <wp:effectExtent l="0" t="0" r="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6225"/>
                        </a:xfrm>
                        <a:prstGeom prst="rect">
                          <a:avLst/>
                        </a:prstGeom>
                        <a:solidFill>
                          <a:srgbClr val="FFFFFF"/>
                        </a:solidFill>
                        <a:ln w="9525">
                          <a:noFill/>
                          <a:miter lim="800000"/>
                          <a:headEnd/>
                          <a:tailEnd/>
                        </a:ln>
                      </wps:spPr>
                      <wps:txbx>
                        <w:txbxContent>
                          <w:p w14:paraId="181807CA" w14:textId="77777777" w:rsidR="00DA29A4" w:rsidRPr="00FF7661" w:rsidRDefault="00DA29A4" w:rsidP="000B2AE7">
                            <w:pPr>
                              <w:spacing w:after="0" w:line="0" w:lineRule="atLeast"/>
                              <w:jc w:val="center"/>
                              <w:rPr>
                                <w:rFonts w:ascii="Times New Roman" w:hAnsi="Times New Roman" w:cs="Times New Roman"/>
                                <w:b/>
                                <w:sz w:val="20"/>
                                <w:u w:val="single"/>
                              </w:rPr>
                            </w:pPr>
                            <w:r w:rsidRPr="00FF7661">
                              <w:rPr>
                                <w:rFonts w:ascii="Times New Roman" w:hAnsi="Times New Roman" w:cs="Times New Roman"/>
                                <w:b/>
                                <w:sz w:val="20"/>
                                <w:u w:val="single"/>
                              </w:rPr>
                              <w:t xml:space="preserve">NATURAL RESOURCE MANAGEMENT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83.7pt;margin-top:219.15pt;width:277.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6rIwIAACU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" stroked="f">
                <v:textbox>
                  <w:txbxContent>
                    <w:p w14:paraId="181807CA" w14:textId="77777777" w:rsidR="00DA29A4" w:rsidRPr="00FF7661" w:rsidRDefault="00DA29A4" w:rsidP="000B2AE7">
                      <w:pPr>
                        <w:spacing w:after="0" w:line="0" w:lineRule="atLeast"/>
                        <w:jc w:val="center"/>
                        <w:rPr>
                          <w:rFonts w:ascii="Times New Roman" w:hAnsi="Times New Roman" w:cs="Times New Roman"/>
                          <w:b/>
                          <w:sz w:val="20"/>
                          <w:u w:val="single"/>
                        </w:rPr>
                      </w:pPr>
                      <w:r w:rsidRPr="00FF7661">
                        <w:rPr>
                          <w:rFonts w:ascii="Times New Roman" w:hAnsi="Times New Roman" w:cs="Times New Roman"/>
                          <w:b/>
                          <w:sz w:val="20"/>
                          <w:u w:val="single"/>
                        </w:rPr>
                        <w:t xml:space="preserve">NATURAL RESOURCE MANAGEMENT </w:t>
                      </w:r>
                    </w:p>
                  </w:txbxContent>
                </v:textbox>
              </v:shape>
            </w:pict>
          </mc:Fallback>
        </mc:AlternateContent>
      </w:r>
      <w:r w:rsidRPr="00856F4E">
        <w:rPr>
          <w:noProof/>
        </w:rPr>
        <mc:AlternateContent>
          <mc:Choice Requires="wps">
            <w:drawing>
              <wp:anchor distT="0" distB="0" distL="114300" distR="114300" simplePos="0" relativeHeight="251747328" behindDoc="0" locked="0" layoutInCell="1" allowOverlap="1" wp14:anchorId="12F99527" wp14:editId="3FB9C66D">
                <wp:simplePos x="0" y="0"/>
                <wp:positionH relativeFrom="column">
                  <wp:posOffset>4045585</wp:posOffset>
                </wp:positionH>
                <wp:positionV relativeFrom="paragraph">
                  <wp:posOffset>3054350</wp:posOffset>
                </wp:positionV>
                <wp:extent cx="2419985" cy="1840865"/>
                <wp:effectExtent l="0" t="0" r="0" b="698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840865"/>
                        </a:xfrm>
                        <a:prstGeom prst="rect">
                          <a:avLst/>
                        </a:prstGeom>
                        <a:solidFill>
                          <a:srgbClr val="FFFFFF"/>
                        </a:solidFill>
                        <a:ln w="9525">
                          <a:noFill/>
                          <a:miter lim="800000"/>
                          <a:headEnd/>
                          <a:tailEnd/>
                        </a:ln>
                      </wps:spPr>
                      <wps:txbx>
                        <w:txbxContent>
                          <w:p w14:paraId="19D76DE8" w14:textId="77777777" w:rsidR="00DA29A4" w:rsidRPr="008F56D1" w:rsidRDefault="00DA29A4" w:rsidP="007B5E57">
                            <w:pPr>
                              <w:pStyle w:val="ListParagraph"/>
                              <w:numPr>
                                <w:ilvl w:val="0"/>
                                <w:numId w:val="66"/>
                              </w:numPr>
                              <w:tabs>
                                <w:tab w:val="left" w:pos="450"/>
                                <w:tab w:val="left" w:pos="540"/>
                              </w:tabs>
                              <w:ind w:left="450" w:hanging="270"/>
                              <w:rPr>
                                <w:sz w:val="16"/>
                                <w:szCs w:val="16"/>
                              </w:rPr>
                            </w:pPr>
                            <w:r w:rsidRPr="008F56D1">
                              <w:rPr>
                                <w:sz w:val="16"/>
                                <w:szCs w:val="16"/>
                              </w:rPr>
                              <w:t xml:space="preserve">How many donors or other financiers are involved in this sector and what added value does the Bank bring? </w:t>
                            </w:r>
                          </w:p>
                          <w:p w14:paraId="78A01ADF" w14:textId="77777777" w:rsidR="00DA29A4" w:rsidRPr="008F56D1" w:rsidRDefault="00DA29A4" w:rsidP="007B5E57">
                            <w:pPr>
                              <w:pStyle w:val="ListParagraph"/>
                              <w:numPr>
                                <w:ilvl w:val="0"/>
                                <w:numId w:val="57"/>
                              </w:numPr>
                              <w:ind w:left="450" w:hanging="270"/>
                              <w:rPr>
                                <w:sz w:val="16"/>
                                <w:szCs w:val="16"/>
                              </w:rPr>
                            </w:pPr>
                            <w:r w:rsidRPr="008F56D1">
                              <w:rPr>
                                <w:sz w:val="16"/>
                                <w:szCs w:val="16"/>
                              </w:rPr>
                              <w:t>Does the Bank Group (globally) have an established track record in this area (and how is that demonstrated in IEG and other evidence)?</w:t>
                            </w:r>
                          </w:p>
                          <w:p w14:paraId="3133C2B1" w14:textId="77777777" w:rsidR="00DA29A4" w:rsidRPr="008F56D1" w:rsidRDefault="00DA29A4" w:rsidP="007B5E57">
                            <w:pPr>
                              <w:pStyle w:val="ListParagraph"/>
                              <w:numPr>
                                <w:ilvl w:val="0"/>
                                <w:numId w:val="57"/>
                              </w:numPr>
                              <w:ind w:left="450" w:hanging="270"/>
                              <w:rPr>
                                <w:sz w:val="16"/>
                                <w:szCs w:val="16"/>
                              </w:rPr>
                            </w:pPr>
                            <w:r w:rsidRPr="008F56D1">
                              <w:rPr>
                                <w:sz w:val="16"/>
                                <w:szCs w:val="16"/>
                              </w:rPr>
                              <w:t>Do we have an experienced team and TTL that will be deployed, and have the requisite expertise that might be needed not just in the specialist discipline but also in fiduciary and safeguards?</w:t>
                            </w:r>
                          </w:p>
                          <w:p w14:paraId="29C0C683" w14:textId="77777777" w:rsidR="00DA29A4" w:rsidRPr="008F56D1" w:rsidRDefault="00DA29A4" w:rsidP="000B2AE7">
                            <w:pPr>
                              <w:tabs>
                                <w:tab w:val="left" w:pos="450"/>
                              </w:tabs>
                              <w:spacing w:after="0" w:line="0" w:lineRule="atLeast"/>
                              <w:ind w:left="45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18.55pt;margin-top:240.5pt;width:190.55pt;height:14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SUJgIAACY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" stroked="f">
                <v:textbox>
                  <w:txbxContent>
                    <w:p w14:paraId="19D76DE8" w14:textId="77777777" w:rsidR="00DA29A4" w:rsidRPr="008F56D1" w:rsidRDefault="00DA29A4" w:rsidP="007B5E57">
                      <w:pPr>
                        <w:pStyle w:val="ListParagraph"/>
                        <w:numPr>
                          <w:ilvl w:val="0"/>
                          <w:numId w:val="66"/>
                        </w:numPr>
                        <w:tabs>
                          <w:tab w:val="left" w:pos="450"/>
                          <w:tab w:val="left" w:pos="540"/>
                        </w:tabs>
                        <w:ind w:left="450" w:hanging="270"/>
                        <w:rPr>
                          <w:sz w:val="16"/>
                          <w:szCs w:val="16"/>
                        </w:rPr>
                      </w:pPr>
                      <w:r w:rsidRPr="008F56D1">
                        <w:rPr>
                          <w:sz w:val="16"/>
                          <w:szCs w:val="16"/>
                        </w:rPr>
                        <w:t xml:space="preserve">How many donors or other financiers are involved in this sector and what added value does the Bank bring? </w:t>
                      </w:r>
                    </w:p>
                    <w:p w14:paraId="78A01ADF" w14:textId="77777777" w:rsidR="00DA29A4" w:rsidRPr="008F56D1" w:rsidRDefault="00DA29A4" w:rsidP="007B5E57">
                      <w:pPr>
                        <w:pStyle w:val="ListParagraph"/>
                        <w:numPr>
                          <w:ilvl w:val="0"/>
                          <w:numId w:val="57"/>
                        </w:numPr>
                        <w:ind w:left="450" w:hanging="270"/>
                        <w:rPr>
                          <w:sz w:val="16"/>
                          <w:szCs w:val="16"/>
                        </w:rPr>
                      </w:pPr>
                      <w:r w:rsidRPr="008F56D1">
                        <w:rPr>
                          <w:sz w:val="16"/>
                          <w:szCs w:val="16"/>
                        </w:rPr>
                        <w:t>Does the Bank Group (globally) have an established track record in this area (and how is that demonstrated in IEG and other evidence)?</w:t>
                      </w:r>
                    </w:p>
                    <w:p w14:paraId="3133C2B1" w14:textId="77777777" w:rsidR="00DA29A4" w:rsidRPr="008F56D1" w:rsidRDefault="00DA29A4" w:rsidP="007B5E57">
                      <w:pPr>
                        <w:pStyle w:val="ListParagraph"/>
                        <w:numPr>
                          <w:ilvl w:val="0"/>
                          <w:numId w:val="57"/>
                        </w:numPr>
                        <w:ind w:left="450" w:hanging="270"/>
                        <w:rPr>
                          <w:sz w:val="16"/>
                          <w:szCs w:val="16"/>
                        </w:rPr>
                      </w:pPr>
                      <w:r w:rsidRPr="008F56D1">
                        <w:rPr>
                          <w:sz w:val="16"/>
                          <w:szCs w:val="16"/>
                        </w:rPr>
                        <w:t>Do we have an experienced team and TTL that will be deployed, and have the requisite expertise that might be needed not just in the specialist discipline but also in fiduciary and safeguards?</w:t>
                      </w:r>
                    </w:p>
                    <w:p w14:paraId="29C0C683" w14:textId="77777777" w:rsidR="00DA29A4" w:rsidRPr="008F56D1" w:rsidRDefault="00DA29A4" w:rsidP="000B2AE7">
                      <w:pPr>
                        <w:tabs>
                          <w:tab w:val="left" w:pos="450"/>
                        </w:tabs>
                        <w:spacing w:after="0" w:line="0" w:lineRule="atLeast"/>
                        <w:ind w:left="450" w:hanging="270"/>
                        <w:jc w:val="center"/>
                        <w:rPr>
                          <w:sz w:val="16"/>
                          <w:szCs w:val="16"/>
                        </w:rPr>
                      </w:pPr>
                    </w:p>
                  </w:txbxContent>
                </v:textbox>
              </v:shape>
            </w:pict>
          </mc:Fallback>
        </mc:AlternateContent>
      </w:r>
      <w:r w:rsidRPr="00856F4E">
        <w:rPr>
          <w:noProof/>
        </w:rPr>
        <mc:AlternateContent>
          <mc:Choice Requires="wps">
            <w:drawing>
              <wp:anchor distT="0" distB="0" distL="114300" distR="114300" simplePos="0" relativeHeight="251732992" behindDoc="0" locked="0" layoutInCell="1" allowOverlap="1" wp14:anchorId="09E68271" wp14:editId="19426427">
                <wp:simplePos x="0" y="0"/>
                <wp:positionH relativeFrom="column">
                  <wp:posOffset>3949065</wp:posOffset>
                </wp:positionH>
                <wp:positionV relativeFrom="paragraph">
                  <wp:posOffset>664845</wp:posOffset>
                </wp:positionV>
                <wp:extent cx="2590800" cy="216217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162175"/>
                        </a:xfrm>
                        <a:prstGeom prst="rect">
                          <a:avLst/>
                        </a:prstGeom>
                        <a:solidFill>
                          <a:srgbClr val="FFFFFF"/>
                        </a:solidFill>
                        <a:ln w="9525">
                          <a:noFill/>
                          <a:miter lim="800000"/>
                          <a:headEnd/>
                          <a:tailEnd/>
                        </a:ln>
                      </wps:spPr>
                      <wps:txbx>
                        <w:txbxContent>
                          <w:p w14:paraId="51B9474B"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Does the investment directly target the poor (which in Kenya’s case cover the bottom 40 percent) and can this be measured?</w:t>
                            </w:r>
                          </w:p>
                          <w:p w14:paraId="4BF0F0FF" w14:textId="77777777" w:rsidR="00DA29A4" w:rsidRPr="008F56D1" w:rsidRDefault="00DA29A4" w:rsidP="007B5E57">
                            <w:pPr>
                              <w:pStyle w:val="ListParagraph"/>
                              <w:numPr>
                                <w:ilvl w:val="0"/>
                                <w:numId w:val="68"/>
                              </w:numPr>
                              <w:tabs>
                                <w:tab w:val="left" w:pos="450"/>
                              </w:tabs>
                              <w:rPr>
                                <w:sz w:val="16"/>
                                <w:szCs w:val="16"/>
                              </w:rPr>
                            </w:pPr>
                            <w:r w:rsidRPr="008F56D1">
                              <w:rPr>
                                <w:sz w:val="16"/>
                                <w:szCs w:val="16"/>
                              </w:rPr>
                              <w:t>If not, is there a plausible causal chain, even if long term, and what sensible intermediate indicators can be deployed?</w:t>
                            </w:r>
                          </w:p>
                          <w:p w14:paraId="755A3DED"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Is there evidence to show the expected economic benefit is acceptable, and ideally higher than other comparable interventions?</w:t>
                            </w:r>
                          </w:p>
                          <w:p w14:paraId="22069E64"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 xml:space="preserve">Will this activity directly create jobs (especially relevant for some IFC deals) and/or help poor beneficiaries including women (for whom the alleviation of specific constraints would be identified)? </w:t>
                            </w:r>
                          </w:p>
                          <w:p w14:paraId="72F72E61" w14:textId="77777777" w:rsidR="00DA29A4" w:rsidRPr="008F56D1" w:rsidRDefault="00DA29A4" w:rsidP="000B2AE7">
                            <w:pPr>
                              <w:tabs>
                                <w:tab w:val="left" w:pos="450"/>
                              </w:tabs>
                              <w:spacing w:after="0" w:line="0" w:lineRule="atLeast"/>
                              <w:ind w:left="270" w:hanging="27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10.95pt;margin-top:52.35pt;width:204pt;height:17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" stroked="f">
                <v:textbox>
                  <w:txbxContent>
                    <w:p w14:paraId="51B9474B"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Does the investment directly target the poor (which in Kenya’s case cover the bottom 40 percent) and can this be measured?</w:t>
                      </w:r>
                    </w:p>
                    <w:p w14:paraId="4BF0F0FF" w14:textId="77777777" w:rsidR="00DA29A4" w:rsidRPr="008F56D1" w:rsidRDefault="00DA29A4" w:rsidP="007B5E57">
                      <w:pPr>
                        <w:pStyle w:val="ListParagraph"/>
                        <w:numPr>
                          <w:ilvl w:val="0"/>
                          <w:numId w:val="68"/>
                        </w:numPr>
                        <w:tabs>
                          <w:tab w:val="left" w:pos="450"/>
                        </w:tabs>
                        <w:rPr>
                          <w:sz w:val="16"/>
                          <w:szCs w:val="16"/>
                        </w:rPr>
                      </w:pPr>
                      <w:r w:rsidRPr="008F56D1">
                        <w:rPr>
                          <w:sz w:val="16"/>
                          <w:szCs w:val="16"/>
                        </w:rPr>
                        <w:t>If not, is there a plausible causal chain, even if long term, and what sensible intermediate indicators can be deployed?</w:t>
                      </w:r>
                    </w:p>
                    <w:p w14:paraId="755A3DED"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Is there evidence to show the expected economic benefit is acceptable, and ideally higher than other comparable interventions?</w:t>
                      </w:r>
                    </w:p>
                    <w:p w14:paraId="22069E64" w14:textId="77777777" w:rsidR="00DA29A4" w:rsidRPr="008F56D1" w:rsidRDefault="00DA29A4" w:rsidP="007B5E57">
                      <w:pPr>
                        <w:pStyle w:val="ListParagraph"/>
                        <w:numPr>
                          <w:ilvl w:val="0"/>
                          <w:numId w:val="62"/>
                        </w:numPr>
                        <w:tabs>
                          <w:tab w:val="left" w:pos="450"/>
                        </w:tabs>
                        <w:rPr>
                          <w:sz w:val="16"/>
                          <w:szCs w:val="16"/>
                        </w:rPr>
                      </w:pPr>
                      <w:r w:rsidRPr="008F56D1">
                        <w:rPr>
                          <w:sz w:val="16"/>
                          <w:szCs w:val="16"/>
                        </w:rPr>
                        <w:t xml:space="preserve">Will this activity directly create jobs (especially relevant for some IFC deals) and/or help poor beneficiaries including women (for whom the alleviation of specific constraints would be identified)? </w:t>
                      </w:r>
                    </w:p>
                    <w:p w14:paraId="72F72E61" w14:textId="77777777" w:rsidR="00DA29A4" w:rsidRPr="008F56D1" w:rsidRDefault="00DA29A4" w:rsidP="000B2AE7">
                      <w:pPr>
                        <w:tabs>
                          <w:tab w:val="left" w:pos="450"/>
                        </w:tabs>
                        <w:spacing w:after="0" w:line="0" w:lineRule="atLeast"/>
                        <w:ind w:left="270" w:hanging="270"/>
                        <w:jc w:val="center"/>
                        <w:rPr>
                          <w:sz w:val="16"/>
                          <w:szCs w:val="16"/>
                        </w:rPr>
                      </w:pPr>
                    </w:p>
                  </w:txbxContent>
                </v:textbox>
              </v:shape>
            </w:pict>
          </mc:Fallback>
        </mc:AlternateContent>
      </w:r>
      <w:r w:rsidRPr="00856F4E">
        <w:rPr>
          <w:noProof/>
        </w:rPr>
        <mc:AlternateContent>
          <mc:Choice Requires="wps">
            <w:drawing>
              <wp:anchor distT="0" distB="0" distL="114300" distR="114300" simplePos="0" relativeHeight="251754496" behindDoc="0" locked="0" layoutInCell="1" allowOverlap="1" wp14:anchorId="3D99C194" wp14:editId="1AFFBDE3">
                <wp:simplePos x="0" y="0"/>
                <wp:positionH relativeFrom="column">
                  <wp:posOffset>5665470</wp:posOffset>
                </wp:positionH>
                <wp:positionV relativeFrom="paragraph">
                  <wp:posOffset>414655</wp:posOffset>
                </wp:positionV>
                <wp:extent cx="0" cy="243840"/>
                <wp:effectExtent l="95250" t="0" r="57150" b="60960"/>
                <wp:wrapNone/>
                <wp:docPr id="303" name="Straight Arrow Connector 303"/>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509F36" id="Straight Arrow Connector 303" o:spid="_x0000_s1026" type="#_x0000_t32" style="position:absolute;margin-left:446.1pt;margin-top:32.65pt;width:0;height:1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" strokecolor="black [3213]">
                <v:stroke endarrow="open"/>
              </v:shape>
            </w:pict>
          </mc:Fallback>
        </mc:AlternateContent>
      </w:r>
      <w:r w:rsidRPr="00856F4E">
        <w:rPr>
          <w:noProof/>
        </w:rPr>
        <mc:AlternateContent>
          <mc:Choice Requires="wps">
            <w:drawing>
              <wp:anchor distT="0" distB="0" distL="114300" distR="114300" simplePos="0" relativeHeight="251755520" behindDoc="0" locked="0" layoutInCell="1" allowOverlap="1" wp14:anchorId="289B4164" wp14:editId="53D81F11">
                <wp:simplePos x="0" y="0"/>
                <wp:positionH relativeFrom="column">
                  <wp:posOffset>5570220</wp:posOffset>
                </wp:positionH>
                <wp:positionV relativeFrom="paragraph">
                  <wp:posOffset>5323840</wp:posOffset>
                </wp:positionV>
                <wp:extent cx="0" cy="243840"/>
                <wp:effectExtent l="95250" t="0" r="57150" b="60960"/>
                <wp:wrapNone/>
                <wp:docPr id="304" name="Straight Arrow Connector 304"/>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0EDD4" id="Straight Arrow Connector 304" o:spid="_x0000_s1026" type="#_x0000_t32" style="position:absolute;margin-left:438.6pt;margin-top:419.2pt;width:0;height:1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" strokecolor="black [3213]">
                <v:stroke endarrow="open"/>
              </v:shape>
            </w:pict>
          </mc:Fallback>
        </mc:AlternateContent>
      </w:r>
      <w:r w:rsidRPr="00856F4E">
        <w:rPr>
          <w:noProof/>
        </w:rPr>
        <mc:AlternateContent>
          <mc:Choice Requires="wps">
            <w:drawing>
              <wp:anchor distT="0" distB="0" distL="114300" distR="114300" simplePos="0" relativeHeight="251745280" behindDoc="0" locked="0" layoutInCell="1" allowOverlap="1" wp14:anchorId="6605D2A5" wp14:editId="048431D9">
                <wp:simplePos x="0" y="0"/>
                <wp:positionH relativeFrom="column">
                  <wp:posOffset>4471670</wp:posOffset>
                </wp:positionH>
                <wp:positionV relativeFrom="paragraph">
                  <wp:posOffset>5097780</wp:posOffset>
                </wp:positionV>
                <wp:extent cx="2200275" cy="25717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7E5FCD29"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Confirming a credible line of 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52.1pt;margin-top:401.4pt;width:173.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" stroked="f">
                <v:textbox>
                  <w:txbxContent>
                    <w:p w14:paraId="7E5FCD29"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Confirming a credible line of sight</w:t>
                      </w:r>
                    </w:p>
                  </w:txbxContent>
                </v:textbox>
              </v:shape>
            </w:pict>
          </mc:Fallback>
        </mc:AlternateContent>
      </w:r>
      <w:r w:rsidR="00B56C1B" w:rsidRPr="00856F4E">
        <w:rPr>
          <w:noProof/>
        </w:rPr>
        <mc:AlternateContent>
          <mc:Choice Requires="wps">
            <w:drawing>
              <wp:anchor distT="0" distB="0" distL="114300" distR="114300" simplePos="0" relativeHeight="251741184" behindDoc="0" locked="0" layoutInCell="1" allowOverlap="1" wp14:anchorId="4EC8EB84" wp14:editId="0CFFF987">
                <wp:simplePos x="0" y="0"/>
                <wp:positionH relativeFrom="column">
                  <wp:posOffset>1560195</wp:posOffset>
                </wp:positionH>
                <wp:positionV relativeFrom="paragraph">
                  <wp:posOffset>2096135</wp:posOffset>
                </wp:positionV>
                <wp:extent cx="430530" cy="0"/>
                <wp:effectExtent l="38100" t="76200" r="0" b="114300"/>
                <wp:wrapNone/>
                <wp:docPr id="308" name="Straight Arrow Connector 308"/>
                <wp:cNvGraphicFramePr/>
                <a:graphic xmlns:a="http://schemas.openxmlformats.org/drawingml/2006/main">
                  <a:graphicData uri="http://schemas.microsoft.com/office/word/2010/wordprocessingShape">
                    <wps:wsp>
                      <wps:cNvCnPr/>
                      <wps:spPr>
                        <a:xfrm flipH="1">
                          <a:off x="0" y="0"/>
                          <a:ext cx="4305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05E8B" id="Straight Arrow Connector 308" o:spid="_x0000_s1026" type="#_x0000_t32" style="position:absolute;margin-left:122.85pt;margin-top:165.05pt;width:33.9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" strokecolor="black [3213]">
                <v:stroke endarrow="open"/>
              </v:shape>
            </w:pict>
          </mc:Fallback>
        </mc:AlternateContent>
      </w:r>
      <w:r w:rsidR="00B56C1B" w:rsidRPr="00856F4E">
        <w:rPr>
          <w:noProof/>
        </w:rPr>
        <mc:AlternateContent>
          <mc:Choice Requires="wps">
            <w:drawing>
              <wp:anchor distT="0" distB="0" distL="114300" distR="114300" simplePos="0" relativeHeight="251752448" behindDoc="0" locked="0" layoutInCell="1" allowOverlap="1" wp14:anchorId="531469F6" wp14:editId="5131EBDE">
                <wp:simplePos x="0" y="0"/>
                <wp:positionH relativeFrom="column">
                  <wp:posOffset>1473835</wp:posOffset>
                </wp:positionH>
                <wp:positionV relativeFrom="paragraph">
                  <wp:posOffset>6957695</wp:posOffset>
                </wp:positionV>
                <wp:extent cx="430530" cy="0"/>
                <wp:effectExtent l="38100" t="76200" r="0" b="114300"/>
                <wp:wrapNone/>
                <wp:docPr id="343" name="Straight Arrow Connector 343"/>
                <wp:cNvGraphicFramePr/>
                <a:graphic xmlns:a="http://schemas.openxmlformats.org/drawingml/2006/main">
                  <a:graphicData uri="http://schemas.microsoft.com/office/word/2010/wordprocessingShape">
                    <wps:wsp>
                      <wps:cNvCnPr/>
                      <wps:spPr>
                        <a:xfrm flipH="1">
                          <a:off x="0" y="0"/>
                          <a:ext cx="4305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EF9EA" id="Straight Arrow Connector 343" o:spid="_x0000_s1026" type="#_x0000_t32" style="position:absolute;margin-left:116.05pt;margin-top:547.85pt;width:33.9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" strokecolor="black [3213]">
                <v:stroke endarrow="open"/>
              </v:shape>
            </w:pict>
          </mc:Fallback>
        </mc:AlternateContent>
      </w:r>
      <w:r w:rsidR="000B2AE7" w:rsidRPr="00856F4E">
        <w:rPr>
          <w:noProof/>
        </w:rPr>
        <mc:AlternateContent>
          <mc:Choice Requires="wps">
            <w:drawing>
              <wp:anchor distT="0" distB="0" distL="114300" distR="114300" simplePos="0" relativeHeight="251740160" behindDoc="0" locked="0" layoutInCell="1" allowOverlap="1" wp14:anchorId="033273E7" wp14:editId="419506A3">
                <wp:simplePos x="0" y="0"/>
                <wp:positionH relativeFrom="column">
                  <wp:posOffset>403098</wp:posOffset>
                </wp:positionH>
                <wp:positionV relativeFrom="paragraph">
                  <wp:posOffset>197104</wp:posOffset>
                </wp:positionV>
                <wp:extent cx="0" cy="182118"/>
                <wp:effectExtent l="95250" t="38100" r="57150" b="27940"/>
                <wp:wrapNone/>
                <wp:docPr id="327" name="Straight Arrow Connector 327"/>
                <wp:cNvGraphicFramePr/>
                <a:graphic xmlns:a="http://schemas.openxmlformats.org/drawingml/2006/main">
                  <a:graphicData uri="http://schemas.microsoft.com/office/word/2010/wordprocessingShape">
                    <wps:wsp>
                      <wps:cNvCnPr/>
                      <wps:spPr>
                        <a:xfrm flipV="1">
                          <a:off x="0" y="0"/>
                          <a:ext cx="0" cy="1821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ACF8751" id="Straight Arrow Connector 327" o:spid="_x0000_s1026" type="#_x0000_t32" style="position:absolute;margin-left:31.75pt;margin-top:15.5pt;width:0;height:14.35pt;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" strokecolor="black [3213]">
                <v:stroke endarrow="open"/>
              </v:shape>
            </w:pict>
          </mc:Fallback>
        </mc:AlternateContent>
      </w:r>
      <w:r w:rsidR="000B2AE7" w:rsidRPr="00856F4E">
        <w:rPr>
          <w:noProof/>
        </w:rPr>
        <mc:AlternateContent>
          <mc:Choice Requires="wps">
            <w:drawing>
              <wp:anchor distT="0" distB="0" distL="114300" distR="114300" simplePos="0" relativeHeight="251726848" behindDoc="0" locked="0" layoutInCell="1" allowOverlap="1" wp14:anchorId="0D2C6B05" wp14:editId="7C125416">
                <wp:simplePos x="0" y="0"/>
                <wp:positionH relativeFrom="column">
                  <wp:posOffset>-562610</wp:posOffset>
                </wp:positionH>
                <wp:positionV relativeFrom="paragraph">
                  <wp:posOffset>390525</wp:posOffset>
                </wp:positionV>
                <wp:extent cx="2200275" cy="257175"/>
                <wp:effectExtent l="0" t="0" r="9525" b="952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noFill/>
                          <a:miter lim="800000"/>
                          <a:headEnd/>
                          <a:tailEnd/>
                        </a:ln>
                      </wps:spPr>
                      <wps:txbx>
                        <w:txbxContent>
                          <w:p w14:paraId="37750E97"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Cementing client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4.3pt;margin-top:30.75pt;width:173.2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" stroked="f">
                <v:textbox>
                  <w:txbxContent>
                    <w:p w14:paraId="37750E97" w14:textId="77777777" w:rsidR="00DA29A4" w:rsidRPr="00FF7661" w:rsidRDefault="00DA29A4" w:rsidP="000B2AE7">
                      <w:pPr>
                        <w:rPr>
                          <w:rFonts w:ascii="Times New Roman" w:hAnsi="Times New Roman" w:cs="Times New Roman"/>
                          <w:b/>
                          <w:i/>
                          <w:sz w:val="20"/>
                        </w:rPr>
                      </w:pPr>
                      <w:r w:rsidRPr="00FF7661">
                        <w:rPr>
                          <w:rFonts w:ascii="Times New Roman" w:hAnsi="Times New Roman" w:cs="Times New Roman"/>
                          <w:b/>
                          <w:i/>
                          <w:sz w:val="20"/>
                        </w:rPr>
                        <w:t>Cementing client ownership</w:t>
                      </w:r>
                    </w:p>
                  </w:txbxContent>
                </v:textbox>
              </v:shape>
            </w:pict>
          </mc:Fallback>
        </mc:AlternateContent>
      </w:r>
      <w:r w:rsidR="000B2AE7" w:rsidRPr="00856F4E">
        <w:rPr>
          <w:noProof/>
        </w:rPr>
        <mc:AlternateContent>
          <mc:Choice Requires="wps">
            <w:drawing>
              <wp:anchor distT="0" distB="0" distL="114300" distR="114300" simplePos="0" relativeHeight="251749376" behindDoc="0" locked="0" layoutInCell="1" allowOverlap="1" wp14:anchorId="6630D5D0" wp14:editId="7A877648">
                <wp:simplePos x="0" y="0"/>
                <wp:positionH relativeFrom="column">
                  <wp:posOffset>-549208</wp:posOffset>
                </wp:positionH>
                <wp:positionV relativeFrom="paragraph">
                  <wp:posOffset>5583521</wp:posOffset>
                </wp:positionV>
                <wp:extent cx="2190750" cy="1771650"/>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771650"/>
                        </a:xfrm>
                        <a:prstGeom prst="rect">
                          <a:avLst/>
                        </a:prstGeom>
                        <a:solidFill>
                          <a:srgbClr val="FFFFFF"/>
                        </a:solidFill>
                        <a:ln w="9525">
                          <a:noFill/>
                          <a:miter lim="800000"/>
                          <a:headEnd/>
                          <a:tailEnd/>
                        </a:ln>
                      </wps:spPr>
                      <wps:txbx>
                        <w:txbxContent>
                          <w:p w14:paraId="243984C5" w14:textId="77777777" w:rsidR="00DA29A4" w:rsidRPr="008F56D1" w:rsidRDefault="00DA29A4" w:rsidP="007B5E57">
                            <w:pPr>
                              <w:pStyle w:val="ListParagraph"/>
                              <w:numPr>
                                <w:ilvl w:val="0"/>
                                <w:numId w:val="59"/>
                              </w:numPr>
                              <w:rPr>
                                <w:sz w:val="16"/>
                                <w:szCs w:val="16"/>
                              </w:rPr>
                            </w:pPr>
                            <w:r w:rsidRPr="008F56D1">
                              <w:rPr>
                                <w:sz w:val="16"/>
                                <w:szCs w:val="16"/>
                              </w:rPr>
                              <w:t>Is there a track record of adequate client capacity in the line Ministry?</w:t>
                            </w:r>
                          </w:p>
                          <w:p w14:paraId="4DA72E8A" w14:textId="77777777" w:rsidR="00DA29A4" w:rsidRPr="008F56D1" w:rsidRDefault="00DA29A4" w:rsidP="007B5E57">
                            <w:pPr>
                              <w:pStyle w:val="ListParagraph"/>
                              <w:numPr>
                                <w:ilvl w:val="0"/>
                                <w:numId w:val="59"/>
                              </w:numPr>
                              <w:rPr>
                                <w:sz w:val="16"/>
                                <w:szCs w:val="16"/>
                              </w:rPr>
                            </w:pPr>
                            <w:r w:rsidRPr="008F56D1">
                              <w:rPr>
                                <w:sz w:val="16"/>
                                <w:szCs w:val="16"/>
                              </w:rPr>
                              <w:t>Are there credible procurement and financial management resources and expertise?</w:t>
                            </w:r>
                          </w:p>
                          <w:p w14:paraId="21B14E15" w14:textId="77777777" w:rsidR="00DA29A4" w:rsidRPr="008F56D1" w:rsidRDefault="00DA29A4" w:rsidP="007B5E57">
                            <w:pPr>
                              <w:pStyle w:val="ListParagraph"/>
                              <w:numPr>
                                <w:ilvl w:val="0"/>
                                <w:numId w:val="70"/>
                              </w:numPr>
                              <w:rPr>
                                <w:sz w:val="16"/>
                                <w:szCs w:val="16"/>
                              </w:rPr>
                            </w:pPr>
                            <w:r w:rsidRPr="008F56D1">
                              <w:rPr>
                                <w:sz w:val="16"/>
                                <w:szCs w:val="16"/>
                              </w:rPr>
                              <w:t>Are there integrity and corruption concerns and how will they be managed?</w:t>
                            </w:r>
                          </w:p>
                          <w:p w14:paraId="2A0D4F53" w14:textId="77777777" w:rsidR="00DA29A4" w:rsidRPr="008F56D1" w:rsidRDefault="00DA29A4" w:rsidP="007B5E57">
                            <w:pPr>
                              <w:pStyle w:val="ListParagraph"/>
                              <w:numPr>
                                <w:ilvl w:val="0"/>
                                <w:numId w:val="59"/>
                              </w:numPr>
                              <w:rPr>
                                <w:sz w:val="16"/>
                                <w:szCs w:val="16"/>
                              </w:rPr>
                            </w:pPr>
                            <w:r w:rsidRPr="008F56D1">
                              <w:rPr>
                                <w:sz w:val="16"/>
                                <w:szCs w:val="16"/>
                              </w:rPr>
                              <w:t xml:space="preserve">Where there are gaps in the above, how tenable is it that they can be addressed, including being built and deployed through the project itself?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3.25pt;margin-top:439.65pt;width:172.5pt;height:1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muJQIAACY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" stroked="f">
                <v:textbox>
                  <w:txbxContent>
                    <w:p w14:paraId="243984C5" w14:textId="77777777" w:rsidR="00DA29A4" w:rsidRPr="008F56D1" w:rsidRDefault="00DA29A4" w:rsidP="007B5E57">
                      <w:pPr>
                        <w:pStyle w:val="ListParagraph"/>
                        <w:numPr>
                          <w:ilvl w:val="0"/>
                          <w:numId w:val="59"/>
                        </w:numPr>
                        <w:rPr>
                          <w:sz w:val="16"/>
                          <w:szCs w:val="16"/>
                        </w:rPr>
                      </w:pPr>
                      <w:r w:rsidRPr="008F56D1">
                        <w:rPr>
                          <w:sz w:val="16"/>
                          <w:szCs w:val="16"/>
                        </w:rPr>
                        <w:t>Is there a track record of adequate client capacity in the line Ministry?</w:t>
                      </w:r>
                    </w:p>
                    <w:p w14:paraId="4DA72E8A" w14:textId="77777777" w:rsidR="00DA29A4" w:rsidRPr="008F56D1" w:rsidRDefault="00DA29A4" w:rsidP="007B5E57">
                      <w:pPr>
                        <w:pStyle w:val="ListParagraph"/>
                        <w:numPr>
                          <w:ilvl w:val="0"/>
                          <w:numId w:val="59"/>
                        </w:numPr>
                        <w:rPr>
                          <w:sz w:val="16"/>
                          <w:szCs w:val="16"/>
                        </w:rPr>
                      </w:pPr>
                      <w:r w:rsidRPr="008F56D1">
                        <w:rPr>
                          <w:sz w:val="16"/>
                          <w:szCs w:val="16"/>
                        </w:rPr>
                        <w:t>Are there credible procurement and financial management resources and expertise?</w:t>
                      </w:r>
                    </w:p>
                    <w:p w14:paraId="21B14E15" w14:textId="77777777" w:rsidR="00DA29A4" w:rsidRPr="008F56D1" w:rsidRDefault="00DA29A4" w:rsidP="007B5E57">
                      <w:pPr>
                        <w:pStyle w:val="ListParagraph"/>
                        <w:numPr>
                          <w:ilvl w:val="0"/>
                          <w:numId w:val="70"/>
                        </w:numPr>
                        <w:rPr>
                          <w:sz w:val="16"/>
                          <w:szCs w:val="16"/>
                        </w:rPr>
                      </w:pPr>
                      <w:r w:rsidRPr="008F56D1">
                        <w:rPr>
                          <w:sz w:val="16"/>
                          <w:szCs w:val="16"/>
                        </w:rPr>
                        <w:t>Are there integrity and corruption concerns and how will they be managed?</w:t>
                      </w:r>
                    </w:p>
                    <w:p w14:paraId="2A0D4F53" w14:textId="77777777" w:rsidR="00DA29A4" w:rsidRPr="008F56D1" w:rsidRDefault="00DA29A4" w:rsidP="007B5E57">
                      <w:pPr>
                        <w:pStyle w:val="ListParagraph"/>
                        <w:numPr>
                          <w:ilvl w:val="0"/>
                          <w:numId w:val="59"/>
                        </w:numPr>
                        <w:rPr>
                          <w:sz w:val="16"/>
                          <w:szCs w:val="16"/>
                        </w:rPr>
                      </w:pPr>
                      <w:r w:rsidRPr="008F56D1">
                        <w:rPr>
                          <w:sz w:val="16"/>
                          <w:szCs w:val="16"/>
                        </w:rPr>
                        <w:t xml:space="preserve">Where there are gaps in the above, how tenable is it that they can be addressed, including being built and deployed through the project itself? </w:t>
                      </w:r>
                    </w:p>
                  </w:txbxContent>
                </v:textbox>
              </v:shape>
            </w:pict>
          </mc:Fallback>
        </mc:AlternateContent>
      </w:r>
      <w:r w:rsidR="000B2AE7" w:rsidRPr="00856F4E">
        <w:rPr>
          <w:noProof/>
        </w:rPr>
        <mc:AlternateContent>
          <mc:Choice Requires="wps">
            <w:drawing>
              <wp:anchor distT="0" distB="0" distL="114300" distR="114300" simplePos="0" relativeHeight="251751424" behindDoc="0" locked="0" layoutInCell="1" allowOverlap="1" wp14:anchorId="39D1B3AC" wp14:editId="0C6F2E5E">
                <wp:simplePos x="0" y="0"/>
                <wp:positionH relativeFrom="column">
                  <wp:posOffset>502285</wp:posOffset>
                </wp:positionH>
                <wp:positionV relativeFrom="paragraph">
                  <wp:posOffset>4897755</wp:posOffset>
                </wp:positionV>
                <wp:extent cx="0" cy="255270"/>
                <wp:effectExtent l="95250" t="38100" r="57150" b="11430"/>
                <wp:wrapNone/>
                <wp:docPr id="347" name="Straight Arrow Connector 347"/>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A04DA8B" id="Straight Arrow Connector 347" o:spid="_x0000_s1026" type="#_x0000_t32" style="position:absolute;margin-left:39.55pt;margin-top:385.65pt;width:0;height:20.1pt;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" strokecolor="black [3213]">
                <v:stroke endarrow="open"/>
              </v:shape>
            </w:pict>
          </mc:Fallback>
        </mc:AlternateContent>
      </w:r>
      <w:r w:rsidR="000B2AE7" w:rsidRPr="00856F4E">
        <w:rPr>
          <w:noProof/>
        </w:rPr>
        <mc:AlternateContent>
          <mc:Choice Requires="wps">
            <w:drawing>
              <wp:anchor distT="0" distB="0" distL="114300" distR="114300" simplePos="0" relativeHeight="251735040" behindDoc="0" locked="0" layoutInCell="1" allowOverlap="1" wp14:anchorId="78336F01" wp14:editId="683667A8">
                <wp:simplePos x="0" y="0"/>
                <wp:positionH relativeFrom="column">
                  <wp:posOffset>-594962</wp:posOffset>
                </wp:positionH>
                <wp:positionV relativeFrom="paragraph">
                  <wp:posOffset>740410</wp:posOffset>
                </wp:positionV>
                <wp:extent cx="2190750" cy="177165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771650"/>
                        </a:xfrm>
                        <a:prstGeom prst="rect">
                          <a:avLst/>
                        </a:prstGeom>
                        <a:solidFill>
                          <a:srgbClr val="FFFFFF"/>
                        </a:solidFill>
                        <a:ln w="9525">
                          <a:noFill/>
                          <a:miter lim="800000"/>
                          <a:headEnd/>
                          <a:tailEnd/>
                        </a:ln>
                      </wps:spPr>
                      <wps:txbx>
                        <w:txbxContent>
                          <w:p w14:paraId="1EC5B815" w14:textId="77777777" w:rsidR="00DA29A4" w:rsidRPr="008F56D1" w:rsidRDefault="00DA29A4" w:rsidP="007B5E57">
                            <w:pPr>
                              <w:pStyle w:val="ListParagraph"/>
                              <w:numPr>
                                <w:ilvl w:val="0"/>
                                <w:numId w:val="59"/>
                              </w:numPr>
                              <w:rPr>
                                <w:sz w:val="16"/>
                                <w:szCs w:val="16"/>
                              </w:rPr>
                            </w:pPr>
                            <w:r w:rsidRPr="008F56D1">
                              <w:rPr>
                                <w:sz w:val="16"/>
                                <w:szCs w:val="16"/>
                              </w:rPr>
                              <w:t>Is there a track record of adequate client capacity in the line Ministry?</w:t>
                            </w:r>
                          </w:p>
                          <w:p w14:paraId="2233C0FE" w14:textId="77777777" w:rsidR="00DA29A4" w:rsidRPr="008F56D1" w:rsidRDefault="00DA29A4" w:rsidP="007B5E57">
                            <w:pPr>
                              <w:pStyle w:val="ListParagraph"/>
                              <w:numPr>
                                <w:ilvl w:val="0"/>
                                <w:numId w:val="59"/>
                              </w:numPr>
                              <w:rPr>
                                <w:sz w:val="16"/>
                                <w:szCs w:val="16"/>
                              </w:rPr>
                            </w:pPr>
                            <w:r w:rsidRPr="008F56D1">
                              <w:rPr>
                                <w:sz w:val="16"/>
                                <w:szCs w:val="16"/>
                              </w:rPr>
                              <w:t>Are there credible procurement and financial management resources and expertise?</w:t>
                            </w:r>
                          </w:p>
                          <w:p w14:paraId="367F8F10" w14:textId="77777777" w:rsidR="00DA29A4" w:rsidRPr="008F56D1" w:rsidRDefault="00DA29A4" w:rsidP="007B5E57">
                            <w:pPr>
                              <w:pStyle w:val="ListParagraph"/>
                              <w:numPr>
                                <w:ilvl w:val="0"/>
                                <w:numId w:val="67"/>
                              </w:numPr>
                              <w:rPr>
                                <w:sz w:val="16"/>
                                <w:szCs w:val="16"/>
                              </w:rPr>
                            </w:pPr>
                            <w:r w:rsidRPr="008F56D1">
                              <w:rPr>
                                <w:sz w:val="16"/>
                                <w:szCs w:val="16"/>
                              </w:rPr>
                              <w:t>Are there integrity and corruption concerns and how will they be managed?</w:t>
                            </w:r>
                          </w:p>
                          <w:p w14:paraId="56A03AE4" w14:textId="77777777" w:rsidR="00DA29A4" w:rsidRPr="008F56D1" w:rsidRDefault="00DA29A4" w:rsidP="007B5E57">
                            <w:pPr>
                              <w:pStyle w:val="ListParagraph"/>
                              <w:numPr>
                                <w:ilvl w:val="0"/>
                                <w:numId w:val="63"/>
                              </w:numPr>
                              <w:rPr>
                                <w:sz w:val="16"/>
                                <w:szCs w:val="16"/>
                              </w:rPr>
                            </w:pPr>
                            <w:r w:rsidRPr="008F56D1">
                              <w:rPr>
                                <w:sz w:val="16"/>
                                <w:szCs w:val="16"/>
                              </w:rPr>
                              <w:t xml:space="preserve">Where there are gaps in the above, how tenable is it that they can be addressed, including being built and deployed through the project itself?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6.85pt;margin-top:58.3pt;width:172.5pt;height:1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" stroked="f">
                <v:textbox>
                  <w:txbxContent>
                    <w:p w14:paraId="1EC5B815" w14:textId="77777777" w:rsidR="00DA29A4" w:rsidRPr="008F56D1" w:rsidRDefault="00DA29A4" w:rsidP="007B5E57">
                      <w:pPr>
                        <w:pStyle w:val="ListParagraph"/>
                        <w:numPr>
                          <w:ilvl w:val="0"/>
                          <w:numId w:val="59"/>
                        </w:numPr>
                        <w:rPr>
                          <w:sz w:val="16"/>
                          <w:szCs w:val="16"/>
                        </w:rPr>
                      </w:pPr>
                      <w:r w:rsidRPr="008F56D1">
                        <w:rPr>
                          <w:sz w:val="16"/>
                          <w:szCs w:val="16"/>
                        </w:rPr>
                        <w:t>Is there a track record of adequate client capacity in the line Ministry?</w:t>
                      </w:r>
                    </w:p>
                    <w:p w14:paraId="2233C0FE" w14:textId="77777777" w:rsidR="00DA29A4" w:rsidRPr="008F56D1" w:rsidRDefault="00DA29A4" w:rsidP="007B5E57">
                      <w:pPr>
                        <w:pStyle w:val="ListParagraph"/>
                        <w:numPr>
                          <w:ilvl w:val="0"/>
                          <w:numId w:val="59"/>
                        </w:numPr>
                        <w:rPr>
                          <w:sz w:val="16"/>
                          <w:szCs w:val="16"/>
                        </w:rPr>
                      </w:pPr>
                      <w:r w:rsidRPr="008F56D1">
                        <w:rPr>
                          <w:sz w:val="16"/>
                          <w:szCs w:val="16"/>
                        </w:rPr>
                        <w:t>Are there credible procurement and financial management resources and expertise?</w:t>
                      </w:r>
                    </w:p>
                    <w:p w14:paraId="367F8F10" w14:textId="77777777" w:rsidR="00DA29A4" w:rsidRPr="008F56D1" w:rsidRDefault="00DA29A4" w:rsidP="007B5E57">
                      <w:pPr>
                        <w:pStyle w:val="ListParagraph"/>
                        <w:numPr>
                          <w:ilvl w:val="0"/>
                          <w:numId w:val="67"/>
                        </w:numPr>
                        <w:rPr>
                          <w:sz w:val="16"/>
                          <w:szCs w:val="16"/>
                        </w:rPr>
                      </w:pPr>
                      <w:r w:rsidRPr="008F56D1">
                        <w:rPr>
                          <w:sz w:val="16"/>
                          <w:szCs w:val="16"/>
                        </w:rPr>
                        <w:t>Are there integrity and corruption concerns and how will they be managed?</w:t>
                      </w:r>
                    </w:p>
                    <w:p w14:paraId="56A03AE4" w14:textId="77777777" w:rsidR="00DA29A4" w:rsidRPr="008F56D1" w:rsidRDefault="00DA29A4" w:rsidP="007B5E57">
                      <w:pPr>
                        <w:pStyle w:val="ListParagraph"/>
                        <w:numPr>
                          <w:ilvl w:val="0"/>
                          <w:numId w:val="63"/>
                        </w:numPr>
                        <w:rPr>
                          <w:sz w:val="16"/>
                          <w:szCs w:val="16"/>
                        </w:rPr>
                      </w:pPr>
                      <w:r w:rsidRPr="008F56D1">
                        <w:rPr>
                          <w:sz w:val="16"/>
                          <w:szCs w:val="16"/>
                        </w:rPr>
                        <w:t xml:space="preserve">Where there are gaps in the above, how tenable is it that they can be addressed, including being built and deployed through the project itself? </w:t>
                      </w:r>
                    </w:p>
                  </w:txbxContent>
                </v:textbox>
              </v:shape>
            </w:pict>
          </mc:Fallback>
        </mc:AlternateContent>
      </w:r>
    </w:p>
    <w:p w14:paraId="5B048380" w14:textId="77777777" w:rsidR="000B2AE7" w:rsidRPr="0047346F" w:rsidRDefault="000B2AE7" w:rsidP="000B2AE7">
      <w:pPr>
        <w:pStyle w:val="ListParagraph"/>
        <w:ind w:left="0"/>
        <w:contextualSpacing w:val="0"/>
        <w:jc w:val="center"/>
        <w:rPr>
          <w:b/>
        </w:rPr>
        <w:sectPr w:rsidR="000B2AE7" w:rsidRPr="0047346F" w:rsidSect="00026F59">
          <w:headerReference w:type="default" r:id="rId36"/>
          <w:footerReference w:type="default" r:id="rId37"/>
          <w:endnotePr>
            <w:numFmt w:val="decimal"/>
          </w:endnotePr>
          <w:pgSz w:w="12240" w:h="15840" w:code="1"/>
          <w:pgMar w:top="998" w:right="1170" w:bottom="990" w:left="1170" w:header="708" w:footer="708" w:gutter="0"/>
          <w:cols w:space="708"/>
          <w:docGrid w:linePitch="360"/>
        </w:sectPr>
      </w:pPr>
    </w:p>
    <w:p w14:paraId="39EDD573" w14:textId="3B61BED8" w:rsidR="0084397A" w:rsidRPr="00BF1986" w:rsidRDefault="00BF1986" w:rsidP="00BF1986">
      <w:pPr>
        <w:pStyle w:val="Caption"/>
        <w:jc w:val="center"/>
        <w:rPr>
          <w:rFonts w:ascii="Times New Roman" w:hAnsi="Times New Roman" w:cs="Times New Roman"/>
          <w:b w:val="0"/>
          <w:color w:val="auto"/>
          <w:sz w:val="24"/>
          <w:szCs w:val="24"/>
        </w:rPr>
      </w:pPr>
      <w:bookmarkStart w:id="19" w:name="_Toc387342577"/>
      <w:r w:rsidRPr="00BF1986">
        <w:rPr>
          <w:rFonts w:ascii="Times New Roman" w:hAnsi="Times New Roman" w:cs="Times New Roman"/>
          <w:color w:val="auto"/>
          <w:sz w:val="24"/>
          <w:szCs w:val="24"/>
        </w:rPr>
        <w:lastRenderedPageBreak/>
        <w:t xml:space="preserve">Annex </w:t>
      </w:r>
      <w:r w:rsidRPr="00BF1986">
        <w:rPr>
          <w:rFonts w:ascii="Times New Roman" w:hAnsi="Times New Roman" w:cs="Times New Roman"/>
          <w:color w:val="auto"/>
          <w:sz w:val="24"/>
          <w:szCs w:val="24"/>
        </w:rPr>
        <w:fldChar w:fldCharType="begin"/>
      </w:r>
      <w:r w:rsidRPr="00BF1986">
        <w:rPr>
          <w:rFonts w:ascii="Times New Roman" w:hAnsi="Times New Roman" w:cs="Times New Roman"/>
          <w:color w:val="auto"/>
          <w:sz w:val="24"/>
          <w:szCs w:val="24"/>
        </w:rPr>
        <w:instrText xml:space="preserve"> SEQ Annex \* ARABIC </w:instrText>
      </w:r>
      <w:r w:rsidRPr="00BF1986">
        <w:rPr>
          <w:rFonts w:ascii="Times New Roman" w:hAnsi="Times New Roman" w:cs="Times New Roman"/>
          <w:color w:val="auto"/>
          <w:sz w:val="24"/>
          <w:szCs w:val="24"/>
        </w:rPr>
        <w:fldChar w:fldCharType="separate"/>
      </w:r>
      <w:r w:rsidR="00256F32">
        <w:rPr>
          <w:rFonts w:ascii="Times New Roman" w:hAnsi="Times New Roman" w:cs="Times New Roman"/>
          <w:noProof/>
          <w:color w:val="auto"/>
          <w:sz w:val="24"/>
          <w:szCs w:val="24"/>
        </w:rPr>
        <w:t>16</w:t>
      </w:r>
      <w:r w:rsidRPr="00BF1986">
        <w:rPr>
          <w:rFonts w:ascii="Times New Roman" w:hAnsi="Times New Roman" w:cs="Times New Roman"/>
          <w:color w:val="auto"/>
          <w:sz w:val="24"/>
          <w:szCs w:val="24"/>
        </w:rPr>
        <w:fldChar w:fldCharType="end"/>
      </w:r>
      <w:r w:rsidRPr="00BF1986">
        <w:rPr>
          <w:rFonts w:ascii="Times New Roman" w:hAnsi="Times New Roman" w:cs="Times New Roman"/>
          <w:noProof/>
          <w:color w:val="auto"/>
          <w:sz w:val="24"/>
          <w:szCs w:val="24"/>
        </w:rPr>
        <w:t>: Kenya at a glance</w:t>
      </w:r>
      <w:bookmarkEnd w:id="19"/>
    </w:p>
    <w:p w14:paraId="47B03F56" w14:textId="486D1F4E" w:rsidR="0084397A" w:rsidRDefault="0084397A" w:rsidP="008E5122">
      <w:pPr>
        <w:pStyle w:val="ListParagraph"/>
        <w:ind w:left="-720" w:right="-784"/>
        <w:contextualSpacing w:val="0"/>
        <w:jc w:val="center"/>
        <w:rPr>
          <w:rFonts w:ascii="Times New Roman" w:hAnsi="Times New Roman" w:cs="Times New Roman"/>
          <w:sz w:val="24"/>
          <w:szCs w:val="24"/>
        </w:rPr>
      </w:pPr>
      <w:r w:rsidRPr="0084397A">
        <w:rPr>
          <w:noProof/>
        </w:rPr>
        <w:drawing>
          <wp:inline distT="0" distB="0" distL="0" distR="0" wp14:anchorId="1D56D8F1" wp14:editId="27CD54B8">
            <wp:extent cx="5611495" cy="8229600"/>
            <wp:effectExtent l="0" t="0" r="825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1495" cy="8229600"/>
                    </a:xfrm>
                    <a:prstGeom prst="rect">
                      <a:avLst/>
                    </a:prstGeom>
                  </pic:spPr>
                </pic:pic>
              </a:graphicData>
            </a:graphic>
          </wp:inline>
        </w:drawing>
      </w:r>
    </w:p>
    <w:p w14:paraId="43AE25F7" w14:textId="0B37CF0B" w:rsidR="0084397A" w:rsidRDefault="0084397A" w:rsidP="008E5122">
      <w:pPr>
        <w:pStyle w:val="ListParagraph"/>
        <w:ind w:left="-720" w:right="-784"/>
        <w:contextualSpacing w:val="0"/>
        <w:jc w:val="center"/>
        <w:rPr>
          <w:rFonts w:ascii="Times New Roman" w:hAnsi="Times New Roman" w:cs="Times New Roman"/>
          <w:sz w:val="24"/>
          <w:szCs w:val="24"/>
        </w:rPr>
        <w:sectPr w:rsidR="0084397A" w:rsidSect="0084397A">
          <w:headerReference w:type="default" r:id="rId39"/>
          <w:footerReference w:type="default" r:id="rId40"/>
          <w:endnotePr>
            <w:numFmt w:val="decimal"/>
          </w:endnotePr>
          <w:pgSz w:w="12240" w:h="15840"/>
          <w:pgMar w:top="990" w:right="1440" w:bottom="1170" w:left="1440" w:header="720" w:footer="720" w:gutter="0"/>
          <w:cols w:space="720"/>
          <w:docGrid w:linePitch="360"/>
        </w:sectPr>
      </w:pPr>
    </w:p>
    <w:p w14:paraId="74CE3D14" w14:textId="0645A6ED" w:rsidR="0084397A" w:rsidRDefault="0084397A" w:rsidP="008E5122">
      <w:pPr>
        <w:pStyle w:val="ListParagraph"/>
        <w:ind w:left="-720" w:right="-784"/>
        <w:contextualSpacing w:val="0"/>
        <w:jc w:val="center"/>
        <w:rPr>
          <w:rFonts w:ascii="Times New Roman" w:hAnsi="Times New Roman" w:cs="Times New Roman"/>
          <w:sz w:val="24"/>
          <w:szCs w:val="24"/>
        </w:rPr>
        <w:sectPr w:rsidR="0084397A" w:rsidSect="00F96822">
          <w:endnotePr>
            <w:numFmt w:val="decimal"/>
          </w:endnotePr>
          <w:pgSz w:w="12240" w:h="15840"/>
          <w:pgMar w:top="1166" w:right="1440" w:bottom="1267" w:left="1440" w:header="720" w:footer="720" w:gutter="0"/>
          <w:cols w:space="720"/>
          <w:docGrid w:linePitch="360"/>
        </w:sectPr>
      </w:pPr>
      <w:r w:rsidRPr="0084397A">
        <w:rPr>
          <w:noProof/>
        </w:rPr>
        <w:lastRenderedPageBreak/>
        <w:drawing>
          <wp:inline distT="0" distB="0" distL="0" distR="0" wp14:anchorId="392190BD" wp14:editId="57BA76CE">
            <wp:extent cx="5406390" cy="8229600"/>
            <wp:effectExtent l="0" t="0" r="381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6390" cy="8229600"/>
                    </a:xfrm>
                    <a:prstGeom prst="rect">
                      <a:avLst/>
                    </a:prstGeom>
                  </pic:spPr>
                </pic:pic>
              </a:graphicData>
            </a:graphic>
          </wp:inline>
        </w:drawing>
      </w:r>
    </w:p>
    <w:p w14:paraId="5735A8A1" w14:textId="270A1729" w:rsidR="000B2AE7" w:rsidRPr="00985F1A" w:rsidRDefault="0084397A" w:rsidP="008E5122">
      <w:pPr>
        <w:pStyle w:val="ListParagraph"/>
        <w:ind w:left="-720" w:right="-784"/>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275324" wp14:editId="1CC52CB7">
            <wp:extent cx="5943600" cy="81343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40839.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8134350"/>
                    </a:xfrm>
                    <a:prstGeom prst="rect">
                      <a:avLst/>
                    </a:prstGeom>
                  </pic:spPr>
                </pic:pic>
              </a:graphicData>
            </a:graphic>
          </wp:inline>
        </w:drawing>
      </w:r>
    </w:p>
    <w:sectPr w:rsidR="000B2AE7" w:rsidRPr="00985F1A" w:rsidSect="00F96822">
      <w:endnotePr>
        <w:numFmt w:val="decimal"/>
      </w:endnotePr>
      <w:pgSz w:w="12240" w:h="15840"/>
      <w:pgMar w:top="1166" w:right="1440" w:bottom="12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791AD" w14:textId="77777777" w:rsidR="00207A0D" w:rsidRDefault="00207A0D" w:rsidP="000F46D4">
      <w:pPr>
        <w:spacing w:after="0" w:line="240" w:lineRule="auto"/>
      </w:pPr>
      <w:r>
        <w:separator/>
      </w:r>
    </w:p>
  </w:endnote>
  <w:endnote w:type="continuationSeparator" w:id="0">
    <w:p w14:paraId="5B2A31A0" w14:textId="77777777" w:rsidR="00207A0D" w:rsidRDefault="00207A0D" w:rsidP="000F46D4">
      <w:pPr>
        <w:spacing w:after="0" w:line="240" w:lineRule="auto"/>
      </w:pPr>
      <w:r>
        <w:continuationSeparator/>
      </w:r>
    </w:p>
  </w:endnote>
  <w:endnote w:id="1">
    <w:p w14:paraId="4351C8F8"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IMF WEO database and team calculations</w:t>
      </w:r>
    </w:p>
  </w:endnote>
  <w:endnote w:id="2">
    <w:p w14:paraId="3397AF4E"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IMF Fifth Review under the Three Year Arrangement,</w:t>
      </w:r>
      <w:r>
        <w:rPr>
          <w:rFonts w:ascii="Times New Roman" w:hAnsi="Times New Roman" w:cs="Times New Roman"/>
        </w:rPr>
        <w:t xml:space="preserve"> </w:t>
      </w:r>
      <w:r w:rsidRPr="00C844EE">
        <w:rPr>
          <w:rFonts w:ascii="Times New Roman" w:hAnsi="Times New Roman" w:cs="Times New Roman"/>
        </w:rPr>
        <w:t xml:space="preserve">p 5. </w:t>
      </w:r>
    </w:p>
  </w:endnote>
  <w:endnote w:id="3">
    <w:p w14:paraId="5D2D1BAD"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IMF WEO data, CPI index 2005-13, and team calculations</w:t>
      </w:r>
    </w:p>
  </w:endnote>
  <w:endnote w:id="4">
    <w:p w14:paraId="268B9B9C"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World Bank, Republic of Kenya Policy Notes, Achieving Shared Prosperity in Kenya, June 2013, page 58</w:t>
      </w:r>
    </w:p>
  </w:endnote>
  <w:endnote w:id="5">
    <w:p w14:paraId="54DD6864"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IMF Staff Report January 2012 para 24</w:t>
      </w:r>
    </w:p>
  </w:endnote>
  <w:endnote w:id="6">
    <w:p w14:paraId="4CFAB16C"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Note on Poverty, World Bank, p 1</w:t>
      </w:r>
    </w:p>
  </w:endnote>
  <w:endnote w:id="7">
    <w:p w14:paraId="4875680E"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World Bank, Republic of Kenya Policy Notes, Achieving Shared Prosperity in Kenya, June 2013, page 79</w:t>
      </w:r>
    </w:p>
  </w:endnote>
  <w:endnote w:id="8">
    <w:p w14:paraId="5B25C989"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World Bank, Republic of Kenya Policy Notes, Achieving Shared Prosperity in Kenya, June 2013, page 79</w:t>
      </w:r>
    </w:p>
  </w:endnote>
  <w:endnote w:id="9">
    <w:p w14:paraId="53B16E8D"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Fact sheet: the World Bank and Energy in Africa (</w:t>
      </w:r>
      <w:hyperlink r:id="rId1" w:history="1">
        <w:r w:rsidRPr="00C844EE">
          <w:rPr>
            <w:rStyle w:val="Hyperlink"/>
            <w:rFonts w:ascii="Times New Roman" w:hAnsi="Times New Roman" w:cs="Times New Roman"/>
          </w:rPr>
          <w:t>http://web.worldbank.org/WBSITE/EXTERNAL/COUNTRIES/AFRICAEXT/0,,contentMDK:21935594~pagePK:146736~piPK:146830~theSitePK:258644,00.html</w:t>
        </w:r>
      </w:hyperlink>
      <w:r w:rsidRPr="00C844EE">
        <w:rPr>
          <w:rFonts w:ascii="Times New Roman" w:hAnsi="Times New Roman" w:cs="Times New Roman"/>
        </w:rPr>
        <w:t>) ; Electricity PAD para 11</w:t>
      </w:r>
    </w:p>
  </w:endnote>
  <w:endnote w:id="10">
    <w:p w14:paraId="58EAF2A2"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Kenya Economic Update p 43</w:t>
      </w:r>
    </w:p>
  </w:endnote>
  <w:endnote w:id="11">
    <w:p w14:paraId="486B21C5"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World Bank, Republic of Kenya Policy Notes, Achieving Shared Prosperity in Kenya, June 2013, page 24</w:t>
      </w:r>
    </w:p>
  </w:endnote>
  <w:endnote w:id="12">
    <w:p w14:paraId="50FB5224" w14:textId="77777777" w:rsidR="00DA29A4" w:rsidRPr="00C844EE" w:rsidRDefault="00DA29A4" w:rsidP="00C844EE">
      <w:pPr>
        <w:pStyle w:val="EndnoteText"/>
        <w:rPr>
          <w:rFonts w:ascii="Times New Roman" w:hAnsi="Times New Roman" w:cs="Times New Roman"/>
        </w:rPr>
      </w:pPr>
      <w:r w:rsidRPr="00C844EE">
        <w:rPr>
          <w:rStyle w:val="EndnoteReference"/>
          <w:rFonts w:ascii="Times New Roman" w:hAnsi="Times New Roman" w:cs="Times New Roman"/>
        </w:rPr>
        <w:endnoteRef/>
      </w:r>
      <w:r w:rsidRPr="00C844EE">
        <w:rPr>
          <w:rFonts w:ascii="Times New Roman" w:hAnsi="Times New Roman" w:cs="Times New Roman"/>
        </w:rPr>
        <w:t xml:space="preserve"> Vision 2030 Progress Report, Health section</w:t>
      </w:r>
    </w:p>
  </w:endnote>
  <w:endnote w:id="13">
    <w:p w14:paraId="548B052B" w14:textId="77777777" w:rsidR="00DA29A4" w:rsidRDefault="00DA29A4" w:rsidP="00C844EE">
      <w:pPr>
        <w:pStyle w:val="EndnoteText"/>
      </w:pPr>
      <w:r w:rsidRPr="00C844EE">
        <w:rPr>
          <w:rStyle w:val="EndnoteReference"/>
          <w:rFonts w:ascii="Times New Roman" w:hAnsi="Times New Roman" w:cs="Times New Roman"/>
        </w:rPr>
        <w:endnoteRef/>
      </w:r>
      <w:r w:rsidRPr="00C844EE">
        <w:rPr>
          <w:rFonts w:ascii="Times New Roman" w:hAnsi="Times New Roman" w:cs="Times New Roman"/>
        </w:rPr>
        <w:t xml:space="preserve"> World Bank, Republic of Kenya Policy Notes, Achieving Shared Prosperity in Kenya, June 2013, page 44 Table 1.6.1</w:t>
      </w:r>
    </w:p>
  </w:endnote>
  <w:endnote w:id="14">
    <w:p w14:paraId="74523782" w14:textId="77777777" w:rsidR="00DA29A4" w:rsidRDefault="00DA29A4" w:rsidP="00C844EE">
      <w:pPr>
        <w:pStyle w:val="EndnoteText"/>
      </w:pPr>
      <w:r>
        <w:rPr>
          <w:rStyle w:val="EndnoteReference"/>
        </w:rPr>
        <w:endnoteRef/>
      </w:r>
      <w:r>
        <w:t xml:space="preserve"> These crops include green grams, mangoes, groundnuts and sunflower.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ms Rmn">
    <w:altName w:val="Times New Roma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1D627" w14:textId="77777777" w:rsidR="00C663A8" w:rsidRDefault="00C66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6084A" w14:textId="64577EC7" w:rsidR="00DA29A4" w:rsidRDefault="00DA29A4">
    <w:pPr>
      <w:pStyle w:val="Footer"/>
      <w:jc w:val="right"/>
    </w:pPr>
  </w:p>
  <w:p w14:paraId="7A5B110D" w14:textId="77777777" w:rsidR="00DA29A4" w:rsidRPr="009C5CB0" w:rsidRDefault="00DA29A4" w:rsidP="009C5CB0">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3B563" w14:textId="550AEDBC" w:rsidR="00DA29A4" w:rsidRPr="00A92D17" w:rsidRDefault="00DA29A4">
    <w:pPr>
      <w:pStyle w:val="Footer"/>
      <w:jc w:val="right"/>
      <w:rPr>
        <w:rFonts w:ascii="Times New Roman" w:hAnsi="Times New Roman" w:cs="Times New Roman"/>
        <w:sz w:val="24"/>
      </w:rPr>
    </w:pPr>
  </w:p>
  <w:p w14:paraId="3C925AED" w14:textId="77777777" w:rsidR="00DA29A4" w:rsidRPr="00A92D17" w:rsidRDefault="00DA29A4" w:rsidP="00A92D17">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91105"/>
      <w:docPartObj>
        <w:docPartGallery w:val="Page Numbers (Bottom of Page)"/>
        <w:docPartUnique/>
      </w:docPartObj>
    </w:sdtPr>
    <w:sdtEndPr>
      <w:rPr>
        <w:rFonts w:ascii="Times New Roman" w:hAnsi="Times New Roman" w:cs="Times New Roman"/>
        <w:noProof/>
      </w:rPr>
    </w:sdtEndPr>
    <w:sdtContent>
      <w:p w14:paraId="4F830CDF" w14:textId="7A19C545" w:rsidR="00C663A8" w:rsidRPr="00C663A8" w:rsidRDefault="00C663A8">
        <w:pPr>
          <w:pStyle w:val="Footer"/>
          <w:jc w:val="right"/>
          <w:rPr>
            <w:rFonts w:ascii="Times New Roman" w:hAnsi="Times New Roman" w:cs="Times New Roman"/>
          </w:rPr>
        </w:pPr>
        <w:r w:rsidRPr="00C663A8">
          <w:rPr>
            <w:rFonts w:ascii="Times New Roman" w:hAnsi="Times New Roman" w:cs="Times New Roman"/>
          </w:rPr>
          <w:fldChar w:fldCharType="begin"/>
        </w:r>
        <w:r w:rsidRPr="00C663A8">
          <w:rPr>
            <w:rFonts w:ascii="Times New Roman" w:hAnsi="Times New Roman" w:cs="Times New Roman"/>
          </w:rPr>
          <w:instrText xml:space="preserve"> PAGE   \* MERGEFORMAT </w:instrText>
        </w:r>
        <w:r w:rsidRPr="00C663A8">
          <w:rPr>
            <w:rFonts w:ascii="Times New Roman" w:hAnsi="Times New Roman" w:cs="Times New Roman"/>
          </w:rPr>
          <w:fldChar w:fldCharType="separate"/>
        </w:r>
        <w:r w:rsidR="00256F32">
          <w:rPr>
            <w:rFonts w:ascii="Times New Roman" w:hAnsi="Times New Roman" w:cs="Times New Roman"/>
            <w:noProof/>
          </w:rPr>
          <w:t>1</w:t>
        </w:r>
        <w:r w:rsidRPr="00C663A8">
          <w:rPr>
            <w:rFonts w:ascii="Times New Roman" w:hAnsi="Times New Roman" w:cs="Times New Roman"/>
            <w:noProof/>
          </w:rPr>
          <w:fldChar w:fldCharType="end"/>
        </w:r>
      </w:p>
    </w:sdtContent>
  </w:sdt>
  <w:p w14:paraId="576A7555" w14:textId="77777777" w:rsidR="00C663A8" w:rsidRPr="009C5CB0" w:rsidRDefault="00C663A8" w:rsidP="009C5CB0">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30449691"/>
      <w:docPartObj>
        <w:docPartGallery w:val="Page Numbers (Bottom of Page)"/>
        <w:docPartUnique/>
      </w:docPartObj>
    </w:sdtPr>
    <w:sdtEndPr>
      <w:rPr>
        <w:noProof/>
      </w:rPr>
    </w:sdtEndPr>
    <w:sdtContent>
      <w:p w14:paraId="61255B08" w14:textId="77777777" w:rsidR="00DA29A4" w:rsidRPr="007B5E57" w:rsidRDefault="00DA29A4">
        <w:pPr>
          <w:pStyle w:val="Footer"/>
          <w:jc w:val="right"/>
          <w:rPr>
            <w:rFonts w:ascii="Times New Roman" w:hAnsi="Times New Roman" w:cs="Times New Roman"/>
            <w:sz w:val="24"/>
            <w:szCs w:val="24"/>
          </w:rPr>
        </w:pPr>
        <w:r w:rsidRPr="007B5E57">
          <w:rPr>
            <w:rFonts w:ascii="Times New Roman" w:hAnsi="Times New Roman" w:cs="Times New Roman"/>
            <w:sz w:val="24"/>
            <w:szCs w:val="24"/>
          </w:rPr>
          <w:fldChar w:fldCharType="begin"/>
        </w:r>
        <w:r w:rsidRPr="007B5E57">
          <w:rPr>
            <w:rFonts w:ascii="Times New Roman" w:hAnsi="Times New Roman" w:cs="Times New Roman"/>
            <w:sz w:val="24"/>
            <w:szCs w:val="24"/>
          </w:rPr>
          <w:instrText xml:space="preserve"> PAGE   \* MERGEFORMAT </w:instrText>
        </w:r>
        <w:r w:rsidRPr="007B5E57">
          <w:rPr>
            <w:rFonts w:ascii="Times New Roman" w:hAnsi="Times New Roman" w:cs="Times New Roman"/>
            <w:sz w:val="24"/>
            <w:szCs w:val="24"/>
          </w:rPr>
          <w:fldChar w:fldCharType="separate"/>
        </w:r>
        <w:r w:rsidR="00256F32">
          <w:rPr>
            <w:rFonts w:ascii="Times New Roman" w:hAnsi="Times New Roman" w:cs="Times New Roman"/>
            <w:noProof/>
            <w:sz w:val="24"/>
            <w:szCs w:val="24"/>
          </w:rPr>
          <w:t>30</w:t>
        </w:r>
        <w:r w:rsidRPr="007B5E57">
          <w:rPr>
            <w:rFonts w:ascii="Times New Roman" w:hAnsi="Times New Roman" w:cs="Times New Roman"/>
            <w:noProof/>
            <w:sz w:val="24"/>
            <w:szCs w:val="24"/>
          </w:rPr>
          <w:fldChar w:fldCharType="end"/>
        </w:r>
      </w:p>
    </w:sdtContent>
  </w:sdt>
  <w:p w14:paraId="71223F42" w14:textId="77777777" w:rsidR="00DA29A4" w:rsidRPr="007B5E57" w:rsidRDefault="00DA29A4">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10942387"/>
      <w:docPartObj>
        <w:docPartGallery w:val="Page Numbers (Bottom of Page)"/>
        <w:docPartUnique/>
      </w:docPartObj>
    </w:sdtPr>
    <w:sdtEndPr>
      <w:rPr>
        <w:noProof/>
      </w:rPr>
    </w:sdtEndPr>
    <w:sdtContent>
      <w:p w14:paraId="74F96903" w14:textId="77777777" w:rsidR="00DA29A4" w:rsidRPr="00C844EE" w:rsidRDefault="00DA29A4">
        <w:pPr>
          <w:pStyle w:val="Footer"/>
          <w:jc w:val="right"/>
          <w:rPr>
            <w:rFonts w:ascii="Times New Roman" w:hAnsi="Times New Roman" w:cs="Times New Roman"/>
            <w:sz w:val="24"/>
            <w:szCs w:val="24"/>
          </w:rPr>
        </w:pPr>
        <w:r w:rsidRPr="00C844EE">
          <w:rPr>
            <w:rFonts w:ascii="Times New Roman" w:hAnsi="Times New Roman" w:cs="Times New Roman"/>
            <w:sz w:val="24"/>
            <w:szCs w:val="24"/>
          </w:rPr>
          <w:fldChar w:fldCharType="begin"/>
        </w:r>
        <w:r w:rsidRPr="00C844EE">
          <w:rPr>
            <w:rFonts w:ascii="Times New Roman" w:hAnsi="Times New Roman" w:cs="Times New Roman"/>
            <w:sz w:val="24"/>
            <w:szCs w:val="24"/>
          </w:rPr>
          <w:instrText xml:space="preserve"> PAGE   \* MERGEFORMAT </w:instrText>
        </w:r>
        <w:r w:rsidRPr="00C844EE">
          <w:rPr>
            <w:rFonts w:ascii="Times New Roman" w:hAnsi="Times New Roman" w:cs="Times New Roman"/>
            <w:sz w:val="24"/>
            <w:szCs w:val="24"/>
          </w:rPr>
          <w:fldChar w:fldCharType="separate"/>
        </w:r>
        <w:r w:rsidR="00256F32">
          <w:rPr>
            <w:rFonts w:ascii="Times New Roman" w:hAnsi="Times New Roman" w:cs="Times New Roman"/>
            <w:noProof/>
            <w:sz w:val="24"/>
            <w:szCs w:val="24"/>
          </w:rPr>
          <w:t>43</w:t>
        </w:r>
        <w:r w:rsidRPr="00C844EE">
          <w:rPr>
            <w:rFonts w:ascii="Times New Roman" w:hAnsi="Times New Roman" w:cs="Times New Roman"/>
            <w:noProof/>
            <w:sz w:val="24"/>
            <w:szCs w:val="24"/>
          </w:rPr>
          <w:fldChar w:fldCharType="end"/>
        </w:r>
      </w:p>
    </w:sdtContent>
  </w:sdt>
  <w:p w14:paraId="1F3E7E72" w14:textId="77777777" w:rsidR="00DA29A4" w:rsidRPr="00C844EE" w:rsidRDefault="00DA29A4">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04219045"/>
      <w:docPartObj>
        <w:docPartGallery w:val="Page Numbers (Bottom of Page)"/>
        <w:docPartUnique/>
      </w:docPartObj>
    </w:sdtPr>
    <w:sdtEndPr>
      <w:rPr>
        <w:noProof/>
      </w:rPr>
    </w:sdtEndPr>
    <w:sdtContent>
      <w:p w14:paraId="4B918A74" w14:textId="77777777" w:rsidR="00DA29A4" w:rsidRPr="00C844EE" w:rsidRDefault="00DA29A4">
        <w:pPr>
          <w:pStyle w:val="Footer"/>
          <w:jc w:val="right"/>
          <w:rPr>
            <w:rFonts w:ascii="Times New Roman" w:hAnsi="Times New Roman" w:cs="Times New Roman"/>
            <w:sz w:val="24"/>
            <w:szCs w:val="24"/>
          </w:rPr>
        </w:pPr>
        <w:r w:rsidRPr="00C844EE">
          <w:rPr>
            <w:rFonts w:ascii="Times New Roman" w:hAnsi="Times New Roman" w:cs="Times New Roman"/>
            <w:sz w:val="24"/>
            <w:szCs w:val="24"/>
          </w:rPr>
          <w:fldChar w:fldCharType="begin"/>
        </w:r>
        <w:r w:rsidRPr="00C844EE">
          <w:rPr>
            <w:rFonts w:ascii="Times New Roman" w:hAnsi="Times New Roman" w:cs="Times New Roman"/>
            <w:sz w:val="24"/>
            <w:szCs w:val="24"/>
          </w:rPr>
          <w:instrText xml:space="preserve"> PAGE   \* MERGEFORMAT </w:instrText>
        </w:r>
        <w:r w:rsidRPr="00C844EE">
          <w:rPr>
            <w:rFonts w:ascii="Times New Roman" w:hAnsi="Times New Roman" w:cs="Times New Roman"/>
            <w:sz w:val="24"/>
            <w:szCs w:val="24"/>
          </w:rPr>
          <w:fldChar w:fldCharType="separate"/>
        </w:r>
        <w:r w:rsidR="00256F32">
          <w:rPr>
            <w:rFonts w:ascii="Times New Roman" w:hAnsi="Times New Roman" w:cs="Times New Roman"/>
            <w:noProof/>
            <w:sz w:val="24"/>
            <w:szCs w:val="24"/>
          </w:rPr>
          <w:t>85</w:t>
        </w:r>
        <w:r w:rsidRPr="00C844EE">
          <w:rPr>
            <w:rFonts w:ascii="Times New Roman" w:hAnsi="Times New Roman" w:cs="Times New Roman"/>
            <w:noProof/>
            <w:sz w:val="24"/>
            <w:szCs w:val="24"/>
          </w:rPr>
          <w:fldChar w:fldCharType="end"/>
        </w:r>
      </w:p>
    </w:sdtContent>
  </w:sdt>
  <w:p w14:paraId="29796819" w14:textId="77777777" w:rsidR="00DA29A4" w:rsidRPr="00C844EE" w:rsidRDefault="00DA29A4">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22143787"/>
      <w:docPartObj>
        <w:docPartGallery w:val="Page Numbers (Bottom of Page)"/>
        <w:docPartUnique/>
      </w:docPartObj>
    </w:sdtPr>
    <w:sdtEndPr>
      <w:rPr>
        <w:noProof/>
      </w:rPr>
    </w:sdtEndPr>
    <w:sdtContent>
      <w:p w14:paraId="2D4392E6" w14:textId="77777777" w:rsidR="00DA29A4" w:rsidRPr="00A92D17" w:rsidRDefault="00DA29A4">
        <w:pPr>
          <w:pStyle w:val="Footer"/>
          <w:jc w:val="right"/>
          <w:rPr>
            <w:rFonts w:ascii="Times New Roman" w:hAnsi="Times New Roman" w:cs="Times New Roman"/>
            <w:sz w:val="24"/>
          </w:rPr>
        </w:pPr>
        <w:r w:rsidRPr="00A92D17">
          <w:rPr>
            <w:rFonts w:ascii="Times New Roman" w:hAnsi="Times New Roman" w:cs="Times New Roman"/>
            <w:sz w:val="24"/>
          </w:rPr>
          <w:fldChar w:fldCharType="begin"/>
        </w:r>
        <w:r w:rsidRPr="00A92D17">
          <w:rPr>
            <w:rFonts w:ascii="Times New Roman" w:hAnsi="Times New Roman" w:cs="Times New Roman"/>
            <w:sz w:val="24"/>
          </w:rPr>
          <w:instrText xml:space="preserve"> PAGE   \* MERGEFORMAT </w:instrText>
        </w:r>
        <w:r w:rsidRPr="00A92D17">
          <w:rPr>
            <w:rFonts w:ascii="Times New Roman" w:hAnsi="Times New Roman" w:cs="Times New Roman"/>
            <w:sz w:val="24"/>
          </w:rPr>
          <w:fldChar w:fldCharType="separate"/>
        </w:r>
        <w:r w:rsidR="00256F32">
          <w:rPr>
            <w:rFonts w:ascii="Times New Roman" w:hAnsi="Times New Roman" w:cs="Times New Roman"/>
            <w:noProof/>
            <w:sz w:val="24"/>
          </w:rPr>
          <w:t>86</w:t>
        </w:r>
        <w:r w:rsidRPr="00A92D17">
          <w:rPr>
            <w:rFonts w:ascii="Times New Roman" w:hAnsi="Times New Roman" w:cs="Times New Roman"/>
            <w:noProof/>
            <w:sz w:val="24"/>
          </w:rPr>
          <w:fldChar w:fldCharType="end"/>
        </w:r>
      </w:p>
    </w:sdtContent>
  </w:sdt>
  <w:p w14:paraId="14673A5A" w14:textId="77777777" w:rsidR="00DA29A4" w:rsidRDefault="00DA29A4">
    <w:pPr>
      <w:pStyle w:val="Footer"/>
      <w:rPr>
        <w:rFonts w:ascii="Times New Roman" w:hAnsi="Times New Roman" w:cs="Times New Roman"/>
        <w:sz w:val="28"/>
      </w:rPr>
    </w:pPr>
  </w:p>
  <w:p w14:paraId="5493E8EF" w14:textId="77777777" w:rsidR="00DA29A4" w:rsidRDefault="00DA29A4">
    <w:pPr>
      <w:pStyle w:val="Footer"/>
      <w:rPr>
        <w:rFonts w:ascii="Times New Roman" w:hAnsi="Times New Roman" w:cs="Times New Roman"/>
        <w:sz w:val="28"/>
      </w:rPr>
    </w:pPr>
  </w:p>
  <w:p w14:paraId="495BF9DB" w14:textId="77777777" w:rsidR="00DA29A4" w:rsidRDefault="00DA29A4">
    <w:pPr>
      <w:pStyle w:val="Footer"/>
      <w:rPr>
        <w:rFonts w:ascii="Times New Roman" w:hAnsi="Times New Roman" w:cs="Times New Roman"/>
        <w:sz w:val="28"/>
      </w:rPr>
    </w:pPr>
  </w:p>
  <w:p w14:paraId="688D2903" w14:textId="77777777" w:rsidR="00DA29A4" w:rsidRDefault="00DA29A4">
    <w:pPr>
      <w:pStyle w:val="Footer"/>
      <w:rPr>
        <w:rFonts w:ascii="Times New Roman" w:hAnsi="Times New Roman" w:cs="Times New Roman"/>
        <w:sz w:val="28"/>
      </w:rPr>
    </w:pPr>
  </w:p>
  <w:p w14:paraId="0A6B4BDC" w14:textId="77777777" w:rsidR="00DA29A4" w:rsidRDefault="00DA29A4">
    <w:pPr>
      <w:pStyle w:val="Footer"/>
      <w:rPr>
        <w:rFonts w:ascii="Times New Roman" w:hAnsi="Times New Roman" w:cs="Times New Roman"/>
        <w:sz w:val="28"/>
      </w:rPr>
    </w:pPr>
  </w:p>
  <w:p w14:paraId="50FA41FB" w14:textId="77777777" w:rsidR="00DA29A4" w:rsidRDefault="00DA29A4">
    <w:pPr>
      <w:pStyle w:val="Footer"/>
      <w:rPr>
        <w:rFonts w:ascii="Times New Roman" w:hAnsi="Times New Roman" w:cs="Times New Roman"/>
        <w:sz w:val="28"/>
      </w:rPr>
    </w:pPr>
  </w:p>
  <w:p w14:paraId="2BC2161F" w14:textId="77777777" w:rsidR="00DA29A4" w:rsidRDefault="00DA29A4">
    <w:pPr>
      <w:pStyle w:val="Footer"/>
      <w:rPr>
        <w:rFonts w:ascii="Times New Roman" w:hAnsi="Times New Roman" w:cs="Times New Roman"/>
        <w:sz w:val="28"/>
      </w:rPr>
    </w:pPr>
  </w:p>
  <w:p w14:paraId="4FD7783B" w14:textId="77777777" w:rsidR="00DA29A4" w:rsidRDefault="00DA29A4">
    <w:pPr>
      <w:pStyle w:val="Footer"/>
      <w:rPr>
        <w:rFonts w:ascii="Times New Roman" w:hAnsi="Times New Roman" w:cs="Times New Roman"/>
        <w:sz w:val="28"/>
      </w:rPr>
    </w:pPr>
  </w:p>
  <w:p w14:paraId="182C4887" w14:textId="77777777" w:rsidR="00DA29A4" w:rsidRDefault="00DA29A4">
    <w:pPr>
      <w:pStyle w:val="Footer"/>
      <w:rPr>
        <w:rFonts w:ascii="Times New Roman" w:hAnsi="Times New Roman" w:cs="Times New Roman"/>
        <w:sz w:val="28"/>
      </w:rPr>
    </w:pPr>
  </w:p>
  <w:p w14:paraId="75E71564" w14:textId="77777777" w:rsidR="00DA29A4" w:rsidRDefault="00DA29A4">
    <w:pPr>
      <w:pStyle w:val="Footer"/>
      <w:rPr>
        <w:rFonts w:ascii="Times New Roman" w:hAnsi="Times New Roman" w:cs="Times New Roman"/>
        <w:sz w:val="28"/>
      </w:rPr>
    </w:pPr>
  </w:p>
  <w:p w14:paraId="3D2C9FEE" w14:textId="77777777" w:rsidR="00DA29A4" w:rsidRPr="00A92D17" w:rsidRDefault="00DA29A4">
    <w:pPr>
      <w:pStyle w:val="Footer"/>
      <w:rPr>
        <w:rFonts w:ascii="Times New Roman" w:hAnsi="Times New Roman" w:cs="Times New Roman"/>
        <w:sz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00152059"/>
      <w:docPartObj>
        <w:docPartGallery w:val="Page Numbers (Bottom of Page)"/>
        <w:docPartUnique/>
      </w:docPartObj>
    </w:sdtPr>
    <w:sdtEndPr>
      <w:rPr>
        <w:noProof/>
      </w:rPr>
    </w:sdtEndPr>
    <w:sdtContent>
      <w:p w14:paraId="33A67BC5" w14:textId="77777777" w:rsidR="00DA29A4" w:rsidRPr="00A92D17" w:rsidRDefault="00DA29A4">
        <w:pPr>
          <w:pStyle w:val="Footer"/>
          <w:jc w:val="right"/>
          <w:rPr>
            <w:rFonts w:ascii="Times New Roman" w:hAnsi="Times New Roman" w:cs="Times New Roman"/>
            <w:sz w:val="24"/>
          </w:rPr>
        </w:pPr>
        <w:r w:rsidRPr="00A92D17">
          <w:rPr>
            <w:rFonts w:ascii="Times New Roman" w:hAnsi="Times New Roman" w:cs="Times New Roman"/>
            <w:sz w:val="24"/>
          </w:rPr>
          <w:fldChar w:fldCharType="begin"/>
        </w:r>
        <w:r w:rsidRPr="00A92D17">
          <w:rPr>
            <w:rFonts w:ascii="Times New Roman" w:hAnsi="Times New Roman" w:cs="Times New Roman"/>
            <w:sz w:val="24"/>
          </w:rPr>
          <w:instrText xml:space="preserve"> PAGE   \* MERGEFORMAT </w:instrText>
        </w:r>
        <w:r w:rsidRPr="00A92D17">
          <w:rPr>
            <w:rFonts w:ascii="Times New Roman" w:hAnsi="Times New Roman" w:cs="Times New Roman"/>
            <w:sz w:val="24"/>
          </w:rPr>
          <w:fldChar w:fldCharType="separate"/>
        </w:r>
        <w:r w:rsidR="00256F32">
          <w:rPr>
            <w:rFonts w:ascii="Times New Roman" w:hAnsi="Times New Roman" w:cs="Times New Roman"/>
            <w:noProof/>
            <w:sz w:val="24"/>
          </w:rPr>
          <w:t>89</w:t>
        </w:r>
        <w:r w:rsidRPr="00A92D17">
          <w:rPr>
            <w:rFonts w:ascii="Times New Roman" w:hAnsi="Times New Roman" w:cs="Times New Roman"/>
            <w:noProof/>
            <w:sz w:val="24"/>
          </w:rPr>
          <w:fldChar w:fldCharType="end"/>
        </w:r>
      </w:p>
    </w:sdtContent>
  </w:sdt>
  <w:p w14:paraId="14E700FF" w14:textId="77777777" w:rsidR="00DA29A4" w:rsidRPr="00A92D17" w:rsidRDefault="00DA29A4">
    <w:pPr>
      <w:pStyle w:val="Foo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7F841" w14:textId="77777777" w:rsidR="00207A0D" w:rsidRDefault="00207A0D" w:rsidP="000F46D4">
      <w:pPr>
        <w:spacing w:after="0" w:line="240" w:lineRule="auto"/>
      </w:pPr>
      <w:r>
        <w:separator/>
      </w:r>
    </w:p>
  </w:footnote>
  <w:footnote w:type="continuationSeparator" w:id="0">
    <w:p w14:paraId="1E92BE6D" w14:textId="77777777" w:rsidR="00207A0D" w:rsidRDefault="00207A0D" w:rsidP="000F46D4">
      <w:pPr>
        <w:spacing w:after="0" w:line="240" w:lineRule="auto"/>
      </w:pPr>
      <w:r>
        <w:continuationSeparator/>
      </w:r>
    </w:p>
  </w:footnote>
  <w:footnote w:id="1">
    <w:p w14:paraId="334DAF7D"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vertAlign w:val="superscript"/>
        </w:rPr>
        <w:t>, 2</w:t>
      </w:r>
      <w:r w:rsidRPr="00C844EE">
        <w:rPr>
          <w:rFonts w:ascii="Times New Roman" w:hAnsi="Times New Roman" w:cs="Times New Roman"/>
        </w:rPr>
        <w:t xml:space="preserve"> This results framework measures in some extent how WBG-financed projects have a close link of influence in some of the Government of Kenya’s broader targets. </w:t>
      </w:r>
    </w:p>
  </w:footnote>
  <w:footnote w:id="2">
    <w:p w14:paraId="4652124C" w14:textId="77777777" w:rsidR="00DA29A4" w:rsidRPr="00C844EE" w:rsidRDefault="00DA29A4" w:rsidP="005C7D81">
      <w:pPr>
        <w:pStyle w:val="FootnoteText"/>
        <w:rPr>
          <w:rFonts w:ascii="Times New Roman" w:hAnsi="Times New Roman" w:cs="Times New Roman"/>
        </w:rPr>
      </w:pPr>
    </w:p>
    <w:p w14:paraId="5594C251" w14:textId="77777777" w:rsidR="00DA29A4" w:rsidRPr="00C844EE" w:rsidRDefault="00DA29A4">
      <w:pPr>
        <w:pStyle w:val="FootnoteText"/>
        <w:rPr>
          <w:rFonts w:ascii="Times New Roman" w:hAnsi="Times New Roman" w:cs="Times New Roman"/>
        </w:rPr>
      </w:pPr>
    </w:p>
  </w:footnote>
  <w:footnote w:id="3">
    <w:p w14:paraId="46EF7158"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rPr>
        <w:t xml:space="preserve"> The outcome indicators in this results framework are a mix of projects inherited from the previous CPS period and proposed operations under this CPS period.  </w:t>
      </w:r>
    </w:p>
  </w:footnote>
  <w:footnote w:id="4">
    <w:p w14:paraId="6ADC2797" w14:textId="77777777" w:rsidR="00DA29A4" w:rsidRPr="00C844EE" w:rsidRDefault="00DA29A4" w:rsidP="008D439F">
      <w:pPr>
        <w:spacing w:line="0" w:lineRule="atLeast"/>
        <w:rPr>
          <w:rFonts w:ascii="Times New Roman" w:hAnsi="Times New Roman" w:cs="Times New Roman"/>
          <w:sz w:val="20"/>
          <w:szCs w:val="20"/>
        </w:rPr>
      </w:pPr>
      <w:r w:rsidRPr="00C844EE">
        <w:rPr>
          <w:rStyle w:val="FootnoteReference"/>
          <w:rFonts w:ascii="Times New Roman" w:hAnsi="Times New Roman" w:cs="Times New Roman"/>
          <w:sz w:val="20"/>
          <w:szCs w:val="20"/>
        </w:rPr>
        <w:sym w:font="Symbol" w:char="F02A"/>
      </w:r>
      <w:r w:rsidRPr="00C844EE">
        <w:rPr>
          <w:rFonts w:ascii="Times New Roman" w:hAnsi="Times New Roman" w:cs="Times New Roman"/>
          <w:sz w:val="20"/>
          <w:szCs w:val="20"/>
        </w:rPr>
        <w:t xml:space="preserve"> This indicator is part of the implementation plan of the Second Medium Term Plan (MTP) 2013-2017 </w:t>
      </w:r>
    </w:p>
  </w:footnote>
  <w:footnote w:id="5">
    <w:p w14:paraId="1AE7B7E8"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sym w:font="Symbol" w:char="F02A"/>
      </w:r>
      <w:r w:rsidRPr="00C844EE">
        <w:rPr>
          <w:rFonts w:ascii="Times New Roman" w:hAnsi="Times New Roman" w:cs="Times New Roman"/>
        </w:rPr>
        <w:t xml:space="preserve"> This indicator is part of the implementation plan of the Second Medium Term Plan (MTP) 2013-2017</w:t>
      </w:r>
    </w:p>
  </w:footnote>
  <w:footnote w:id="6">
    <w:p w14:paraId="4686F00F"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vertAlign w:val="superscript"/>
        </w:rPr>
        <w:t>,5</w:t>
      </w:r>
      <w:r w:rsidRPr="00C844EE">
        <w:rPr>
          <w:rFonts w:ascii="Times New Roman" w:hAnsi="Times New Roman" w:cs="Times New Roman"/>
        </w:rPr>
        <w:t xml:space="preserve"> The outcome indicators in this results framework are a mix of projects inherited from the previous CPS period and proposed operations under this CPS period.  </w:t>
      </w:r>
    </w:p>
  </w:footnote>
  <w:footnote w:id="7">
    <w:p w14:paraId="41B452CE" w14:textId="77777777" w:rsidR="00DA29A4" w:rsidRPr="00C844EE" w:rsidRDefault="00DA29A4">
      <w:pPr>
        <w:pStyle w:val="FootnoteText"/>
        <w:rPr>
          <w:rFonts w:ascii="Times New Roman" w:hAnsi="Times New Roman" w:cs="Times New Roman"/>
        </w:rPr>
      </w:pPr>
    </w:p>
  </w:footnote>
  <w:footnote w:id="8">
    <w:p w14:paraId="3DD97D21"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rPr>
        <w:t xml:space="preserve"> The outcome indicators in this results framework are a mix of projects inherited from the previous CPS period and proposed operations under this CPS period.  </w:t>
      </w:r>
    </w:p>
  </w:footnote>
  <w:footnote w:id="9">
    <w:p w14:paraId="5BA24217"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sym w:font="Symbol" w:char="F02A"/>
      </w:r>
      <w:r w:rsidRPr="00C844EE">
        <w:rPr>
          <w:rFonts w:ascii="Times New Roman" w:hAnsi="Times New Roman" w:cs="Times New Roman"/>
        </w:rPr>
        <w:t xml:space="preserve"> This indicator is part of the implementation plan of the Second Medium Term Plan (MTP) 2013-2017</w:t>
      </w:r>
    </w:p>
  </w:footnote>
  <w:footnote w:id="10">
    <w:p w14:paraId="7ACE43CB"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sym w:font="Symbol" w:char="F02A"/>
      </w:r>
      <w:r w:rsidRPr="00C844EE">
        <w:rPr>
          <w:rFonts w:ascii="Times New Roman" w:hAnsi="Times New Roman" w:cs="Times New Roman"/>
        </w:rPr>
        <w:t xml:space="preserve"> This indicator is part of the implementation plan of the Second Medium Term Plan (MTP) 2013-2017</w:t>
      </w:r>
    </w:p>
  </w:footnote>
  <w:footnote w:id="11">
    <w:p w14:paraId="560BC1F9"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sym w:font="Symbol" w:char="F02A"/>
      </w:r>
      <w:r w:rsidRPr="00C844EE">
        <w:rPr>
          <w:rFonts w:ascii="Times New Roman" w:hAnsi="Times New Roman" w:cs="Times New Roman"/>
        </w:rPr>
        <w:t xml:space="preserve"> This indicator is part of the implementation plan of the Second Medium Term Plan (MTP) 2013-2017</w:t>
      </w:r>
    </w:p>
  </w:footnote>
  <w:footnote w:id="12">
    <w:p w14:paraId="1C1D57C8"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sym w:font="Symbol" w:char="F02A"/>
      </w:r>
      <w:r w:rsidRPr="00C844EE">
        <w:rPr>
          <w:rFonts w:ascii="Times New Roman" w:hAnsi="Times New Roman" w:cs="Times New Roman"/>
        </w:rPr>
        <w:t xml:space="preserve"> This indicator is part of the implementation plan of the Second Medium Term Plan (MTP) 2013-2017</w:t>
      </w:r>
    </w:p>
  </w:footnote>
  <w:footnote w:id="13">
    <w:p w14:paraId="2CBD63D5" w14:textId="77777777" w:rsidR="00DA29A4" w:rsidRPr="00C844EE" w:rsidRDefault="00DA29A4">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vertAlign w:val="superscript"/>
        </w:rPr>
        <w:t>, 8</w:t>
      </w:r>
      <w:r w:rsidRPr="00C844EE">
        <w:rPr>
          <w:rFonts w:ascii="Times New Roman" w:hAnsi="Times New Roman" w:cs="Times New Roman"/>
        </w:rPr>
        <w:t xml:space="preserve"> The outcome indicators in this results framework are a mix of projects inherited from the previous CPS period and proposed operations under this CPS period.  </w:t>
      </w:r>
    </w:p>
  </w:footnote>
  <w:footnote w:id="14">
    <w:p w14:paraId="78ABA37D" w14:textId="77777777" w:rsidR="00DA29A4" w:rsidRPr="00C844EE" w:rsidRDefault="00DA29A4">
      <w:pPr>
        <w:pStyle w:val="FootnoteText"/>
        <w:rPr>
          <w:rFonts w:ascii="Times New Roman" w:hAnsi="Times New Roman" w:cs="Times New Roman"/>
        </w:rPr>
      </w:pPr>
    </w:p>
  </w:footnote>
  <w:footnote w:id="15">
    <w:p w14:paraId="6BABECB1" w14:textId="77777777" w:rsidR="00DA29A4" w:rsidRPr="00C844EE" w:rsidRDefault="00DA29A4" w:rsidP="005C7D81">
      <w:pPr>
        <w:pStyle w:val="FootnoteText"/>
        <w:rPr>
          <w:rFonts w:ascii="Times New Roman" w:hAnsi="Times New Roman" w:cs="Times New Roman"/>
        </w:rPr>
      </w:pPr>
      <w:r w:rsidRPr="00C844EE">
        <w:rPr>
          <w:rStyle w:val="FootnoteReference"/>
          <w:rFonts w:ascii="Times New Roman" w:hAnsi="Times New Roman" w:cs="Times New Roman"/>
        </w:rPr>
        <w:footnoteRef/>
      </w:r>
      <w:r w:rsidRPr="00C844EE">
        <w:rPr>
          <w:rFonts w:ascii="Times New Roman" w:hAnsi="Times New Roman" w:cs="Times New Roman"/>
        </w:rPr>
        <w:t xml:space="preserve"> The outcome indicators in this results framework are a mix of projects inherited from the previous CPS period and proposed operations under this CPS period.  </w:t>
      </w:r>
    </w:p>
    <w:p w14:paraId="3DA42CED" w14:textId="77777777" w:rsidR="00DA29A4" w:rsidRPr="00C844EE" w:rsidRDefault="00DA29A4">
      <w:pPr>
        <w:pStyle w:val="FootnoteText"/>
        <w:rPr>
          <w:rFonts w:ascii="Times New Roman" w:hAnsi="Times New Roman" w:cs="Times New Roman"/>
        </w:rPr>
      </w:pPr>
    </w:p>
  </w:footnote>
  <w:footnote w:id="16">
    <w:p w14:paraId="5E5C45DB" w14:textId="77777777" w:rsidR="00DA29A4" w:rsidRPr="00C33346" w:rsidRDefault="00DA29A4" w:rsidP="00985F1A">
      <w:pPr>
        <w:pStyle w:val="FootnoteText"/>
        <w:rPr>
          <w:rFonts w:ascii="Times New Roman" w:hAnsi="Times New Roman" w:cs="Times New Roman"/>
          <w:sz w:val="18"/>
          <w:szCs w:val="18"/>
        </w:rPr>
      </w:pPr>
      <w:r w:rsidRPr="00C33346">
        <w:rPr>
          <w:rStyle w:val="FootnoteReference"/>
          <w:rFonts w:ascii="Times New Roman" w:hAnsi="Times New Roman" w:cs="Times New Roman"/>
          <w:sz w:val="18"/>
          <w:szCs w:val="18"/>
        </w:rPr>
        <w:footnoteRef/>
      </w:r>
      <w:r w:rsidRPr="00C33346">
        <w:rPr>
          <w:rFonts w:ascii="Times New Roman" w:hAnsi="Times New Roman" w:cs="Times New Roman"/>
          <w:sz w:val="18"/>
          <w:szCs w:val="18"/>
        </w:rPr>
        <w:t xml:space="preserve"> Kenya Demographic and Health Survey 2008</w:t>
      </w:r>
    </w:p>
  </w:footnote>
  <w:footnote w:id="17">
    <w:p w14:paraId="14F0C086" w14:textId="77777777" w:rsidR="00DA29A4" w:rsidRPr="00C33346" w:rsidRDefault="00DA29A4" w:rsidP="00985F1A">
      <w:pPr>
        <w:pStyle w:val="FootnoteText"/>
        <w:rPr>
          <w:rFonts w:ascii="Times New Roman" w:hAnsi="Times New Roman" w:cs="Times New Roman"/>
          <w:sz w:val="18"/>
          <w:szCs w:val="18"/>
        </w:rPr>
      </w:pPr>
      <w:r w:rsidRPr="00C33346">
        <w:rPr>
          <w:rStyle w:val="FootnoteReference"/>
          <w:rFonts w:ascii="Times New Roman" w:hAnsi="Times New Roman" w:cs="Times New Roman"/>
          <w:sz w:val="18"/>
          <w:szCs w:val="18"/>
        </w:rPr>
        <w:footnoteRef/>
      </w:r>
      <w:r w:rsidRPr="00C33346">
        <w:rPr>
          <w:rFonts w:ascii="Times New Roman" w:hAnsi="Times New Roman" w:cs="Times New Roman"/>
          <w:sz w:val="18"/>
          <w:szCs w:val="18"/>
        </w:rPr>
        <w:t xml:space="preserve"> UNICEF, KNBS, </w:t>
      </w:r>
      <w:proofErr w:type="spellStart"/>
      <w:r w:rsidRPr="00C33346">
        <w:rPr>
          <w:rFonts w:ascii="Times New Roman" w:hAnsi="Times New Roman" w:cs="Times New Roman"/>
          <w:sz w:val="18"/>
          <w:szCs w:val="18"/>
        </w:rPr>
        <w:t>CDC&amp;Together</w:t>
      </w:r>
      <w:proofErr w:type="spellEnd"/>
      <w:r w:rsidRPr="00C33346">
        <w:rPr>
          <w:rFonts w:ascii="Times New Roman" w:hAnsi="Times New Roman" w:cs="Times New Roman"/>
          <w:sz w:val="18"/>
          <w:szCs w:val="18"/>
        </w:rPr>
        <w:t xml:space="preserve"> for Girls, 2012 “Violence against Children in Kenya; Findings from a 2010 National Survey”, p.94</w:t>
      </w:r>
    </w:p>
  </w:footnote>
  <w:footnote w:id="18">
    <w:p w14:paraId="73167F9C"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w:t>
      </w:r>
      <w:r w:rsidRPr="00773ABA">
        <w:rPr>
          <w:rStyle w:val="FootnoteReference"/>
          <w:rFonts w:ascii="Times New Roman" w:hAnsi="Times New Roman" w:cs="Times New Roman"/>
          <w:sz w:val="18"/>
          <w:szCs w:val="18"/>
          <w:vertAlign w:val="baseline"/>
        </w:rPr>
        <w:t>Kenya Demographic and Health Survey 2008</w:t>
      </w:r>
      <w:r>
        <w:rPr>
          <w:rFonts w:ascii="Times New Roman" w:hAnsi="Times New Roman" w:cs="Times New Roman"/>
          <w:sz w:val="18"/>
          <w:szCs w:val="18"/>
        </w:rPr>
        <w:t>.</w:t>
      </w:r>
    </w:p>
  </w:footnote>
  <w:footnote w:id="19">
    <w:p w14:paraId="412A86F2" w14:textId="77777777" w:rsidR="00DA29A4" w:rsidRPr="00C33346" w:rsidRDefault="00DA29A4" w:rsidP="00985F1A">
      <w:pPr>
        <w:pStyle w:val="FootnoteText"/>
        <w:rPr>
          <w:rFonts w:ascii="Times New Roman" w:hAnsi="Times New Roman" w:cs="Times New Roman"/>
          <w:sz w:val="18"/>
          <w:szCs w:val="18"/>
        </w:rPr>
      </w:pPr>
      <w:r w:rsidRPr="00C33346">
        <w:rPr>
          <w:rStyle w:val="FootnoteReference"/>
          <w:rFonts w:ascii="Times New Roman" w:hAnsi="Times New Roman" w:cs="Times New Roman"/>
          <w:sz w:val="18"/>
          <w:szCs w:val="18"/>
        </w:rPr>
        <w:footnoteRef/>
      </w:r>
      <w:r w:rsidRPr="00C33346">
        <w:rPr>
          <w:rStyle w:val="FootnoteReference"/>
          <w:rFonts w:ascii="Times New Roman" w:hAnsi="Times New Roman" w:cs="Times New Roman"/>
          <w:sz w:val="18"/>
          <w:szCs w:val="18"/>
        </w:rPr>
        <w:t xml:space="preserve"> </w:t>
      </w:r>
      <w:r w:rsidRPr="00773ABA">
        <w:rPr>
          <w:rStyle w:val="FootnoteReference"/>
          <w:rFonts w:ascii="Times New Roman" w:hAnsi="Times New Roman" w:cs="Times New Roman"/>
          <w:sz w:val="18"/>
          <w:szCs w:val="18"/>
          <w:vertAlign w:val="baseline"/>
        </w:rPr>
        <w:t>Kenya Demographic and Health Survey 2008</w:t>
      </w:r>
      <w:r>
        <w:rPr>
          <w:rFonts w:ascii="Times New Roman" w:hAnsi="Times New Roman" w:cs="Times New Roman"/>
          <w:sz w:val="18"/>
          <w:szCs w:val="18"/>
        </w:rPr>
        <w:t>.</w:t>
      </w:r>
    </w:p>
  </w:footnote>
  <w:footnote w:id="20">
    <w:p w14:paraId="1787D4BF"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African Development Bank. 2007. </w:t>
      </w:r>
      <w:r w:rsidRPr="00773ABA">
        <w:rPr>
          <w:rFonts w:ascii="Times New Roman" w:hAnsi="Times New Roman" w:cs="Times New Roman"/>
          <w:i/>
          <w:sz w:val="18"/>
          <w:szCs w:val="18"/>
        </w:rPr>
        <w:t>“Country Gender Profile”,</w:t>
      </w:r>
      <w:r w:rsidRPr="00773ABA">
        <w:rPr>
          <w:rFonts w:ascii="Times New Roman" w:hAnsi="Times New Roman" w:cs="Times New Roman"/>
          <w:sz w:val="18"/>
          <w:szCs w:val="18"/>
        </w:rPr>
        <w:t xml:space="preserve"> AfDB, Tunis</w:t>
      </w:r>
      <w:r>
        <w:rPr>
          <w:rFonts w:ascii="Times New Roman" w:hAnsi="Times New Roman" w:cs="Times New Roman"/>
          <w:sz w:val="18"/>
          <w:szCs w:val="18"/>
        </w:rPr>
        <w:t>.</w:t>
      </w:r>
    </w:p>
  </w:footnote>
  <w:footnote w:id="21">
    <w:p w14:paraId="50F96D44" w14:textId="77777777" w:rsidR="00DA29A4" w:rsidRPr="00773ABA" w:rsidRDefault="00DA29A4" w:rsidP="00985F1A">
      <w:pPr>
        <w:pStyle w:val="FootnoteText"/>
        <w:rPr>
          <w:rFonts w:ascii="Times New Roman" w:hAnsi="Times New Roman" w:cs="Times New Roman"/>
          <w:sz w:val="18"/>
          <w:szCs w:val="18"/>
        </w:rPr>
      </w:pPr>
      <w:r w:rsidRPr="00773ABA">
        <w:rPr>
          <w:rFonts w:ascii="Times New Roman" w:hAnsi="Times New Roman" w:cs="Times New Roman"/>
          <w:sz w:val="18"/>
          <w:szCs w:val="18"/>
          <w:vertAlign w:val="superscript"/>
        </w:rPr>
        <w:footnoteRef/>
      </w:r>
      <w:r w:rsidRPr="00773ABA">
        <w:rPr>
          <w:rFonts w:ascii="Times New Roman" w:hAnsi="Times New Roman" w:cs="Times New Roman"/>
          <w:sz w:val="18"/>
          <w:szCs w:val="18"/>
        </w:rPr>
        <w:t xml:space="preserve"> Inter-parliamentary Union</w:t>
      </w:r>
      <w:r>
        <w:rPr>
          <w:rFonts w:ascii="Times New Roman" w:hAnsi="Times New Roman" w:cs="Times New Roman"/>
          <w:sz w:val="18"/>
          <w:szCs w:val="18"/>
        </w:rPr>
        <w:t>.</w:t>
      </w:r>
    </w:p>
  </w:footnote>
  <w:footnote w:id="22">
    <w:p w14:paraId="0BE1A74B" w14:textId="77777777" w:rsidR="00DA29A4" w:rsidRPr="00773ABA" w:rsidRDefault="00DA29A4" w:rsidP="00985F1A">
      <w:pPr>
        <w:pStyle w:val="FootnoteText"/>
        <w:rPr>
          <w:rFonts w:ascii="Times New Roman" w:hAnsi="Times New Roman" w:cs="Times New Roman"/>
          <w:i/>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IFC, 2010. </w:t>
      </w:r>
      <w:r w:rsidRPr="00773ABA">
        <w:rPr>
          <w:rFonts w:ascii="Times New Roman" w:hAnsi="Times New Roman" w:cs="Times New Roman"/>
          <w:i/>
          <w:sz w:val="18"/>
          <w:szCs w:val="18"/>
        </w:rPr>
        <w:t>”Voices of Women Entrepreneurs in Kenya”</w:t>
      </w:r>
      <w:r>
        <w:rPr>
          <w:rFonts w:ascii="Times New Roman" w:hAnsi="Times New Roman" w:cs="Times New Roman"/>
          <w:i/>
          <w:sz w:val="18"/>
          <w:szCs w:val="18"/>
        </w:rPr>
        <w:t>.</w:t>
      </w:r>
    </w:p>
  </w:footnote>
  <w:footnote w:id="23">
    <w:p w14:paraId="6ADB96B3"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African Development Bank. 2007. “Country Gender Profile”, AfDB, Tunis</w:t>
      </w:r>
      <w:r>
        <w:rPr>
          <w:rFonts w:ascii="Times New Roman" w:hAnsi="Times New Roman" w:cs="Times New Roman"/>
          <w:sz w:val="18"/>
          <w:szCs w:val="18"/>
        </w:rPr>
        <w:t>.</w:t>
      </w:r>
    </w:p>
  </w:footnote>
  <w:footnote w:id="24">
    <w:p w14:paraId="0531428C" w14:textId="77777777" w:rsidR="00DA29A4" w:rsidRPr="00773ABA" w:rsidRDefault="00DA29A4" w:rsidP="00985F1A">
      <w:pPr>
        <w:pStyle w:val="FootnoteText"/>
        <w:rPr>
          <w:rFonts w:ascii="Times New Roman" w:hAnsi="Times New Roman" w:cs="Times New Roman"/>
          <w:i/>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World Bank. 2013. </w:t>
      </w:r>
      <w:r w:rsidRPr="00773ABA">
        <w:rPr>
          <w:rFonts w:ascii="Times New Roman" w:hAnsi="Times New Roman" w:cs="Times New Roman"/>
          <w:i/>
          <w:sz w:val="18"/>
          <w:szCs w:val="18"/>
        </w:rPr>
        <w:t xml:space="preserve">“Tapping the Potential of Farming in Kenya”, </w:t>
      </w:r>
      <w:r w:rsidRPr="00773ABA">
        <w:rPr>
          <w:rFonts w:ascii="Times New Roman" w:hAnsi="Times New Roman" w:cs="Times New Roman"/>
          <w:sz w:val="18"/>
          <w:szCs w:val="18"/>
        </w:rPr>
        <w:t>Gender Policy Note, World Bank, Washington DC</w:t>
      </w:r>
      <w:r>
        <w:rPr>
          <w:rFonts w:ascii="Times New Roman" w:hAnsi="Times New Roman" w:cs="Times New Roman"/>
          <w:sz w:val="18"/>
          <w:szCs w:val="18"/>
        </w:rPr>
        <w:t>.</w:t>
      </w:r>
    </w:p>
  </w:footnote>
  <w:footnote w:id="25">
    <w:p w14:paraId="4DD2AF87"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African Development Bank. 2007. </w:t>
      </w:r>
      <w:r w:rsidRPr="00773ABA">
        <w:rPr>
          <w:rFonts w:ascii="Times New Roman" w:hAnsi="Times New Roman" w:cs="Times New Roman"/>
          <w:i/>
          <w:sz w:val="18"/>
          <w:szCs w:val="18"/>
        </w:rPr>
        <w:t>“Country Gender Profile”,</w:t>
      </w:r>
      <w:r w:rsidRPr="00773ABA">
        <w:rPr>
          <w:rFonts w:ascii="Times New Roman" w:hAnsi="Times New Roman" w:cs="Times New Roman"/>
          <w:sz w:val="18"/>
          <w:szCs w:val="18"/>
        </w:rPr>
        <w:t xml:space="preserve"> AfDB, Tunis</w:t>
      </w:r>
      <w:r>
        <w:rPr>
          <w:rFonts w:ascii="Times New Roman" w:hAnsi="Times New Roman" w:cs="Times New Roman"/>
          <w:sz w:val="18"/>
          <w:szCs w:val="18"/>
        </w:rPr>
        <w:t>.</w:t>
      </w:r>
    </w:p>
  </w:footnote>
  <w:footnote w:id="26">
    <w:p w14:paraId="26A4B080" w14:textId="77777777" w:rsidR="00DA29A4" w:rsidRPr="00773ABA" w:rsidRDefault="00DA29A4" w:rsidP="00985F1A">
      <w:pPr>
        <w:pStyle w:val="FootnoteText"/>
        <w:rPr>
          <w:rStyle w:val="FootnoteReference"/>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Style w:val="FootnoteReference"/>
          <w:rFonts w:ascii="Times New Roman" w:hAnsi="Times New Roman" w:cs="Times New Roman"/>
          <w:sz w:val="18"/>
          <w:szCs w:val="18"/>
        </w:rPr>
        <w:t xml:space="preserve"> </w:t>
      </w:r>
      <w:r w:rsidRPr="00773ABA">
        <w:rPr>
          <w:rFonts w:ascii="Times New Roman" w:hAnsi="Times New Roman" w:cs="Times New Roman"/>
          <w:sz w:val="18"/>
          <w:szCs w:val="18"/>
        </w:rPr>
        <w:t>World Bank. 2009. “Gender in Agriculture Sourcebook”, World Bank, Washington DC</w:t>
      </w:r>
      <w:r>
        <w:rPr>
          <w:rFonts w:ascii="Times New Roman" w:hAnsi="Times New Roman" w:cs="Times New Roman"/>
          <w:sz w:val="18"/>
          <w:szCs w:val="18"/>
        </w:rPr>
        <w:t>.</w:t>
      </w:r>
    </w:p>
  </w:footnote>
  <w:footnote w:id="27">
    <w:p w14:paraId="1713EBE7"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Style w:val="FootnoteReference"/>
          <w:rFonts w:ascii="Times New Roman" w:hAnsi="Times New Roman" w:cs="Times New Roman"/>
          <w:sz w:val="18"/>
          <w:szCs w:val="18"/>
        </w:rPr>
        <w:t xml:space="preserve"> </w:t>
      </w:r>
      <w:r w:rsidRPr="00773ABA">
        <w:rPr>
          <w:rStyle w:val="FootnoteReference"/>
          <w:rFonts w:ascii="Times New Roman" w:hAnsi="Times New Roman" w:cs="Times New Roman"/>
          <w:sz w:val="18"/>
          <w:szCs w:val="18"/>
          <w:vertAlign w:val="baseline"/>
        </w:rPr>
        <w:t>World Bank. 2008. “Kenya Poverty and Inequality Assessment”, Volume 1, World Bank, Washington DC</w:t>
      </w:r>
      <w:r>
        <w:rPr>
          <w:rFonts w:ascii="Times New Roman" w:hAnsi="Times New Roman" w:cs="Times New Roman"/>
          <w:sz w:val="18"/>
          <w:szCs w:val="18"/>
        </w:rPr>
        <w:t>.</w:t>
      </w:r>
    </w:p>
  </w:footnote>
  <w:footnote w:id="28">
    <w:p w14:paraId="724DC8BE" w14:textId="77777777" w:rsidR="00DA29A4" w:rsidRPr="00773ABA" w:rsidRDefault="00DA29A4" w:rsidP="00985F1A">
      <w:pPr>
        <w:pStyle w:val="FootnoteText"/>
        <w:rPr>
          <w:rFonts w:ascii="Times New Roman" w:hAnsi="Times New Roman" w:cs="Times New Roman"/>
          <w:sz w:val="18"/>
          <w:szCs w:val="18"/>
        </w:rPr>
      </w:pPr>
      <w:r w:rsidRPr="00773ABA">
        <w:rPr>
          <w:rStyle w:val="FootnoteReference"/>
          <w:rFonts w:ascii="Times New Roman" w:hAnsi="Times New Roman" w:cs="Times New Roman"/>
          <w:sz w:val="18"/>
          <w:szCs w:val="18"/>
        </w:rPr>
        <w:footnoteRef/>
      </w:r>
      <w:r w:rsidRPr="00773ABA">
        <w:rPr>
          <w:rFonts w:ascii="Times New Roman" w:hAnsi="Times New Roman" w:cs="Times New Roman"/>
          <w:sz w:val="18"/>
          <w:szCs w:val="18"/>
        </w:rPr>
        <w:t xml:space="preserve"> </w:t>
      </w:r>
      <w:r w:rsidRPr="00773ABA">
        <w:rPr>
          <w:rStyle w:val="FootnoteReference"/>
          <w:rFonts w:ascii="Times New Roman" w:hAnsi="Times New Roman" w:cs="Times New Roman"/>
          <w:sz w:val="18"/>
          <w:szCs w:val="18"/>
          <w:vertAlign w:val="baseline"/>
        </w:rPr>
        <w:t>World Bank. 2008. “Kenya Poverty and Inequality Assessment”, Volume 1, World Bank, Washington DC</w:t>
      </w:r>
      <w:r>
        <w:rPr>
          <w:rFonts w:ascii="Times New Roman" w:hAnsi="Times New Roman" w:cs="Times New Roman"/>
          <w:sz w:val="18"/>
          <w:szCs w:val="18"/>
        </w:rPr>
        <w:t>.</w:t>
      </w:r>
    </w:p>
  </w:footnote>
  <w:footnote w:id="29">
    <w:p w14:paraId="2D1B1A55" w14:textId="77777777" w:rsidR="00DA29A4" w:rsidRPr="00773ABA" w:rsidRDefault="00DA29A4" w:rsidP="00985F1A">
      <w:pPr>
        <w:pStyle w:val="FootnoteText"/>
        <w:rPr>
          <w:rFonts w:ascii="Times New Roman" w:hAnsi="Times New Roman" w:cs="Times New Roman"/>
          <w:sz w:val="18"/>
          <w:szCs w:val="18"/>
        </w:rPr>
      </w:pPr>
      <w:r w:rsidRPr="00C844EE">
        <w:rPr>
          <w:rStyle w:val="FootnoteReference"/>
          <w:rFonts w:ascii="Times New Roman" w:hAnsi="Times New Roman" w:cs="Times New Roman"/>
        </w:rPr>
        <w:footnoteRef/>
      </w:r>
      <w:r w:rsidRPr="00C844EE">
        <w:rPr>
          <w:rStyle w:val="FootnoteReference"/>
          <w:rFonts w:ascii="Times New Roman" w:hAnsi="Times New Roman" w:cs="Times New Roman"/>
        </w:rPr>
        <w:t xml:space="preserve"> </w:t>
      </w:r>
      <w:r w:rsidRPr="00773ABA">
        <w:rPr>
          <w:rStyle w:val="FootnoteReference"/>
          <w:rFonts w:ascii="Times New Roman" w:hAnsi="Times New Roman" w:cs="Times New Roman"/>
          <w:sz w:val="18"/>
          <w:szCs w:val="18"/>
          <w:vertAlign w:val="baseline"/>
        </w:rPr>
        <w:t>Kenya Demographic and Health Survey 2008</w:t>
      </w:r>
      <w:r w:rsidRPr="00773ABA">
        <w:rPr>
          <w:rFonts w:ascii="Times New Roman" w:hAnsi="Times New Roman" w:cs="Times New Roman"/>
          <w:sz w:val="18"/>
          <w:szCs w:val="18"/>
        </w:rPr>
        <w:t>.</w:t>
      </w:r>
    </w:p>
  </w:footnote>
  <w:footnote w:id="30">
    <w:p w14:paraId="03CE0BB8" w14:textId="77777777" w:rsidR="00DA29A4" w:rsidRPr="00773ABA" w:rsidRDefault="00DA29A4" w:rsidP="00985F1A">
      <w:pPr>
        <w:pStyle w:val="FootnoteText"/>
        <w:rPr>
          <w:rFonts w:ascii="Times New Roman" w:hAnsi="Times New Roman" w:cs="Times New Roman"/>
          <w:sz w:val="18"/>
          <w:szCs w:val="18"/>
        </w:rPr>
      </w:pPr>
      <w:r w:rsidRPr="00C844EE">
        <w:rPr>
          <w:rStyle w:val="FootnoteReference"/>
          <w:rFonts w:ascii="Times New Roman" w:hAnsi="Times New Roman" w:cs="Times New Roman"/>
        </w:rPr>
        <w:footnoteRef/>
      </w:r>
      <w:r w:rsidRPr="00C844EE">
        <w:rPr>
          <w:rFonts w:ascii="Times New Roman" w:hAnsi="Times New Roman" w:cs="Times New Roman"/>
        </w:rPr>
        <w:t xml:space="preserve"> </w:t>
      </w:r>
      <w:r w:rsidRPr="00773ABA">
        <w:rPr>
          <w:rFonts w:ascii="Times New Roman" w:hAnsi="Times New Roman" w:cs="Times New Roman"/>
          <w:sz w:val="18"/>
          <w:szCs w:val="18"/>
        </w:rPr>
        <w:t>Since reviewing the recommendations of the gender portfolio review, the team has decided to undertake a Joint Poverty and Gender Assessment in FY14, which will provide more up-to-date analytical underpinnings for upcoming gender activities.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E0CF" w14:textId="77777777" w:rsidR="00C663A8" w:rsidRDefault="00C663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6920" w14:textId="77777777" w:rsidR="00C663A8" w:rsidRDefault="00C663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9553" w14:textId="77777777" w:rsidR="00C663A8" w:rsidRDefault="00C663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6C8A" w14:textId="77777777" w:rsidR="00DA29A4" w:rsidRDefault="00DA29A4">
    <w:pPr>
      <w:pStyle w:val="Header"/>
      <w:jc w:val="right"/>
    </w:pPr>
  </w:p>
  <w:p w14:paraId="4BE8E46A" w14:textId="77777777" w:rsidR="00DA29A4" w:rsidRDefault="00DA29A4" w:rsidP="00E55164">
    <w:pPr>
      <w:pStyle w:val="Header"/>
      <w:tabs>
        <w:tab w:val="clear" w:pos="4680"/>
        <w:tab w:val="clear" w:pos="9360"/>
        <w:tab w:val="left" w:pos="201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F8A3A" w14:textId="77777777" w:rsidR="00DA29A4" w:rsidRDefault="00DA29A4">
    <w:pPr>
      <w:pStyle w:val="Header"/>
      <w:jc w:val="right"/>
    </w:pPr>
  </w:p>
  <w:p w14:paraId="4DE68AE4" w14:textId="77777777" w:rsidR="00DA29A4" w:rsidRDefault="00DA29A4" w:rsidP="00E55164">
    <w:pPr>
      <w:pStyle w:val="Header"/>
      <w:tabs>
        <w:tab w:val="clear" w:pos="4680"/>
        <w:tab w:val="clear" w:pos="9360"/>
        <w:tab w:val="left" w:pos="201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87D30" w14:textId="77777777" w:rsidR="00DA29A4" w:rsidRDefault="00DA29A4">
    <w:pPr>
      <w:pStyle w:val="Header"/>
      <w:jc w:val="right"/>
    </w:pPr>
  </w:p>
  <w:p w14:paraId="6E1774E0" w14:textId="77777777" w:rsidR="00DA29A4" w:rsidRDefault="00DA29A4" w:rsidP="00E55164">
    <w:pPr>
      <w:pStyle w:val="Header"/>
      <w:tabs>
        <w:tab w:val="clear" w:pos="4680"/>
        <w:tab w:val="clear" w:pos="9360"/>
        <w:tab w:val="left" w:pos="201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7664" w14:textId="77777777" w:rsidR="00DA29A4" w:rsidRDefault="00DA29A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128"/>
    <w:multiLevelType w:val="hybridMultilevel"/>
    <w:tmpl w:val="9BC4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C3702"/>
    <w:multiLevelType w:val="hybridMultilevel"/>
    <w:tmpl w:val="EFC87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862F1"/>
    <w:multiLevelType w:val="hybridMultilevel"/>
    <w:tmpl w:val="0E20200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93E3033"/>
    <w:multiLevelType w:val="hybridMultilevel"/>
    <w:tmpl w:val="7EA2B3D4"/>
    <w:lvl w:ilvl="0" w:tplc="492696D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9AC2DB5"/>
    <w:multiLevelType w:val="hybridMultilevel"/>
    <w:tmpl w:val="ABEE5EE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4B0A26"/>
    <w:multiLevelType w:val="hybridMultilevel"/>
    <w:tmpl w:val="2E0CD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B511D"/>
    <w:multiLevelType w:val="hybridMultilevel"/>
    <w:tmpl w:val="D85609C2"/>
    <w:lvl w:ilvl="0" w:tplc="60CC10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96489"/>
    <w:multiLevelType w:val="hybridMultilevel"/>
    <w:tmpl w:val="00C6E804"/>
    <w:lvl w:ilvl="0" w:tplc="942E1D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573F12"/>
    <w:multiLevelType w:val="hybridMultilevel"/>
    <w:tmpl w:val="F25C4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8B0A3A"/>
    <w:multiLevelType w:val="hybridMultilevel"/>
    <w:tmpl w:val="0AB2C6C6"/>
    <w:lvl w:ilvl="0" w:tplc="04090001">
      <w:start w:val="1"/>
      <w:numFmt w:val="bullet"/>
      <w:lvlText w:val=""/>
      <w:lvlJc w:val="left"/>
      <w:pPr>
        <w:tabs>
          <w:tab w:val="num" w:pos="450"/>
        </w:tabs>
        <w:ind w:left="450" w:hanging="360"/>
      </w:pPr>
      <w:rPr>
        <w:rFonts w:ascii="Symbol" w:hAnsi="Symbol" w:hint="default"/>
      </w:rPr>
    </w:lvl>
    <w:lvl w:ilvl="1" w:tplc="04090007">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8A5BE2"/>
    <w:multiLevelType w:val="hybridMultilevel"/>
    <w:tmpl w:val="139E1802"/>
    <w:lvl w:ilvl="0" w:tplc="70AAA6F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DF0289"/>
    <w:multiLevelType w:val="hybridMultilevel"/>
    <w:tmpl w:val="E9644A8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120877B2"/>
    <w:multiLevelType w:val="hybridMultilevel"/>
    <w:tmpl w:val="A8065F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53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23B1EF7"/>
    <w:multiLevelType w:val="hybridMultilevel"/>
    <w:tmpl w:val="4C32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1E2AEF"/>
    <w:multiLevelType w:val="hybridMultilevel"/>
    <w:tmpl w:val="AB94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81A66"/>
    <w:multiLevelType w:val="hybridMultilevel"/>
    <w:tmpl w:val="D734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011BD1"/>
    <w:multiLevelType w:val="hybridMultilevel"/>
    <w:tmpl w:val="EEA60ED8"/>
    <w:lvl w:ilvl="0" w:tplc="60CC10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02DC8"/>
    <w:multiLevelType w:val="hybridMultilevel"/>
    <w:tmpl w:val="0132138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16002AAC"/>
    <w:multiLevelType w:val="hybridMultilevel"/>
    <w:tmpl w:val="80245AB6"/>
    <w:lvl w:ilvl="0" w:tplc="4D0C20B0">
      <w:start w:val="1"/>
      <w:numFmt w:val="upp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68F0FFD"/>
    <w:multiLevelType w:val="hybridMultilevel"/>
    <w:tmpl w:val="7932EDB2"/>
    <w:lvl w:ilvl="0" w:tplc="7E32AED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186E58F9"/>
    <w:multiLevelType w:val="hybridMultilevel"/>
    <w:tmpl w:val="8F46D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90B6FC5"/>
    <w:multiLevelType w:val="hybridMultilevel"/>
    <w:tmpl w:val="5330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9DF41CE"/>
    <w:multiLevelType w:val="hybridMultilevel"/>
    <w:tmpl w:val="9866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E81547"/>
    <w:multiLevelType w:val="hybridMultilevel"/>
    <w:tmpl w:val="D03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FA3339"/>
    <w:multiLevelType w:val="hybridMultilevel"/>
    <w:tmpl w:val="371C8E78"/>
    <w:lvl w:ilvl="0" w:tplc="F3EEAB18">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CE66BDC"/>
    <w:multiLevelType w:val="hybridMultilevel"/>
    <w:tmpl w:val="64B29B52"/>
    <w:lvl w:ilvl="0" w:tplc="4216BEB2">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0D0DAF"/>
    <w:multiLevelType w:val="hybridMultilevel"/>
    <w:tmpl w:val="5D4ED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F037D29"/>
    <w:multiLevelType w:val="hybridMultilevel"/>
    <w:tmpl w:val="C3180B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E93706"/>
    <w:multiLevelType w:val="hybridMultilevel"/>
    <w:tmpl w:val="BB6E19C4"/>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6F5665"/>
    <w:multiLevelType w:val="hybridMultilevel"/>
    <w:tmpl w:val="778E1BD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21752DAA"/>
    <w:multiLevelType w:val="hybridMultilevel"/>
    <w:tmpl w:val="D3F88B42"/>
    <w:lvl w:ilvl="0" w:tplc="DB54D28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5E16C9"/>
    <w:multiLevelType w:val="hybridMultilevel"/>
    <w:tmpl w:val="C846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A42C6D"/>
    <w:multiLevelType w:val="hybridMultilevel"/>
    <w:tmpl w:val="02CA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BF1E62"/>
    <w:multiLevelType w:val="hybridMultilevel"/>
    <w:tmpl w:val="AF20D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6F96104"/>
    <w:multiLevelType w:val="hybridMultilevel"/>
    <w:tmpl w:val="C2805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6B60BE"/>
    <w:multiLevelType w:val="hybridMultilevel"/>
    <w:tmpl w:val="32A2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8D350A6"/>
    <w:multiLevelType w:val="hybridMultilevel"/>
    <w:tmpl w:val="5A4C6D08"/>
    <w:lvl w:ilvl="0" w:tplc="492696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91721CD"/>
    <w:multiLevelType w:val="hybridMultilevel"/>
    <w:tmpl w:val="5E2AD0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9CE7CD3"/>
    <w:multiLevelType w:val="hybridMultilevel"/>
    <w:tmpl w:val="DE66A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9DE67F4"/>
    <w:multiLevelType w:val="hybridMultilevel"/>
    <w:tmpl w:val="D39A76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38530B"/>
    <w:multiLevelType w:val="hybridMultilevel"/>
    <w:tmpl w:val="ECD67E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BA05667"/>
    <w:multiLevelType w:val="hybridMultilevel"/>
    <w:tmpl w:val="80409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AE75E6"/>
    <w:multiLevelType w:val="hybridMultilevel"/>
    <w:tmpl w:val="22405498"/>
    <w:lvl w:ilvl="0" w:tplc="B0A066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2BFF1506"/>
    <w:multiLevelType w:val="hybridMultilevel"/>
    <w:tmpl w:val="7C8E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A86CC3"/>
    <w:multiLevelType w:val="hybridMultilevel"/>
    <w:tmpl w:val="2642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380014"/>
    <w:multiLevelType w:val="hybridMultilevel"/>
    <w:tmpl w:val="53A8C5DA"/>
    <w:lvl w:ilvl="0" w:tplc="492696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8F6CE7"/>
    <w:multiLevelType w:val="hybridMultilevel"/>
    <w:tmpl w:val="7722ED42"/>
    <w:lvl w:ilvl="0" w:tplc="04090001">
      <w:start w:val="1"/>
      <w:numFmt w:val="bullet"/>
      <w:lvlText w:val=""/>
      <w:lvlJc w:val="left"/>
      <w:pPr>
        <w:ind w:left="720" w:hanging="360"/>
      </w:pPr>
      <w:rPr>
        <w:rFonts w:ascii="Symbol" w:hAnsi="Symbol" w:hint="default"/>
      </w:rPr>
    </w:lvl>
    <w:lvl w:ilvl="1" w:tplc="6FCA0B80"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8231B5"/>
    <w:multiLevelType w:val="hybridMultilevel"/>
    <w:tmpl w:val="5A968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3C416B4"/>
    <w:multiLevelType w:val="hybridMultilevel"/>
    <w:tmpl w:val="AA3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42A6AFC"/>
    <w:multiLevelType w:val="hybridMultilevel"/>
    <w:tmpl w:val="C036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7C553D"/>
    <w:multiLevelType w:val="hybridMultilevel"/>
    <w:tmpl w:val="60367B92"/>
    <w:lvl w:ilvl="0" w:tplc="1786DE72">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39BF0805"/>
    <w:multiLevelType w:val="hybridMultilevel"/>
    <w:tmpl w:val="937C8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A574BB1"/>
    <w:multiLevelType w:val="hybridMultilevel"/>
    <w:tmpl w:val="05A4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F84C20"/>
    <w:multiLevelType w:val="hybridMultilevel"/>
    <w:tmpl w:val="65F6EC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3CF82D70"/>
    <w:multiLevelType w:val="hybridMultilevel"/>
    <w:tmpl w:val="DFE628E6"/>
    <w:lvl w:ilvl="0" w:tplc="54523D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E1733DA"/>
    <w:multiLevelType w:val="hybridMultilevel"/>
    <w:tmpl w:val="01B00FEE"/>
    <w:lvl w:ilvl="0" w:tplc="3AFC26F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6B489C"/>
    <w:multiLevelType w:val="hybridMultilevel"/>
    <w:tmpl w:val="7FDC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5278D1"/>
    <w:multiLevelType w:val="hybridMultilevel"/>
    <w:tmpl w:val="2AE02F2E"/>
    <w:lvl w:ilvl="0" w:tplc="3AFC26F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2FE5881"/>
    <w:multiLevelType w:val="hybridMultilevel"/>
    <w:tmpl w:val="B57E36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43CB0795"/>
    <w:multiLevelType w:val="hybridMultilevel"/>
    <w:tmpl w:val="3E468E28"/>
    <w:lvl w:ilvl="0" w:tplc="DFEE28F4">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761838"/>
    <w:multiLevelType w:val="hybridMultilevel"/>
    <w:tmpl w:val="94A05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9615FA4"/>
    <w:multiLevelType w:val="hybridMultilevel"/>
    <w:tmpl w:val="97BA5B20"/>
    <w:lvl w:ilvl="0" w:tplc="3AFC26F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E619FA"/>
    <w:multiLevelType w:val="multilevel"/>
    <w:tmpl w:val="139E1802"/>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bullet"/>
      <w:lvlText w:val="o"/>
      <w:lvlJc w:val="left"/>
      <w:pPr>
        <w:tabs>
          <w:tab w:val="num" w:pos="2160"/>
        </w:tabs>
        <w:ind w:left="2160" w:hanging="180"/>
      </w:pPr>
      <w:rPr>
        <w:rFonts w:ascii="Courier New" w:hAnsi="Courier New" w:cs="Courier New"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4BBD4CD1"/>
    <w:multiLevelType w:val="hybridMultilevel"/>
    <w:tmpl w:val="73FAD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D922505"/>
    <w:multiLevelType w:val="hybridMultilevel"/>
    <w:tmpl w:val="F71C79F0"/>
    <w:lvl w:ilvl="0" w:tplc="492696D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4F012126"/>
    <w:multiLevelType w:val="hybridMultilevel"/>
    <w:tmpl w:val="C0B8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FD0306D"/>
    <w:multiLevelType w:val="hybridMultilevel"/>
    <w:tmpl w:val="ED5C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BB6C6A"/>
    <w:multiLevelType w:val="multilevel"/>
    <w:tmpl w:val="63F62A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52321EF6"/>
    <w:multiLevelType w:val="hybridMultilevel"/>
    <w:tmpl w:val="FEEC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CE1353"/>
    <w:multiLevelType w:val="hybridMultilevel"/>
    <w:tmpl w:val="D6B6A424"/>
    <w:lvl w:ilvl="0" w:tplc="60CC10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59326E"/>
    <w:multiLevelType w:val="hybridMultilevel"/>
    <w:tmpl w:val="AC56FDF8"/>
    <w:lvl w:ilvl="0" w:tplc="B148A416">
      <w:start w:val="1"/>
      <w:numFmt w:val="decimal"/>
      <w:lvlText w:val="%1."/>
      <w:lvlJc w:val="left"/>
      <w:pPr>
        <w:ind w:left="360" w:hanging="360"/>
      </w:pPr>
      <w:rPr>
        <w:rFonts w:ascii="Times New Roman" w:hAnsi="Times New Roman" w:cs="Times New Roman"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EE6DF2"/>
    <w:multiLevelType w:val="hybridMultilevel"/>
    <w:tmpl w:val="3D06958A"/>
    <w:lvl w:ilvl="0" w:tplc="39909EE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B20A23"/>
    <w:multiLevelType w:val="hybridMultilevel"/>
    <w:tmpl w:val="1212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7626B17"/>
    <w:multiLevelType w:val="hybridMultilevel"/>
    <w:tmpl w:val="D8E080C8"/>
    <w:lvl w:ilvl="0" w:tplc="E6447C8E">
      <w:start w:val="1"/>
      <w:numFmt w:val="upperLetter"/>
      <w:lvlText w:val="%1."/>
      <w:lvlJc w:val="left"/>
      <w:pPr>
        <w:ind w:left="747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4">
    <w:nsid w:val="679F160D"/>
    <w:multiLevelType w:val="hybridMultilevel"/>
    <w:tmpl w:val="5C466BB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nsid w:val="67C53C42"/>
    <w:multiLevelType w:val="hybridMultilevel"/>
    <w:tmpl w:val="C0562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7CB1B19"/>
    <w:multiLevelType w:val="hybridMultilevel"/>
    <w:tmpl w:val="DB3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85F529B"/>
    <w:multiLevelType w:val="hybridMultilevel"/>
    <w:tmpl w:val="C94C1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69FB1270"/>
    <w:multiLevelType w:val="hybridMultilevel"/>
    <w:tmpl w:val="1D28F3A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ADB2988"/>
    <w:multiLevelType w:val="hybridMultilevel"/>
    <w:tmpl w:val="069E256A"/>
    <w:lvl w:ilvl="0" w:tplc="D73EF6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C514A5"/>
    <w:multiLevelType w:val="hybridMultilevel"/>
    <w:tmpl w:val="E590491E"/>
    <w:lvl w:ilvl="0" w:tplc="4768B2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16D3A08"/>
    <w:multiLevelType w:val="hybridMultilevel"/>
    <w:tmpl w:val="9D6A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7B4CA6"/>
    <w:multiLevelType w:val="hybridMultilevel"/>
    <w:tmpl w:val="E98077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71AD3899"/>
    <w:multiLevelType w:val="hybridMultilevel"/>
    <w:tmpl w:val="118C88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458176F"/>
    <w:multiLevelType w:val="hybridMultilevel"/>
    <w:tmpl w:val="56A436B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nsid w:val="759D5245"/>
    <w:multiLevelType w:val="hybridMultilevel"/>
    <w:tmpl w:val="E882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BF616F"/>
    <w:multiLevelType w:val="hybridMultilevel"/>
    <w:tmpl w:val="5350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70B2AAF"/>
    <w:multiLevelType w:val="hybridMultilevel"/>
    <w:tmpl w:val="7A12859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nsid w:val="7BEC5E5F"/>
    <w:multiLevelType w:val="hybridMultilevel"/>
    <w:tmpl w:val="08A617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A324E1"/>
    <w:multiLevelType w:val="hybridMultilevel"/>
    <w:tmpl w:val="A41EA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EAE1D12"/>
    <w:multiLevelType w:val="hybridMultilevel"/>
    <w:tmpl w:val="D0BC7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44"/>
  </w:num>
  <w:num w:numId="3">
    <w:abstractNumId w:val="65"/>
  </w:num>
  <w:num w:numId="4">
    <w:abstractNumId w:val="86"/>
  </w:num>
  <w:num w:numId="5">
    <w:abstractNumId w:val="38"/>
  </w:num>
  <w:num w:numId="6">
    <w:abstractNumId w:val="40"/>
  </w:num>
  <w:num w:numId="7">
    <w:abstractNumId w:val="32"/>
  </w:num>
  <w:num w:numId="8">
    <w:abstractNumId w:val="22"/>
  </w:num>
  <w:num w:numId="9">
    <w:abstractNumId w:val="13"/>
  </w:num>
  <w:num w:numId="10">
    <w:abstractNumId w:val="71"/>
  </w:num>
  <w:num w:numId="11">
    <w:abstractNumId w:val="75"/>
  </w:num>
  <w:num w:numId="12">
    <w:abstractNumId w:val="33"/>
  </w:num>
  <w:num w:numId="13">
    <w:abstractNumId w:val="76"/>
  </w:num>
  <w:num w:numId="14">
    <w:abstractNumId w:val="8"/>
  </w:num>
  <w:num w:numId="15">
    <w:abstractNumId w:val="89"/>
  </w:num>
  <w:num w:numId="16">
    <w:abstractNumId w:val="0"/>
  </w:num>
  <w:num w:numId="17">
    <w:abstractNumId w:val="15"/>
  </w:num>
  <w:num w:numId="18">
    <w:abstractNumId w:val="68"/>
  </w:num>
  <w:num w:numId="19">
    <w:abstractNumId w:val="52"/>
  </w:num>
  <w:num w:numId="20">
    <w:abstractNumId w:val="43"/>
  </w:num>
  <w:num w:numId="21">
    <w:abstractNumId w:val="34"/>
  </w:num>
  <w:num w:numId="22">
    <w:abstractNumId w:val="50"/>
  </w:num>
  <w:num w:numId="23">
    <w:abstractNumId w:val="18"/>
  </w:num>
  <w:num w:numId="24">
    <w:abstractNumId w:val="46"/>
  </w:num>
  <w:num w:numId="25">
    <w:abstractNumId w:val="42"/>
  </w:num>
  <w:num w:numId="26">
    <w:abstractNumId w:val="9"/>
  </w:num>
  <w:num w:numId="27">
    <w:abstractNumId w:val="80"/>
  </w:num>
  <w:num w:numId="28">
    <w:abstractNumId w:val="82"/>
  </w:num>
  <w:num w:numId="29">
    <w:abstractNumId w:val="58"/>
  </w:num>
  <w:num w:numId="30">
    <w:abstractNumId w:val="28"/>
  </w:num>
  <w:num w:numId="31">
    <w:abstractNumId w:val="77"/>
  </w:num>
  <w:num w:numId="32">
    <w:abstractNumId w:val="67"/>
  </w:num>
  <w:num w:numId="33">
    <w:abstractNumId w:val="81"/>
  </w:num>
  <w:num w:numId="34">
    <w:abstractNumId w:val="39"/>
  </w:num>
  <w:num w:numId="35">
    <w:abstractNumId w:val="78"/>
  </w:num>
  <w:num w:numId="36">
    <w:abstractNumId w:val="49"/>
  </w:num>
  <w:num w:numId="37">
    <w:abstractNumId w:val="90"/>
  </w:num>
  <w:num w:numId="38">
    <w:abstractNumId w:val="21"/>
  </w:num>
  <w:num w:numId="39">
    <w:abstractNumId w:val="26"/>
  </w:num>
  <w:num w:numId="40">
    <w:abstractNumId w:val="47"/>
  </w:num>
  <w:num w:numId="41">
    <w:abstractNumId w:val="63"/>
  </w:num>
  <w:num w:numId="42">
    <w:abstractNumId w:val="54"/>
  </w:num>
  <w:num w:numId="43">
    <w:abstractNumId w:val="7"/>
  </w:num>
  <w:num w:numId="44">
    <w:abstractNumId w:val="88"/>
  </w:num>
  <w:num w:numId="45">
    <w:abstractNumId w:val="16"/>
  </w:num>
  <w:num w:numId="46">
    <w:abstractNumId w:val="37"/>
  </w:num>
  <w:num w:numId="47">
    <w:abstractNumId w:val="69"/>
  </w:num>
  <w:num w:numId="48">
    <w:abstractNumId w:val="12"/>
  </w:num>
  <w:num w:numId="49">
    <w:abstractNumId w:val="6"/>
  </w:num>
  <w:num w:numId="50">
    <w:abstractNumId w:val="19"/>
  </w:num>
  <w:num w:numId="51">
    <w:abstractNumId w:val="25"/>
  </w:num>
  <w:num w:numId="52">
    <w:abstractNumId w:val="79"/>
  </w:num>
  <w:num w:numId="53">
    <w:abstractNumId w:val="10"/>
  </w:num>
  <w:num w:numId="54">
    <w:abstractNumId w:val="4"/>
  </w:num>
  <w:num w:numId="55">
    <w:abstractNumId w:val="41"/>
  </w:num>
  <w:num w:numId="56">
    <w:abstractNumId w:val="24"/>
  </w:num>
  <w:num w:numId="57">
    <w:abstractNumId w:val="60"/>
  </w:num>
  <w:num w:numId="58">
    <w:abstractNumId w:val="36"/>
  </w:num>
  <w:num w:numId="59">
    <w:abstractNumId w:val="64"/>
  </w:num>
  <w:num w:numId="60">
    <w:abstractNumId w:val="3"/>
  </w:num>
  <w:num w:numId="61">
    <w:abstractNumId w:val="74"/>
  </w:num>
  <w:num w:numId="62">
    <w:abstractNumId w:val="5"/>
  </w:num>
  <w:num w:numId="63">
    <w:abstractNumId w:val="29"/>
  </w:num>
  <w:num w:numId="64">
    <w:abstractNumId w:val="11"/>
  </w:num>
  <w:num w:numId="65">
    <w:abstractNumId w:val="84"/>
  </w:num>
  <w:num w:numId="66">
    <w:abstractNumId w:val="87"/>
  </w:num>
  <w:num w:numId="67">
    <w:abstractNumId w:val="17"/>
  </w:num>
  <w:num w:numId="68">
    <w:abstractNumId w:val="45"/>
  </w:num>
  <w:num w:numId="69">
    <w:abstractNumId w:val="83"/>
  </w:num>
  <w:num w:numId="70">
    <w:abstractNumId w:val="53"/>
  </w:num>
  <w:num w:numId="71">
    <w:abstractNumId w:val="2"/>
  </w:num>
  <w:num w:numId="72">
    <w:abstractNumId w:val="1"/>
  </w:num>
  <w:num w:numId="73">
    <w:abstractNumId w:val="51"/>
  </w:num>
  <w:num w:numId="74">
    <w:abstractNumId w:val="31"/>
  </w:num>
  <w:num w:numId="75">
    <w:abstractNumId w:val="66"/>
  </w:num>
  <w:num w:numId="76">
    <w:abstractNumId w:val="56"/>
  </w:num>
  <w:num w:numId="77">
    <w:abstractNumId w:val="85"/>
  </w:num>
  <w:num w:numId="78">
    <w:abstractNumId w:val="23"/>
  </w:num>
  <w:num w:numId="79">
    <w:abstractNumId w:val="48"/>
  </w:num>
  <w:num w:numId="80">
    <w:abstractNumId w:val="20"/>
  </w:num>
  <w:num w:numId="81">
    <w:abstractNumId w:val="35"/>
  </w:num>
  <w:num w:numId="82">
    <w:abstractNumId w:val="57"/>
  </w:num>
  <w:num w:numId="83">
    <w:abstractNumId w:val="27"/>
  </w:num>
  <w:num w:numId="84">
    <w:abstractNumId w:val="61"/>
  </w:num>
  <w:num w:numId="85">
    <w:abstractNumId w:val="55"/>
  </w:num>
  <w:num w:numId="86">
    <w:abstractNumId w:val="14"/>
  </w:num>
  <w:num w:numId="87">
    <w:abstractNumId w:val="72"/>
  </w:num>
  <w:num w:numId="88">
    <w:abstractNumId w:val="73"/>
  </w:num>
  <w:num w:numId="89">
    <w:abstractNumId w:val="30"/>
  </w:num>
  <w:num w:numId="90">
    <w:abstractNumId w:val="62"/>
  </w:num>
  <w:num w:numId="91">
    <w:abstractNumId w:val="5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hdrShapeDefaults>
    <o:shapedefaults v:ext="edit" spidmax="614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4B5BD9"/>
    <w:rsid w:val="00000103"/>
    <w:rsid w:val="00001D96"/>
    <w:rsid w:val="00002AAB"/>
    <w:rsid w:val="00002C35"/>
    <w:rsid w:val="00002FBD"/>
    <w:rsid w:val="000034D1"/>
    <w:rsid w:val="0000410D"/>
    <w:rsid w:val="000047BE"/>
    <w:rsid w:val="00006A67"/>
    <w:rsid w:val="00007C3F"/>
    <w:rsid w:val="00007EF3"/>
    <w:rsid w:val="000105CA"/>
    <w:rsid w:val="000107B2"/>
    <w:rsid w:val="00010FCC"/>
    <w:rsid w:val="00011408"/>
    <w:rsid w:val="00012BFC"/>
    <w:rsid w:val="00012E58"/>
    <w:rsid w:val="0001322D"/>
    <w:rsid w:val="000133B6"/>
    <w:rsid w:val="000139C4"/>
    <w:rsid w:val="00013E45"/>
    <w:rsid w:val="000141A6"/>
    <w:rsid w:val="000146F2"/>
    <w:rsid w:val="0001501C"/>
    <w:rsid w:val="00016D93"/>
    <w:rsid w:val="00017E6E"/>
    <w:rsid w:val="00017F63"/>
    <w:rsid w:val="000205BE"/>
    <w:rsid w:val="0002082D"/>
    <w:rsid w:val="0002228A"/>
    <w:rsid w:val="000225F1"/>
    <w:rsid w:val="000248DA"/>
    <w:rsid w:val="00024F32"/>
    <w:rsid w:val="00025A8B"/>
    <w:rsid w:val="00026F59"/>
    <w:rsid w:val="000276C2"/>
    <w:rsid w:val="000279A5"/>
    <w:rsid w:val="00027AA7"/>
    <w:rsid w:val="00027DDA"/>
    <w:rsid w:val="00031151"/>
    <w:rsid w:val="000312C4"/>
    <w:rsid w:val="00031753"/>
    <w:rsid w:val="00031E3E"/>
    <w:rsid w:val="00032138"/>
    <w:rsid w:val="000323A8"/>
    <w:rsid w:val="0003297E"/>
    <w:rsid w:val="00032B9C"/>
    <w:rsid w:val="000336AB"/>
    <w:rsid w:val="000350F6"/>
    <w:rsid w:val="00035C78"/>
    <w:rsid w:val="00036A96"/>
    <w:rsid w:val="00036CF2"/>
    <w:rsid w:val="00037543"/>
    <w:rsid w:val="00037EA4"/>
    <w:rsid w:val="0004037E"/>
    <w:rsid w:val="00042105"/>
    <w:rsid w:val="000425F4"/>
    <w:rsid w:val="0004278C"/>
    <w:rsid w:val="00042F37"/>
    <w:rsid w:val="00045467"/>
    <w:rsid w:val="000472E0"/>
    <w:rsid w:val="00047BBE"/>
    <w:rsid w:val="00047E4C"/>
    <w:rsid w:val="000510B9"/>
    <w:rsid w:val="00051664"/>
    <w:rsid w:val="00052F81"/>
    <w:rsid w:val="00053D79"/>
    <w:rsid w:val="00054509"/>
    <w:rsid w:val="000574D4"/>
    <w:rsid w:val="00057585"/>
    <w:rsid w:val="00060894"/>
    <w:rsid w:val="00061254"/>
    <w:rsid w:val="00061274"/>
    <w:rsid w:val="00061712"/>
    <w:rsid w:val="00062C0A"/>
    <w:rsid w:val="000637B3"/>
    <w:rsid w:val="00063EF1"/>
    <w:rsid w:val="000642C3"/>
    <w:rsid w:val="000646ED"/>
    <w:rsid w:val="00064809"/>
    <w:rsid w:val="0006604C"/>
    <w:rsid w:val="00067E09"/>
    <w:rsid w:val="00071701"/>
    <w:rsid w:val="00071CC2"/>
    <w:rsid w:val="00071DE3"/>
    <w:rsid w:val="000729A2"/>
    <w:rsid w:val="00072AA9"/>
    <w:rsid w:val="00075391"/>
    <w:rsid w:val="00075A61"/>
    <w:rsid w:val="00075EAC"/>
    <w:rsid w:val="0007623D"/>
    <w:rsid w:val="00082484"/>
    <w:rsid w:val="00082791"/>
    <w:rsid w:val="000829E3"/>
    <w:rsid w:val="00082BAA"/>
    <w:rsid w:val="0008301C"/>
    <w:rsid w:val="00083B76"/>
    <w:rsid w:val="00085BA6"/>
    <w:rsid w:val="000863DC"/>
    <w:rsid w:val="000864BC"/>
    <w:rsid w:val="000905E9"/>
    <w:rsid w:val="00091557"/>
    <w:rsid w:val="00091CC6"/>
    <w:rsid w:val="00092C09"/>
    <w:rsid w:val="00094D8B"/>
    <w:rsid w:val="00094DDA"/>
    <w:rsid w:val="00096756"/>
    <w:rsid w:val="00096CC2"/>
    <w:rsid w:val="000970A0"/>
    <w:rsid w:val="00097ABA"/>
    <w:rsid w:val="00097C84"/>
    <w:rsid w:val="000A0C8B"/>
    <w:rsid w:val="000A0F62"/>
    <w:rsid w:val="000A108D"/>
    <w:rsid w:val="000A1440"/>
    <w:rsid w:val="000A153E"/>
    <w:rsid w:val="000A4BFA"/>
    <w:rsid w:val="000A4C29"/>
    <w:rsid w:val="000A757B"/>
    <w:rsid w:val="000B0222"/>
    <w:rsid w:val="000B2376"/>
    <w:rsid w:val="000B2AE7"/>
    <w:rsid w:val="000B2CAD"/>
    <w:rsid w:val="000B44A7"/>
    <w:rsid w:val="000B476F"/>
    <w:rsid w:val="000B4ECD"/>
    <w:rsid w:val="000B53BB"/>
    <w:rsid w:val="000B540A"/>
    <w:rsid w:val="000B6667"/>
    <w:rsid w:val="000B6A44"/>
    <w:rsid w:val="000B7F3A"/>
    <w:rsid w:val="000C0A31"/>
    <w:rsid w:val="000C190F"/>
    <w:rsid w:val="000C2F95"/>
    <w:rsid w:val="000C43CB"/>
    <w:rsid w:val="000C4497"/>
    <w:rsid w:val="000C4DFE"/>
    <w:rsid w:val="000C6450"/>
    <w:rsid w:val="000D0C47"/>
    <w:rsid w:val="000D19E3"/>
    <w:rsid w:val="000D2235"/>
    <w:rsid w:val="000D3251"/>
    <w:rsid w:val="000D39F1"/>
    <w:rsid w:val="000D3CED"/>
    <w:rsid w:val="000D3FDF"/>
    <w:rsid w:val="000D4B87"/>
    <w:rsid w:val="000D5ECC"/>
    <w:rsid w:val="000D79C3"/>
    <w:rsid w:val="000E1182"/>
    <w:rsid w:val="000E1B65"/>
    <w:rsid w:val="000E2E8B"/>
    <w:rsid w:val="000E2EBC"/>
    <w:rsid w:val="000E2F64"/>
    <w:rsid w:val="000E3535"/>
    <w:rsid w:val="000E369C"/>
    <w:rsid w:val="000E6893"/>
    <w:rsid w:val="000F1165"/>
    <w:rsid w:val="000F27F0"/>
    <w:rsid w:val="000F3C88"/>
    <w:rsid w:val="000F46D4"/>
    <w:rsid w:val="000F4C2C"/>
    <w:rsid w:val="000F4C79"/>
    <w:rsid w:val="000F6B0B"/>
    <w:rsid w:val="000F72B4"/>
    <w:rsid w:val="000F7509"/>
    <w:rsid w:val="001003C4"/>
    <w:rsid w:val="00100695"/>
    <w:rsid w:val="00100EA8"/>
    <w:rsid w:val="00101AAE"/>
    <w:rsid w:val="00102C75"/>
    <w:rsid w:val="001049B0"/>
    <w:rsid w:val="00104B61"/>
    <w:rsid w:val="001060A8"/>
    <w:rsid w:val="00106DB0"/>
    <w:rsid w:val="0010788E"/>
    <w:rsid w:val="00107CF5"/>
    <w:rsid w:val="00110564"/>
    <w:rsid w:val="00110568"/>
    <w:rsid w:val="00110DF9"/>
    <w:rsid w:val="00111ED0"/>
    <w:rsid w:val="00112BC4"/>
    <w:rsid w:val="00112E9A"/>
    <w:rsid w:val="00113A3A"/>
    <w:rsid w:val="001146A9"/>
    <w:rsid w:val="00114AA0"/>
    <w:rsid w:val="00114B0B"/>
    <w:rsid w:val="00117D70"/>
    <w:rsid w:val="001245A4"/>
    <w:rsid w:val="00125162"/>
    <w:rsid w:val="00125BE8"/>
    <w:rsid w:val="00125DA8"/>
    <w:rsid w:val="001267C6"/>
    <w:rsid w:val="00126B3B"/>
    <w:rsid w:val="001309E3"/>
    <w:rsid w:val="00132539"/>
    <w:rsid w:val="0013262B"/>
    <w:rsid w:val="00133627"/>
    <w:rsid w:val="0013499B"/>
    <w:rsid w:val="00134D40"/>
    <w:rsid w:val="00135357"/>
    <w:rsid w:val="00135D93"/>
    <w:rsid w:val="00135E18"/>
    <w:rsid w:val="0013780A"/>
    <w:rsid w:val="00137E69"/>
    <w:rsid w:val="00140C94"/>
    <w:rsid w:val="00143457"/>
    <w:rsid w:val="0014349F"/>
    <w:rsid w:val="00146A95"/>
    <w:rsid w:val="00147207"/>
    <w:rsid w:val="001502E8"/>
    <w:rsid w:val="001508A3"/>
    <w:rsid w:val="001518AA"/>
    <w:rsid w:val="001537AC"/>
    <w:rsid w:val="00155991"/>
    <w:rsid w:val="00157969"/>
    <w:rsid w:val="001621A7"/>
    <w:rsid w:val="00164A51"/>
    <w:rsid w:val="00164CD8"/>
    <w:rsid w:val="00164D25"/>
    <w:rsid w:val="00164F8D"/>
    <w:rsid w:val="00165465"/>
    <w:rsid w:val="00165EC2"/>
    <w:rsid w:val="0016734D"/>
    <w:rsid w:val="00167A0D"/>
    <w:rsid w:val="00170164"/>
    <w:rsid w:val="00170240"/>
    <w:rsid w:val="00170358"/>
    <w:rsid w:val="001710CD"/>
    <w:rsid w:val="00171E1B"/>
    <w:rsid w:val="001721AA"/>
    <w:rsid w:val="0017265A"/>
    <w:rsid w:val="001733FE"/>
    <w:rsid w:val="0017378E"/>
    <w:rsid w:val="001748B7"/>
    <w:rsid w:val="0017577A"/>
    <w:rsid w:val="0017643C"/>
    <w:rsid w:val="00176E7A"/>
    <w:rsid w:val="00177C11"/>
    <w:rsid w:val="001815B6"/>
    <w:rsid w:val="001828CF"/>
    <w:rsid w:val="0018382B"/>
    <w:rsid w:val="001847EB"/>
    <w:rsid w:val="00184899"/>
    <w:rsid w:val="001852D1"/>
    <w:rsid w:val="0018714F"/>
    <w:rsid w:val="0018732A"/>
    <w:rsid w:val="00187FD4"/>
    <w:rsid w:val="00190CFE"/>
    <w:rsid w:val="00192A7A"/>
    <w:rsid w:val="00192C4D"/>
    <w:rsid w:val="00192CA3"/>
    <w:rsid w:val="00193BEE"/>
    <w:rsid w:val="001959F7"/>
    <w:rsid w:val="00197385"/>
    <w:rsid w:val="00197D2E"/>
    <w:rsid w:val="001A0C11"/>
    <w:rsid w:val="001A5A70"/>
    <w:rsid w:val="001A62FF"/>
    <w:rsid w:val="001A68A7"/>
    <w:rsid w:val="001A715F"/>
    <w:rsid w:val="001A7769"/>
    <w:rsid w:val="001A7DBA"/>
    <w:rsid w:val="001B0050"/>
    <w:rsid w:val="001B00E1"/>
    <w:rsid w:val="001B0238"/>
    <w:rsid w:val="001B150C"/>
    <w:rsid w:val="001B2A9D"/>
    <w:rsid w:val="001B3997"/>
    <w:rsid w:val="001B4163"/>
    <w:rsid w:val="001B4A7D"/>
    <w:rsid w:val="001B4C65"/>
    <w:rsid w:val="001B5359"/>
    <w:rsid w:val="001C0183"/>
    <w:rsid w:val="001C1306"/>
    <w:rsid w:val="001C1FCB"/>
    <w:rsid w:val="001C210C"/>
    <w:rsid w:val="001C21E8"/>
    <w:rsid w:val="001C56EC"/>
    <w:rsid w:val="001C59B5"/>
    <w:rsid w:val="001C64A6"/>
    <w:rsid w:val="001C6918"/>
    <w:rsid w:val="001D03F5"/>
    <w:rsid w:val="001D09D9"/>
    <w:rsid w:val="001D0A54"/>
    <w:rsid w:val="001D188C"/>
    <w:rsid w:val="001D22C7"/>
    <w:rsid w:val="001D2C1D"/>
    <w:rsid w:val="001D55FA"/>
    <w:rsid w:val="001D6C52"/>
    <w:rsid w:val="001D7F73"/>
    <w:rsid w:val="001E1565"/>
    <w:rsid w:val="001E1DD0"/>
    <w:rsid w:val="001E1FD9"/>
    <w:rsid w:val="001E241A"/>
    <w:rsid w:val="001E2465"/>
    <w:rsid w:val="001E2FAF"/>
    <w:rsid w:val="001E34F3"/>
    <w:rsid w:val="001E46BE"/>
    <w:rsid w:val="001E4723"/>
    <w:rsid w:val="001E4BE5"/>
    <w:rsid w:val="001E590B"/>
    <w:rsid w:val="001E5EB3"/>
    <w:rsid w:val="001E6EC9"/>
    <w:rsid w:val="001E766D"/>
    <w:rsid w:val="001F11E2"/>
    <w:rsid w:val="001F1345"/>
    <w:rsid w:val="001F1461"/>
    <w:rsid w:val="001F1C1E"/>
    <w:rsid w:val="001F1F50"/>
    <w:rsid w:val="001F21D7"/>
    <w:rsid w:val="001F29AC"/>
    <w:rsid w:val="001F2ADA"/>
    <w:rsid w:val="001F3C21"/>
    <w:rsid w:val="001F3D68"/>
    <w:rsid w:val="001F4355"/>
    <w:rsid w:val="001F4F8C"/>
    <w:rsid w:val="001F5D55"/>
    <w:rsid w:val="001F7DF5"/>
    <w:rsid w:val="00200C19"/>
    <w:rsid w:val="00200C40"/>
    <w:rsid w:val="00200D4B"/>
    <w:rsid w:val="002010D2"/>
    <w:rsid w:val="00201201"/>
    <w:rsid w:val="002016A5"/>
    <w:rsid w:val="00201A2B"/>
    <w:rsid w:val="002029B0"/>
    <w:rsid w:val="00203E47"/>
    <w:rsid w:val="00203F0E"/>
    <w:rsid w:val="0020516A"/>
    <w:rsid w:val="00206AF5"/>
    <w:rsid w:val="00206DC3"/>
    <w:rsid w:val="00207600"/>
    <w:rsid w:val="00207A0D"/>
    <w:rsid w:val="00207F9A"/>
    <w:rsid w:val="0021099B"/>
    <w:rsid w:val="002111BC"/>
    <w:rsid w:val="00211898"/>
    <w:rsid w:val="00211C92"/>
    <w:rsid w:val="00213C96"/>
    <w:rsid w:val="00214712"/>
    <w:rsid w:val="002163B5"/>
    <w:rsid w:val="00216522"/>
    <w:rsid w:val="00216647"/>
    <w:rsid w:val="00217A25"/>
    <w:rsid w:val="00220224"/>
    <w:rsid w:val="002212B5"/>
    <w:rsid w:val="00221BE2"/>
    <w:rsid w:val="00221E30"/>
    <w:rsid w:val="00222753"/>
    <w:rsid w:val="002228A3"/>
    <w:rsid w:val="00222F09"/>
    <w:rsid w:val="00223246"/>
    <w:rsid w:val="00223522"/>
    <w:rsid w:val="00224239"/>
    <w:rsid w:val="00224618"/>
    <w:rsid w:val="00225DE3"/>
    <w:rsid w:val="0022636A"/>
    <w:rsid w:val="00227461"/>
    <w:rsid w:val="00231A83"/>
    <w:rsid w:val="002334FE"/>
    <w:rsid w:val="0023481D"/>
    <w:rsid w:val="00234DC5"/>
    <w:rsid w:val="0023623C"/>
    <w:rsid w:val="0023675D"/>
    <w:rsid w:val="002400E8"/>
    <w:rsid w:val="002401C1"/>
    <w:rsid w:val="002417F9"/>
    <w:rsid w:val="002427CA"/>
    <w:rsid w:val="002431E8"/>
    <w:rsid w:val="002446CB"/>
    <w:rsid w:val="00244721"/>
    <w:rsid w:val="00245195"/>
    <w:rsid w:val="00245309"/>
    <w:rsid w:val="00245DE0"/>
    <w:rsid w:val="00246E43"/>
    <w:rsid w:val="002504DF"/>
    <w:rsid w:val="002505B6"/>
    <w:rsid w:val="0025096B"/>
    <w:rsid w:val="00251C70"/>
    <w:rsid w:val="00251DF5"/>
    <w:rsid w:val="00252CE1"/>
    <w:rsid w:val="00256D79"/>
    <w:rsid w:val="00256F32"/>
    <w:rsid w:val="00260D2D"/>
    <w:rsid w:val="00260FB4"/>
    <w:rsid w:val="002615A8"/>
    <w:rsid w:val="002631C2"/>
    <w:rsid w:val="00263CA8"/>
    <w:rsid w:val="00263CAE"/>
    <w:rsid w:val="00264DC5"/>
    <w:rsid w:val="00265570"/>
    <w:rsid w:val="00265709"/>
    <w:rsid w:val="002657AE"/>
    <w:rsid w:val="00266081"/>
    <w:rsid w:val="00266791"/>
    <w:rsid w:val="002674EF"/>
    <w:rsid w:val="00267CBF"/>
    <w:rsid w:val="00270FA6"/>
    <w:rsid w:val="002715DD"/>
    <w:rsid w:val="00271938"/>
    <w:rsid w:val="00271DB4"/>
    <w:rsid w:val="002721F4"/>
    <w:rsid w:val="00272BFA"/>
    <w:rsid w:val="0027320E"/>
    <w:rsid w:val="00274573"/>
    <w:rsid w:val="00274584"/>
    <w:rsid w:val="00275B68"/>
    <w:rsid w:val="00280F3F"/>
    <w:rsid w:val="002817A3"/>
    <w:rsid w:val="00282CD8"/>
    <w:rsid w:val="00283EA5"/>
    <w:rsid w:val="002841E2"/>
    <w:rsid w:val="00284B04"/>
    <w:rsid w:val="00285690"/>
    <w:rsid w:val="002872A0"/>
    <w:rsid w:val="002874C0"/>
    <w:rsid w:val="00290237"/>
    <w:rsid w:val="0029225A"/>
    <w:rsid w:val="0029297B"/>
    <w:rsid w:val="002929D0"/>
    <w:rsid w:val="00292C10"/>
    <w:rsid w:val="00294985"/>
    <w:rsid w:val="00295E1A"/>
    <w:rsid w:val="00296B73"/>
    <w:rsid w:val="00296F0E"/>
    <w:rsid w:val="0029701E"/>
    <w:rsid w:val="002A04AC"/>
    <w:rsid w:val="002A0C7E"/>
    <w:rsid w:val="002A11D4"/>
    <w:rsid w:val="002A1F7F"/>
    <w:rsid w:val="002A2E77"/>
    <w:rsid w:val="002A31AF"/>
    <w:rsid w:val="002A356C"/>
    <w:rsid w:val="002A4003"/>
    <w:rsid w:val="002A4CC9"/>
    <w:rsid w:val="002A6238"/>
    <w:rsid w:val="002A661E"/>
    <w:rsid w:val="002A6EBA"/>
    <w:rsid w:val="002A7573"/>
    <w:rsid w:val="002B11B9"/>
    <w:rsid w:val="002B223F"/>
    <w:rsid w:val="002B3526"/>
    <w:rsid w:val="002B48FD"/>
    <w:rsid w:val="002B4BC2"/>
    <w:rsid w:val="002B5767"/>
    <w:rsid w:val="002B5AB4"/>
    <w:rsid w:val="002B5BFD"/>
    <w:rsid w:val="002B5D21"/>
    <w:rsid w:val="002B69A8"/>
    <w:rsid w:val="002B7541"/>
    <w:rsid w:val="002C0998"/>
    <w:rsid w:val="002C0FB9"/>
    <w:rsid w:val="002C27DF"/>
    <w:rsid w:val="002C3A6B"/>
    <w:rsid w:val="002C3D58"/>
    <w:rsid w:val="002C4599"/>
    <w:rsid w:val="002C46FE"/>
    <w:rsid w:val="002C5BA4"/>
    <w:rsid w:val="002C5E6F"/>
    <w:rsid w:val="002C69EA"/>
    <w:rsid w:val="002C71E3"/>
    <w:rsid w:val="002C7E0C"/>
    <w:rsid w:val="002D062C"/>
    <w:rsid w:val="002D0959"/>
    <w:rsid w:val="002D134C"/>
    <w:rsid w:val="002D29A1"/>
    <w:rsid w:val="002D3CE5"/>
    <w:rsid w:val="002D4D1D"/>
    <w:rsid w:val="002D54A2"/>
    <w:rsid w:val="002D6C1F"/>
    <w:rsid w:val="002D7573"/>
    <w:rsid w:val="002D7B8B"/>
    <w:rsid w:val="002E0012"/>
    <w:rsid w:val="002E2120"/>
    <w:rsid w:val="002E37DC"/>
    <w:rsid w:val="002E4AD8"/>
    <w:rsid w:val="002E55A4"/>
    <w:rsid w:val="002E639F"/>
    <w:rsid w:val="002E69D2"/>
    <w:rsid w:val="002F00F1"/>
    <w:rsid w:val="002F0E33"/>
    <w:rsid w:val="002F1C9D"/>
    <w:rsid w:val="002F265C"/>
    <w:rsid w:val="002F26BF"/>
    <w:rsid w:val="002F2F6C"/>
    <w:rsid w:val="002F3FF8"/>
    <w:rsid w:val="002F4306"/>
    <w:rsid w:val="002F48A4"/>
    <w:rsid w:val="002F4BF3"/>
    <w:rsid w:val="002F50B6"/>
    <w:rsid w:val="002F55EA"/>
    <w:rsid w:val="002F55F1"/>
    <w:rsid w:val="002F5855"/>
    <w:rsid w:val="002F6880"/>
    <w:rsid w:val="00300897"/>
    <w:rsid w:val="00300AAF"/>
    <w:rsid w:val="003010C6"/>
    <w:rsid w:val="003014CE"/>
    <w:rsid w:val="0030312D"/>
    <w:rsid w:val="00303B29"/>
    <w:rsid w:val="00304C73"/>
    <w:rsid w:val="00306644"/>
    <w:rsid w:val="00307D4B"/>
    <w:rsid w:val="00311DC5"/>
    <w:rsid w:val="00312755"/>
    <w:rsid w:val="003128E9"/>
    <w:rsid w:val="00313067"/>
    <w:rsid w:val="00314507"/>
    <w:rsid w:val="00314868"/>
    <w:rsid w:val="00314F42"/>
    <w:rsid w:val="003154E6"/>
    <w:rsid w:val="00315656"/>
    <w:rsid w:val="00315729"/>
    <w:rsid w:val="0031645A"/>
    <w:rsid w:val="00317765"/>
    <w:rsid w:val="00320498"/>
    <w:rsid w:val="00320B39"/>
    <w:rsid w:val="00322128"/>
    <w:rsid w:val="003221BC"/>
    <w:rsid w:val="00322312"/>
    <w:rsid w:val="003234C6"/>
    <w:rsid w:val="00323BD5"/>
    <w:rsid w:val="00324273"/>
    <w:rsid w:val="003254BA"/>
    <w:rsid w:val="00326F60"/>
    <w:rsid w:val="00335F34"/>
    <w:rsid w:val="003364D4"/>
    <w:rsid w:val="00337C9F"/>
    <w:rsid w:val="003408F1"/>
    <w:rsid w:val="0034114B"/>
    <w:rsid w:val="00341476"/>
    <w:rsid w:val="00341971"/>
    <w:rsid w:val="00341E6B"/>
    <w:rsid w:val="00342935"/>
    <w:rsid w:val="00342C0A"/>
    <w:rsid w:val="00344018"/>
    <w:rsid w:val="00344291"/>
    <w:rsid w:val="00346B84"/>
    <w:rsid w:val="00351430"/>
    <w:rsid w:val="00351E64"/>
    <w:rsid w:val="00352426"/>
    <w:rsid w:val="003529CF"/>
    <w:rsid w:val="00352EE4"/>
    <w:rsid w:val="00353B81"/>
    <w:rsid w:val="00353E25"/>
    <w:rsid w:val="00353FC5"/>
    <w:rsid w:val="00354335"/>
    <w:rsid w:val="00354545"/>
    <w:rsid w:val="0035484A"/>
    <w:rsid w:val="00355E73"/>
    <w:rsid w:val="00356082"/>
    <w:rsid w:val="0035658A"/>
    <w:rsid w:val="00356BF0"/>
    <w:rsid w:val="0036058B"/>
    <w:rsid w:val="0036083F"/>
    <w:rsid w:val="00360912"/>
    <w:rsid w:val="00360E73"/>
    <w:rsid w:val="0036106D"/>
    <w:rsid w:val="00362402"/>
    <w:rsid w:val="003632F2"/>
    <w:rsid w:val="003661CF"/>
    <w:rsid w:val="00366421"/>
    <w:rsid w:val="003664C6"/>
    <w:rsid w:val="00366F87"/>
    <w:rsid w:val="003677B3"/>
    <w:rsid w:val="00370244"/>
    <w:rsid w:val="00371736"/>
    <w:rsid w:val="00371D18"/>
    <w:rsid w:val="00372BD0"/>
    <w:rsid w:val="003730B1"/>
    <w:rsid w:val="00373881"/>
    <w:rsid w:val="00374213"/>
    <w:rsid w:val="00374F79"/>
    <w:rsid w:val="003754E4"/>
    <w:rsid w:val="00377A09"/>
    <w:rsid w:val="00380EF1"/>
    <w:rsid w:val="003819DE"/>
    <w:rsid w:val="003822B4"/>
    <w:rsid w:val="0038240D"/>
    <w:rsid w:val="003824F0"/>
    <w:rsid w:val="0038455C"/>
    <w:rsid w:val="00384B99"/>
    <w:rsid w:val="00384DA1"/>
    <w:rsid w:val="00386F27"/>
    <w:rsid w:val="00387028"/>
    <w:rsid w:val="0039002F"/>
    <w:rsid w:val="00390C15"/>
    <w:rsid w:val="00394C2E"/>
    <w:rsid w:val="003956CD"/>
    <w:rsid w:val="00395962"/>
    <w:rsid w:val="003A11DA"/>
    <w:rsid w:val="003A141A"/>
    <w:rsid w:val="003A1CA4"/>
    <w:rsid w:val="003A226F"/>
    <w:rsid w:val="003A296A"/>
    <w:rsid w:val="003A2B6A"/>
    <w:rsid w:val="003A3AC6"/>
    <w:rsid w:val="003A3CBB"/>
    <w:rsid w:val="003A3CD2"/>
    <w:rsid w:val="003A5474"/>
    <w:rsid w:val="003A584C"/>
    <w:rsid w:val="003A58DB"/>
    <w:rsid w:val="003A7153"/>
    <w:rsid w:val="003A72DF"/>
    <w:rsid w:val="003B0F63"/>
    <w:rsid w:val="003B231B"/>
    <w:rsid w:val="003B23D9"/>
    <w:rsid w:val="003B3020"/>
    <w:rsid w:val="003B43B7"/>
    <w:rsid w:val="003B4835"/>
    <w:rsid w:val="003B5B73"/>
    <w:rsid w:val="003B7152"/>
    <w:rsid w:val="003B7D4E"/>
    <w:rsid w:val="003B7F99"/>
    <w:rsid w:val="003C0876"/>
    <w:rsid w:val="003C09DE"/>
    <w:rsid w:val="003C0A42"/>
    <w:rsid w:val="003C2B55"/>
    <w:rsid w:val="003C2E8A"/>
    <w:rsid w:val="003C2FFF"/>
    <w:rsid w:val="003C30BD"/>
    <w:rsid w:val="003C3EB8"/>
    <w:rsid w:val="003C4FD9"/>
    <w:rsid w:val="003C7830"/>
    <w:rsid w:val="003D1D73"/>
    <w:rsid w:val="003D2696"/>
    <w:rsid w:val="003D2709"/>
    <w:rsid w:val="003D30F4"/>
    <w:rsid w:val="003D355E"/>
    <w:rsid w:val="003D5B32"/>
    <w:rsid w:val="003D6428"/>
    <w:rsid w:val="003D66FC"/>
    <w:rsid w:val="003D75E2"/>
    <w:rsid w:val="003E36AD"/>
    <w:rsid w:val="003E670A"/>
    <w:rsid w:val="003E73D7"/>
    <w:rsid w:val="003E7CE7"/>
    <w:rsid w:val="003F2645"/>
    <w:rsid w:val="003F289C"/>
    <w:rsid w:val="003F2D8C"/>
    <w:rsid w:val="003F2F9B"/>
    <w:rsid w:val="003F3024"/>
    <w:rsid w:val="003F5FAD"/>
    <w:rsid w:val="003F6801"/>
    <w:rsid w:val="003F6C56"/>
    <w:rsid w:val="003F7F0C"/>
    <w:rsid w:val="00400259"/>
    <w:rsid w:val="00400CD6"/>
    <w:rsid w:val="00401797"/>
    <w:rsid w:val="004025D8"/>
    <w:rsid w:val="004026D6"/>
    <w:rsid w:val="00403246"/>
    <w:rsid w:val="00403D8D"/>
    <w:rsid w:val="004043AE"/>
    <w:rsid w:val="00404520"/>
    <w:rsid w:val="0040524D"/>
    <w:rsid w:val="004057F7"/>
    <w:rsid w:val="00406023"/>
    <w:rsid w:val="00406B92"/>
    <w:rsid w:val="0041079A"/>
    <w:rsid w:val="004128FC"/>
    <w:rsid w:val="00413B2A"/>
    <w:rsid w:val="00413D58"/>
    <w:rsid w:val="004156E6"/>
    <w:rsid w:val="00415AB5"/>
    <w:rsid w:val="00415CF0"/>
    <w:rsid w:val="00416590"/>
    <w:rsid w:val="00417E5F"/>
    <w:rsid w:val="00420445"/>
    <w:rsid w:val="00421175"/>
    <w:rsid w:val="004213EE"/>
    <w:rsid w:val="004214D9"/>
    <w:rsid w:val="00422230"/>
    <w:rsid w:val="00422323"/>
    <w:rsid w:val="00422A7F"/>
    <w:rsid w:val="00422E60"/>
    <w:rsid w:val="004245D8"/>
    <w:rsid w:val="00424F01"/>
    <w:rsid w:val="004257D3"/>
    <w:rsid w:val="004263A3"/>
    <w:rsid w:val="00426D30"/>
    <w:rsid w:val="004304D2"/>
    <w:rsid w:val="004309C7"/>
    <w:rsid w:val="00430CDE"/>
    <w:rsid w:val="00432152"/>
    <w:rsid w:val="00432845"/>
    <w:rsid w:val="00433245"/>
    <w:rsid w:val="004347A1"/>
    <w:rsid w:val="004347A3"/>
    <w:rsid w:val="004354B9"/>
    <w:rsid w:val="00436296"/>
    <w:rsid w:val="00437036"/>
    <w:rsid w:val="00437684"/>
    <w:rsid w:val="0043775C"/>
    <w:rsid w:val="00437F32"/>
    <w:rsid w:val="00440213"/>
    <w:rsid w:val="004409F6"/>
    <w:rsid w:val="00442053"/>
    <w:rsid w:val="004425D9"/>
    <w:rsid w:val="00442B33"/>
    <w:rsid w:val="00443318"/>
    <w:rsid w:val="00443F17"/>
    <w:rsid w:val="00443F53"/>
    <w:rsid w:val="0044454B"/>
    <w:rsid w:val="00444947"/>
    <w:rsid w:val="00444B64"/>
    <w:rsid w:val="00446622"/>
    <w:rsid w:val="00446B73"/>
    <w:rsid w:val="0045057C"/>
    <w:rsid w:val="00450618"/>
    <w:rsid w:val="00450E81"/>
    <w:rsid w:val="00451FFC"/>
    <w:rsid w:val="004527EE"/>
    <w:rsid w:val="0045333E"/>
    <w:rsid w:val="004540E3"/>
    <w:rsid w:val="00454604"/>
    <w:rsid w:val="00454E63"/>
    <w:rsid w:val="00455E0B"/>
    <w:rsid w:val="00456595"/>
    <w:rsid w:val="00456870"/>
    <w:rsid w:val="00457275"/>
    <w:rsid w:val="004577E1"/>
    <w:rsid w:val="00457FB4"/>
    <w:rsid w:val="00460349"/>
    <w:rsid w:val="004609E1"/>
    <w:rsid w:val="00460DBC"/>
    <w:rsid w:val="0046171F"/>
    <w:rsid w:val="00462587"/>
    <w:rsid w:val="0046317A"/>
    <w:rsid w:val="00464A9A"/>
    <w:rsid w:val="00464C6B"/>
    <w:rsid w:val="00465080"/>
    <w:rsid w:val="004652E6"/>
    <w:rsid w:val="00465487"/>
    <w:rsid w:val="004666AF"/>
    <w:rsid w:val="004668B7"/>
    <w:rsid w:val="00466C87"/>
    <w:rsid w:val="00470E4E"/>
    <w:rsid w:val="00471A1C"/>
    <w:rsid w:val="00471D2A"/>
    <w:rsid w:val="00475028"/>
    <w:rsid w:val="004760D4"/>
    <w:rsid w:val="00476F72"/>
    <w:rsid w:val="00477102"/>
    <w:rsid w:val="004777A4"/>
    <w:rsid w:val="00477EDF"/>
    <w:rsid w:val="004805F3"/>
    <w:rsid w:val="00481684"/>
    <w:rsid w:val="00481A19"/>
    <w:rsid w:val="00482316"/>
    <w:rsid w:val="00482E18"/>
    <w:rsid w:val="004832B3"/>
    <w:rsid w:val="00484B84"/>
    <w:rsid w:val="00484D5B"/>
    <w:rsid w:val="00485E05"/>
    <w:rsid w:val="00486A87"/>
    <w:rsid w:val="00487485"/>
    <w:rsid w:val="004917B5"/>
    <w:rsid w:val="00491903"/>
    <w:rsid w:val="00493654"/>
    <w:rsid w:val="0049547F"/>
    <w:rsid w:val="00495854"/>
    <w:rsid w:val="00495FCA"/>
    <w:rsid w:val="00496397"/>
    <w:rsid w:val="0049787D"/>
    <w:rsid w:val="004A0C1D"/>
    <w:rsid w:val="004A27E2"/>
    <w:rsid w:val="004A28D9"/>
    <w:rsid w:val="004A2C31"/>
    <w:rsid w:val="004A5AD9"/>
    <w:rsid w:val="004A5E86"/>
    <w:rsid w:val="004A6172"/>
    <w:rsid w:val="004A634F"/>
    <w:rsid w:val="004A70AE"/>
    <w:rsid w:val="004B00B3"/>
    <w:rsid w:val="004B08A8"/>
    <w:rsid w:val="004B0C7A"/>
    <w:rsid w:val="004B2B1C"/>
    <w:rsid w:val="004B3C8E"/>
    <w:rsid w:val="004B467E"/>
    <w:rsid w:val="004B5BD9"/>
    <w:rsid w:val="004B608D"/>
    <w:rsid w:val="004B6E92"/>
    <w:rsid w:val="004B7710"/>
    <w:rsid w:val="004B7E5A"/>
    <w:rsid w:val="004C0726"/>
    <w:rsid w:val="004C0BFF"/>
    <w:rsid w:val="004C1147"/>
    <w:rsid w:val="004C180F"/>
    <w:rsid w:val="004C1B46"/>
    <w:rsid w:val="004C37F7"/>
    <w:rsid w:val="004C4295"/>
    <w:rsid w:val="004C4D5F"/>
    <w:rsid w:val="004C4E7F"/>
    <w:rsid w:val="004C5283"/>
    <w:rsid w:val="004C5ECC"/>
    <w:rsid w:val="004C61B7"/>
    <w:rsid w:val="004C6B1D"/>
    <w:rsid w:val="004C6B30"/>
    <w:rsid w:val="004C74C5"/>
    <w:rsid w:val="004D07B8"/>
    <w:rsid w:val="004D0AD1"/>
    <w:rsid w:val="004D17B3"/>
    <w:rsid w:val="004D1FE4"/>
    <w:rsid w:val="004D2742"/>
    <w:rsid w:val="004D3BBC"/>
    <w:rsid w:val="004D3CCF"/>
    <w:rsid w:val="004D45C2"/>
    <w:rsid w:val="004D534C"/>
    <w:rsid w:val="004D6003"/>
    <w:rsid w:val="004D6206"/>
    <w:rsid w:val="004D68F7"/>
    <w:rsid w:val="004D78DF"/>
    <w:rsid w:val="004D7D60"/>
    <w:rsid w:val="004E0271"/>
    <w:rsid w:val="004E1019"/>
    <w:rsid w:val="004E19F3"/>
    <w:rsid w:val="004E2958"/>
    <w:rsid w:val="004E2A41"/>
    <w:rsid w:val="004E4E89"/>
    <w:rsid w:val="004E4F7E"/>
    <w:rsid w:val="004E5CD4"/>
    <w:rsid w:val="004E6302"/>
    <w:rsid w:val="004E6DF0"/>
    <w:rsid w:val="004E6E5D"/>
    <w:rsid w:val="004E7DA0"/>
    <w:rsid w:val="004F0CF2"/>
    <w:rsid w:val="004F11C0"/>
    <w:rsid w:val="004F130F"/>
    <w:rsid w:val="004F168A"/>
    <w:rsid w:val="004F2A45"/>
    <w:rsid w:val="004F39B2"/>
    <w:rsid w:val="004F5AE0"/>
    <w:rsid w:val="004F6815"/>
    <w:rsid w:val="00500BA6"/>
    <w:rsid w:val="00500D57"/>
    <w:rsid w:val="00501F2E"/>
    <w:rsid w:val="00501F62"/>
    <w:rsid w:val="0050287A"/>
    <w:rsid w:val="00503055"/>
    <w:rsid w:val="00503322"/>
    <w:rsid w:val="005048E9"/>
    <w:rsid w:val="00506873"/>
    <w:rsid w:val="00507820"/>
    <w:rsid w:val="00507991"/>
    <w:rsid w:val="00507C90"/>
    <w:rsid w:val="005101B2"/>
    <w:rsid w:val="00514B03"/>
    <w:rsid w:val="005160F3"/>
    <w:rsid w:val="00521B12"/>
    <w:rsid w:val="0052246C"/>
    <w:rsid w:val="005253C8"/>
    <w:rsid w:val="00525C98"/>
    <w:rsid w:val="005265BF"/>
    <w:rsid w:val="0052660F"/>
    <w:rsid w:val="00526CB7"/>
    <w:rsid w:val="005276CA"/>
    <w:rsid w:val="00527DE2"/>
    <w:rsid w:val="00527ED8"/>
    <w:rsid w:val="005310F4"/>
    <w:rsid w:val="005324CD"/>
    <w:rsid w:val="00532C2A"/>
    <w:rsid w:val="00532FA4"/>
    <w:rsid w:val="00533DEE"/>
    <w:rsid w:val="00534920"/>
    <w:rsid w:val="00534A60"/>
    <w:rsid w:val="00535B22"/>
    <w:rsid w:val="00540A76"/>
    <w:rsid w:val="00544110"/>
    <w:rsid w:val="005468F6"/>
    <w:rsid w:val="00550E4F"/>
    <w:rsid w:val="00552626"/>
    <w:rsid w:val="00552D9A"/>
    <w:rsid w:val="00553181"/>
    <w:rsid w:val="00553CA7"/>
    <w:rsid w:val="005559CC"/>
    <w:rsid w:val="00556BAC"/>
    <w:rsid w:val="00557426"/>
    <w:rsid w:val="00560B82"/>
    <w:rsid w:val="00560EB9"/>
    <w:rsid w:val="005622BA"/>
    <w:rsid w:val="00563C4A"/>
    <w:rsid w:val="005644D6"/>
    <w:rsid w:val="005650F1"/>
    <w:rsid w:val="00570032"/>
    <w:rsid w:val="00570043"/>
    <w:rsid w:val="00570EE1"/>
    <w:rsid w:val="00570FF4"/>
    <w:rsid w:val="005716A9"/>
    <w:rsid w:val="00571FB7"/>
    <w:rsid w:val="00572338"/>
    <w:rsid w:val="00573111"/>
    <w:rsid w:val="00575125"/>
    <w:rsid w:val="00576AD0"/>
    <w:rsid w:val="00577B55"/>
    <w:rsid w:val="005804F4"/>
    <w:rsid w:val="005804F6"/>
    <w:rsid w:val="00580B30"/>
    <w:rsid w:val="005813EE"/>
    <w:rsid w:val="00582040"/>
    <w:rsid w:val="0058279B"/>
    <w:rsid w:val="005846EA"/>
    <w:rsid w:val="0058479F"/>
    <w:rsid w:val="00584CFA"/>
    <w:rsid w:val="0058558A"/>
    <w:rsid w:val="00585C8A"/>
    <w:rsid w:val="005865C3"/>
    <w:rsid w:val="00586FB9"/>
    <w:rsid w:val="0058738C"/>
    <w:rsid w:val="005875D9"/>
    <w:rsid w:val="00587F07"/>
    <w:rsid w:val="005906D3"/>
    <w:rsid w:val="0059154C"/>
    <w:rsid w:val="00591B3C"/>
    <w:rsid w:val="005939AC"/>
    <w:rsid w:val="00593EBA"/>
    <w:rsid w:val="00595FE6"/>
    <w:rsid w:val="005961BD"/>
    <w:rsid w:val="00596427"/>
    <w:rsid w:val="005972CE"/>
    <w:rsid w:val="00597556"/>
    <w:rsid w:val="005A022C"/>
    <w:rsid w:val="005A0B18"/>
    <w:rsid w:val="005A0BD6"/>
    <w:rsid w:val="005A0E6A"/>
    <w:rsid w:val="005A1B60"/>
    <w:rsid w:val="005A2C34"/>
    <w:rsid w:val="005A2D3E"/>
    <w:rsid w:val="005A3174"/>
    <w:rsid w:val="005A31B3"/>
    <w:rsid w:val="005A31E7"/>
    <w:rsid w:val="005A373A"/>
    <w:rsid w:val="005A3A4E"/>
    <w:rsid w:val="005A58E1"/>
    <w:rsid w:val="005A68EF"/>
    <w:rsid w:val="005B2686"/>
    <w:rsid w:val="005B281A"/>
    <w:rsid w:val="005B3FFF"/>
    <w:rsid w:val="005B520B"/>
    <w:rsid w:val="005B5724"/>
    <w:rsid w:val="005B5908"/>
    <w:rsid w:val="005B64C3"/>
    <w:rsid w:val="005B6D57"/>
    <w:rsid w:val="005C2220"/>
    <w:rsid w:val="005C341E"/>
    <w:rsid w:val="005C3631"/>
    <w:rsid w:val="005C3A0D"/>
    <w:rsid w:val="005C3F4B"/>
    <w:rsid w:val="005C4D3E"/>
    <w:rsid w:val="005C5F96"/>
    <w:rsid w:val="005C64F8"/>
    <w:rsid w:val="005C656A"/>
    <w:rsid w:val="005C6784"/>
    <w:rsid w:val="005C776B"/>
    <w:rsid w:val="005C7D81"/>
    <w:rsid w:val="005C7EA3"/>
    <w:rsid w:val="005D1DC0"/>
    <w:rsid w:val="005D2442"/>
    <w:rsid w:val="005D2661"/>
    <w:rsid w:val="005D48B7"/>
    <w:rsid w:val="005D4964"/>
    <w:rsid w:val="005D4E92"/>
    <w:rsid w:val="005D5584"/>
    <w:rsid w:val="005D5599"/>
    <w:rsid w:val="005D7808"/>
    <w:rsid w:val="005D7A7E"/>
    <w:rsid w:val="005E0519"/>
    <w:rsid w:val="005E0F4A"/>
    <w:rsid w:val="005E15B5"/>
    <w:rsid w:val="005E2E39"/>
    <w:rsid w:val="005E361D"/>
    <w:rsid w:val="005E39C4"/>
    <w:rsid w:val="005E51C1"/>
    <w:rsid w:val="005F11A1"/>
    <w:rsid w:val="005F338F"/>
    <w:rsid w:val="005F5016"/>
    <w:rsid w:val="005F5193"/>
    <w:rsid w:val="005F65BB"/>
    <w:rsid w:val="005F6BFE"/>
    <w:rsid w:val="0060008E"/>
    <w:rsid w:val="00600B3B"/>
    <w:rsid w:val="00601751"/>
    <w:rsid w:val="006026DB"/>
    <w:rsid w:val="00602E2F"/>
    <w:rsid w:val="00605045"/>
    <w:rsid w:val="00606C06"/>
    <w:rsid w:val="00607662"/>
    <w:rsid w:val="00610A80"/>
    <w:rsid w:val="00610D02"/>
    <w:rsid w:val="00611E9A"/>
    <w:rsid w:val="00612960"/>
    <w:rsid w:val="00613444"/>
    <w:rsid w:val="00613556"/>
    <w:rsid w:val="00613FEE"/>
    <w:rsid w:val="006143CD"/>
    <w:rsid w:val="00614C74"/>
    <w:rsid w:val="00614D5C"/>
    <w:rsid w:val="00615300"/>
    <w:rsid w:val="0061710C"/>
    <w:rsid w:val="0062079E"/>
    <w:rsid w:val="00621791"/>
    <w:rsid w:val="006218D0"/>
    <w:rsid w:val="00622598"/>
    <w:rsid w:val="00622623"/>
    <w:rsid w:val="00623265"/>
    <w:rsid w:val="006239EE"/>
    <w:rsid w:val="006241E4"/>
    <w:rsid w:val="006246D6"/>
    <w:rsid w:val="00625BBE"/>
    <w:rsid w:val="00627391"/>
    <w:rsid w:val="00627460"/>
    <w:rsid w:val="00631306"/>
    <w:rsid w:val="0063165A"/>
    <w:rsid w:val="00632CC0"/>
    <w:rsid w:val="006339F4"/>
    <w:rsid w:val="00633E54"/>
    <w:rsid w:val="006347C5"/>
    <w:rsid w:val="00636B62"/>
    <w:rsid w:val="0063772C"/>
    <w:rsid w:val="006405D1"/>
    <w:rsid w:val="006407F5"/>
    <w:rsid w:val="00641F34"/>
    <w:rsid w:val="00643109"/>
    <w:rsid w:val="006432C1"/>
    <w:rsid w:val="006438BA"/>
    <w:rsid w:val="00645770"/>
    <w:rsid w:val="00646620"/>
    <w:rsid w:val="00647142"/>
    <w:rsid w:val="006471FD"/>
    <w:rsid w:val="006476BB"/>
    <w:rsid w:val="00647D1B"/>
    <w:rsid w:val="00651019"/>
    <w:rsid w:val="00651381"/>
    <w:rsid w:val="00651BE6"/>
    <w:rsid w:val="00651F03"/>
    <w:rsid w:val="00651F60"/>
    <w:rsid w:val="00652B1A"/>
    <w:rsid w:val="006536EA"/>
    <w:rsid w:val="00653E3D"/>
    <w:rsid w:val="00654345"/>
    <w:rsid w:val="006545C6"/>
    <w:rsid w:val="00654967"/>
    <w:rsid w:val="006604D9"/>
    <w:rsid w:val="006608E1"/>
    <w:rsid w:val="006615E7"/>
    <w:rsid w:val="00661A4E"/>
    <w:rsid w:val="00662649"/>
    <w:rsid w:val="00662F69"/>
    <w:rsid w:val="0066312F"/>
    <w:rsid w:val="0066379E"/>
    <w:rsid w:val="0067107D"/>
    <w:rsid w:val="00671301"/>
    <w:rsid w:val="006715EC"/>
    <w:rsid w:val="0067167A"/>
    <w:rsid w:val="006718AB"/>
    <w:rsid w:val="0067351D"/>
    <w:rsid w:val="00673937"/>
    <w:rsid w:val="0067575F"/>
    <w:rsid w:val="00675ADD"/>
    <w:rsid w:val="00676385"/>
    <w:rsid w:val="006770C6"/>
    <w:rsid w:val="00677218"/>
    <w:rsid w:val="00677E38"/>
    <w:rsid w:val="00677F7F"/>
    <w:rsid w:val="00680682"/>
    <w:rsid w:val="00682921"/>
    <w:rsid w:val="00682FDC"/>
    <w:rsid w:val="006852E6"/>
    <w:rsid w:val="0068696E"/>
    <w:rsid w:val="00687ED7"/>
    <w:rsid w:val="00692531"/>
    <w:rsid w:val="006928DA"/>
    <w:rsid w:val="00693487"/>
    <w:rsid w:val="00693F34"/>
    <w:rsid w:val="00695A67"/>
    <w:rsid w:val="00696909"/>
    <w:rsid w:val="00696C07"/>
    <w:rsid w:val="006A0A4C"/>
    <w:rsid w:val="006A19F3"/>
    <w:rsid w:val="006A1B41"/>
    <w:rsid w:val="006A41AA"/>
    <w:rsid w:val="006A4C1E"/>
    <w:rsid w:val="006A4E73"/>
    <w:rsid w:val="006A4F2A"/>
    <w:rsid w:val="006A588B"/>
    <w:rsid w:val="006A5DDB"/>
    <w:rsid w:val="006A6AAE"/>
    <w:rsid w:val="006A6DDB"/>
    <w:rsid w:val="006B00D6"/>
    <w:rsid w:val="006B08EB"/>
    <w:rsid w:val="006B1007"/>
    <w:rsid w:val="006B1819"/>
    <w:rsid w:val="006B197A"/>
    <w:rsid w:val="006B2234"/>
    <w:rsid w:val="006B48F8"/>
    <w:rsid w:val="006B4BB0"/>
    <w:rsid w:val="006B573D"/>
    <w:rsid w:val="006B5C3F"/>
    <w:rsid w:val="006B5FED"/>
    <w:rsid w:val="006B69C1"/>
    <w:rsid w:val="006B6E0C"/>
    <w:rsid w:val="006B7AC6"/>
    <w:rsid w:val="006B7E36"/>
    <w:rsid w:val="006C0A55"/>
    <w:rsid w:val="006C0D2C"/>
    <w:rsid w:val="006C17BB"/>
    <w:rsid w:val="006C2A6D"/>
    <w:rsid w:val="006C3123"/>
    <w:rsid w:val="006C31CE"/>
    <w:rsid w:val="006C4B11"/>
    <w:rsid w:val="006C4F5C"/>
    <w:rsid w:val="006C550C"/>
    <w:rsid w:val="006C7345"/>
    <w:rsid w:val="006D09B3"/>
    <w:rsid w:val="006D11C9"/>
    <w:rsid w:val="006D1FB9"/>
    <w:rsid w:val="006D2D92"/>
    <w:rsid w:val="006D31A4"/>
    <w:rsid w:val="006D3A86"/>
    <w:rsid w:val="006D3AC3"/>
    <w:rsid w:val="006D52F1"/>
    <w:rsid w:val="006D644B"/>
    <w:rsid w:val="006D6CEC"/>
    <w:rsid w:val="006D7ADE"/>
    <w:rsid w:val="006E03AF"/>
    <w:rsid w:val="006E04E6"/>
    <w:rsid w:val="006E06D7"/>
    <w:rsid w:val="006E0FEB"/>
    <w:rsid w:val="006E154D"/>
    <w:rsid w:val="006E256E"/>
    <w:rsid w:val="006E2580"/>
    <w:rsid w:val="006E321F"/>
    <w:rsid w:val="006E3A03"/>
    <w:rsid w:val="006E4CEF"/>
    <w:rsid w:val="006F0C15"/>
    <w:rsid w:val="006F1E4B"/>
    <w:rsid w:val="006F26DA"/>
    <w:rsid w:val="006F3D4B"/>
    <w:rsid w:val="006F46DC"/>
    <w:rsid w:val="006F4F5B"/>
    <w:rsid w:val="006F57AF"/>
    <w:rsid w:val="006F58A2"/>
    <w:rsid w:val="006F639D"/>
    <w:rsid w:val="006F6756"/>
    <w:rsid w:val="006F7319"/>
    <w:rsid w:val="006F74C4"/>
    <w:rsid w:val="00700B43"/>
    <w:rsid w:val="00701A45"/>
    <w:rsid w:val="00701F15"/>
    <w:rsid w:val="00703345"/>
    <w:rsid w:val="007053C1"/>
    <w:rsid w:val="007065D5"/>
    <w:rsid w:val="00706958"/>
    <w:rsid w:val="0070771D"/>
    <w:rsid w:val="007078AB"/>
    <w:rsid w:val="0071165A"/>
    <w:rsid w:val="007121F0"/>
    <w:rsid w:val="007133E6"/>
    <w:rsid w:val="0071352A"/>
    <w:rsid w:val="00713FC3"/>
    <w:rsid w:val="007145F9"/>
    <w:rsid w:val="00714866"/>
    <w:rsid w:val="0071496D"/>
    <w:rsid w:val="007155F5"/>
    <w:rsid w:val="0071575B"/>
    <w:rsid w:val="007157E6"/>
    <w:rsid w:val="00720208"/>
    <w:rsid w:val="00720DE3"/>
    <w:rsid w:val="00721D9F"/>
    <w:rsid w:val="007226B8"/>
    <w:rsid w:val="0072282D"/>
    <w:rsid w:val="0072456D"/>
    <w:rsid w:val="00724A87"/>
    <w:rsid w:val="00724BDD"/>
    <w:rsid w:val="00725D89"/>
    <w:rsid w:val="00726130"/>
    <w:rsid w:val="007267EF"/>
    <w:rsid w:val="00726F29"/>
    <w:rsid w:val="00727D11"/>
    <w:rsid w:val="0073010A"/>
    <w:rsid w:val="007314B8"/>
    <w:rsid w:val="007316FA"/>
    <w:rsid w:val="00731ECB"/>
    <w:rsid w:val="0073403A"/>
    <w:rsid w:val="00737121"/>
    <w:rsid w:val="007371C3"/>
    <w:rsid w:val="00740B9F"/>
    <w:rsid w:val="00740D20"/>
    <w:rsid w:val="007411A8"/>
    <w:rsid w:val="00742765"/>
    <w:rsid w:val="00742A30"/>
    <w:rsid w:val="00743EC2"/>
    <w:rsid w:val="0074404D"/>
    <w:rsid w:val="0074416A"/>
    <w:rsid w:val="00744845"/>
    <w:rsid w:val="00745C42"/>
    <w:rsid w:val="007471C8"/>
    <w:rsid w:val="00747D4A"/>
    <w:rsid w:val="00750B01"/>
    <w:rsid w:val="007546EA"/>
    <w:rsid w:val="00754C33"/>
    <w:rsid w:val="00754F13"/>
    <w:rsid w:val="00754FD8"/>
    <w:rsid w:val="00755457"/>
    <w:rsid w:val="007557AF"/>
    <w:rsid w:val="00756193"/>
    <w:rsid w:val="00756694"/>
    <w:rsid w:val="007566A2"/>
    <w:rsid w:val="00757593"/>
    <w:rsid w:val="00760EC6"/>
    <w:rsid w:val="00762C65"/>
    <w:rsid w:val="007648EE"/>
    <w:rsid w:val="00765E29"/>
    <w:rsid w:val="0076650E"/>
    <w:rsid w:val="00766938"/>
    <w:rsid w:val="00767557"/>
    <w:rsid w:val="0077022E"/>
    <w:rsid w:val="00771F6C"/>
    <w:rsid w:val="00773ABA"/>
    <w:rsid w:val="007740AD"/>
    <w:rsid w:val="007747DB"/>
    <w:rsid w:val="00774DE5"/>
    <w:rsid w:val="0077593E"/>
    <w:rsid w:val="00775AA8"/>
    <w:rsid w:val="00776E76"/>
    <w:rsid w:val="00777654"/>
    <w:rsid w:val="00777AAD"/>
    <w:rsid w:val="00780B75"/>
    <w:rsid w:val="00780E5F"/>
    <w:rsid w:val="0078191B"/>
    <w:rsid w:val="007828CB"/>
    <w:rsid w:val="007836E2"/>
    <w:rsid w:val="00784103"/>
    <w:rsid w:val="00784A90"/>
    <w:rsid w:val="00784BD7"/>
    <w:rsid w:val="00785407"/>
    <w:rsid w:val="00786A79"/>
    <w:rsid w:val="00787936"/>
    <w:rsid w:val="00790F7F"/>
    <w:rsid w:val="007913C8"/>
    <w:rsid w:val="00793868"/>
    <w:rsid w:val="00794059"/>
    <w:rsid w:val="007951AC"/>
    <w:rsid w:val="0079565E"/>
    <w:rsid w:val="007957B4"/>
    <w:rsid w:val="0079596B"/>
    <w:rsid w:val="00795972"/>
    <w:rsid w:val="007964B8"/>
    <w:rsid w:val="007969F3"/>
    <w:rsid w:val="0079740B"/>
    <w:rsid w:val="007A0B61"/>
    <w:rsid w:val="007A1247"/>
    <w:rsid w:val="007A1AA4"/>
    <w:rsid w:val="007A3482"/>
    <w:rsid w:val="007A5375"/>
    <w:rsid w:val="007A54D3"/>
    <w:rsid w:val="007A64CD"/>
    <w:rsid w:val="007A6717"/>
    <w:rsid w:val="007B1333"/>
    <w:rsid w:val="007B1A01"/>
    <w:rsid w:val="007B361A"/>
    <w:rsid w:val="007B4AD9"/>
    <w:rsid w:val="007B4B92"/>
    <w:rsid w:val="007B5E57"/>
    <w:rsid w:val="007B6C7F"/>
    <w:rsid w:val="007B6E62"/>
    <w:rsid w:val="007C1980"/>
    <w:rsid w:val="007C2FB7"/>
    <w:rsid w:val="007C30D7"/>
    <w:rsid w:val="007C47B9"/>
    <w:rsid w:val="007C5988"/>
    <w:rsid w:val="007C5BB8"/>
    <w:rsid w:val="007C6A42"/>
    <w:rsid w:val="007C6B3F"/>
    <w:rsid w:val="007C7521"/>
    <w:rsid w:val="007D034C"/>
    <w:rsid w:val="007D0969"/>
    <w:rsid w:val="007D344A"/>
    <w:rsid w:val="007D3647"/>
    <w:rsid w:val="007D588C"/>
    <w:rsid w:val="007D63D0"/>
    <w:rsid w:val="007D68AE"/>
    <w:rsid w:val="007D72FE"/>
    <w:rsid w:val="007D7684"/>
    <w:rsid w:val="007E0FCD"/>
    <w:rsid w:val="007E171E"/>
    <w:rsid w:val="007E17D8"/>
    <w:rsid w:val="007E18D7"/>
    <w:rsid w:val="007E1C8B"/>
    <w:rsid w:val="007E2613"/>
    <w:rsid w:val="007E26A2"/>
    <w:rsid w:val="007E37D5"/>
    <w:rsid w:val="007E584D"/>
    <w:rsid w:val="007E69CA"/>
    <w:rsid w:val="007F0CE2"/>
    <w:rsid w:val="007F261C"/>
    <w:rsid w:val="007F543A"/>
    <w:rsid w:val="007F6A71"/>
    <w:rsid w:val="008004AD"/>
    <w:rsid w:val="00800FB6"/>
    <w:rsid w:val="008013FD"/>
    <w:rsid w:val="008014A7"/>
    <w:rsid w:val="00801963"/>
    <w:rsid w:val="008020C5"/>
    <w:rsid w:val="008025F4"/>
    <w:rsid w:val="00803890"/>
    <w:rsid w:val="00803EF4"/>
    <w:rsid w:val="00804542"/>
    <w:rsid w:val="008046FB"/>
    <w:rsid w:val="00804706"/>
    <w:rsid w:val="00804F35"/>
    <w:rsid w:val="008051ED"/>
    <w:rsid w:val="00805BD4"/>
    <w:rsid w:val="0080671A"/>
    <w:rsid w:val="00807286"/>
    <w:rsid w:val="00807550"/>
    <w:rsid w:val="00810513"/>
    <w:rsid w:val="008105DB"/>
    <w:rsid w:val="00811806"/>
    <w:rsid w:val="008118C2"/>
    <w:rsid w:val="00811CFB"/>
    <w:rsid w:val="00812052"/>
    <w:rsid w:val="008120F2"/>
    <w:rsid w:val="0081266E"/>
    <w:rsid w:val="00812FEF"/>
    <w:rsid w:val="00814160"/>
    <w:rsid w:val="00816284"/>
    <w:rsid w:val="00816BC7"/>
    <w:rsid w:val="00816C0A"/>
    <w:rsid w:val="00817261"/>
    <w:rsid w:val="008202AB"/>
    <w:rsid w:val="0082089A"/>
    <w:rsid w:val="00821107"/>
    <w:rsid w:val="0082427D"/>
    <w:rsid w:val="00824950"/>
    <w:rsid w:val="008251DB"/>
    <w:rsid w:val="00825B16"/>
    <w:rsid w:val="008304E4"/>
    <w:rsid w:val="0083133D"/>
    <w:rsid w:val="00831634"/>
    <w:rsid w:val="00831717"/>
    <w:rsid w:val="008329FF"/>
    <w:rsid w:val="00833B8D"/>
    <w:rsid w:val="00834CCD"/>
    <w:rsid w:val="00834E0B"/>
    <w:rsid w:val="00835184"/>
    <w:rsid w:val="00835BF3"/>
    <w:rsid w:val="008362F5"/>
    <w:rsid w:val="008367C3"/>
    <w:rsid w:val="00836E1D"/>
    <w:rsid w:val="00837002"/>
    <w:rsid w:val="0083719D"/>
    <w:rsid w:val="00837E74"/>
    <w:rsid w:val="00837FF3"/>
    <w:rsid w:val="00841621"/>
    <w:rsid w:val="00842C37"/>
    <w:rsid w:val="0084397A"/>
    <w:rsid w:val="00844C0E"/>
    <w:rsid w:val="00846541"/>
    <w:rsid w:val="00850469"/>
    <w:rsid w:val="00851267"/>
    <w:rsid w:val="00851C2A"/>
    <w:rsid w:val="0085207B"/>
    <w:rsid w:val="0085223C"/>
    <w:rsid w:val="00852C56"/>
    <w:rsid w:val="0085329C"/>
    <w:rsid w:val="00854F05"/>
    <w:rsid w:val="0085516B"/>
    <w:rsid w:val="008566D8"/>
    <w:rsid w:val="00860680"/>
    <w:rsid w:val="00860C58"/>
    <w:rsid w:val="00860F79"/>
    <w:rsid w:val="00862DCD"/>
    <w:rsid w:val="008634E8"/>
    <w:rsid w:val="00865382"/>
    <w:rsid w:val="00865A00"/>
    <w:rsid w:val="008670B4"/>
    <w:rsid w:val="0086717D"/>
    <w:rsid w:val="00867670"/>
    <w:rsid w:val="00867C37"/>
    <w:rsid w:val="00871251"/>
    <w:rsid w:val="00871B7E"/>
    <w:rsid w:val="00871CBF"/>
    <w:rsid w:val="00872D20"/>
    <w:rsid w:val="0087306F"/>
    <w:rsid w:val="0087348B"/>
    <w:rsid w:val="00873C7C"/>
    <w:rsid w:val="00873D5B"/>
    <w:rsid w:val="00874951"/>
    <w:rsid w:val="00875A42"/>
    <w:rsid w:val="00875F1B"/>
    <w:rsid w:val="00877333"/>
    <w:rsid w:val="00880371"/>
    <w:rsid w:val="00882EEF"/>
    <w:rsid w:val="00883435"/>
    <w:rsid w:val="00883E3B"/>
    <w:rsid w:val="008846A6"/>
    <w:rsid w:val="008846D7"/>
    <w:rsid w:val="00884E64"/>
    <w:rsid w:val="00885DB2"/>
    <w:rsid w:val="00887E75"/>
    <w:rsid w:val="008912F0"/>
    <w:rsid w:val="00891B51"/>
    <w:rsid w:val="00892910"/>
    <w:rsid w:val="00892F2F"/>
    <w:rsid w:val="008941DD"/>
    <w:rsid w:val="0089483E"/>
    <w:rsid w:val="00895048"/>
    <w:rsid w:val="0089603A"/>
    <w:rsid w:val="008961D0"/>
    <w:rsid w:val="00896B30"/>
    <w:rsid w:val="00897C22"/>
    <w:rsid w:val="008A10C9"/>
    <w:rsid w:val="008A274A"/>
    <w:rsid w:val="008A2B35"/>
    <w:rsid w:val="008A4331"/>
    <w:rsid w:val="008A53A1"/>
    <w:rsid w:val="008A5478"/>
    <w:rsid w:val="008A61B3"/>
    <w:rsid w:val="008A692F"/>
    <w:rsid w:val="008A7740"/>
    <w:rsid w:val="008A7D6C"/>
    <w:rsid w:val="008B003B"/>
    <w:rsid w:val="008B037D"/>
    <w:rsid w:val="008B03E2"/>
    <w:rsid w:val="008B3236"/>
    <w:rsid w:val="008B45DC"/>
    <w:rsid w:val="008B4E7F"/>
    <w:rsid w:val="008B542C"/>
    <w:rsid w:val="008B661E"/>
    <w:rsid w:val="008B6872"/>
    <w:rsid w:val="008B789C"/>
    <w:rsid w:val="008C09D1"/>
    <w:rsid w:val="008C1019"/>
    <w:rsid w:val="008C117E"/>
    <w:rsid w:val="008C2CCD"/>
    <w:rsid w:val="008C36FD"/>
    <w:rsid w:val="008C4E86"/>
    <w:rsid w:val="008C6374"/>
    <w:rsid w:val="008C6D1A"/>
    <w:rsid w:val="008D0019"/>
    <w:rsid w:val="008D0295"/>
    <w:rsid w:val="008D0442"/>
    <w:rsid w:val="008D0BAE"/>
    <w:rsid w:val="008D1431"/>
    <w:rsid w:val="008D196E"/>
    <w:rsid w:val="008D2587"/>
    <w:rsid w:val="008D29A6"/>
    <w:rsid w:val="008D2AAC"/>
    <w:rsid w:val="008D439F"/>
    <w:rsid w:val="008D55E0"/>
    <w:rsid w:val="008D5776"/>
    <w:rsid w:val="008D588F"/>
    <w:rsid w:val="008E045A"/>
    <w:rsid w:val="008E0DBC"/>
    <w:rsid w:val="008E127F"/>
    <w:rsid w:val="008E165B"/>
    <w:rsid w:val="008E23B4"/>
    <w:rsid w:val="008E482C"/>
    <w:rsid w:val="008E5122"/>
    <w:rsid w:val="008E6450"/>
    <w:rsid w:val="008F0EDC"/>
    <w:rsid w:val="008F0FD7"/>
    <w:rsid w:val="008F2C03"/>
    <w:rsid w:val="008F2C90"/>
    <w:rsid w:val="008F3F89"/>
    <w:rsid w:val="008F42D7"/>
    <w:rsid w:val="008F4A9C"/>
    <w:rsid w:val="008F5146"/>
    <w:rsid w:val="008F57DC"/>
    <w:rsid w:val="008F603C"/>
    <w:rsid w:val="008F654E"/>
    <w:rsid w:val="008F665E"/>
    <w:rsid w:val="008F74BF"/>
    <w:rsid w:val="00901D11"/>
    <w:rsid w:val="00902248"/>
    <w:rsid w:val="00906AAB"/>
    <w:rsid w:val="00906F17"/>
    <w:rsid w:val="009071D4"/>
    <w:rsid w:val="00910CDB"/>
    <w:rsid w:val="00910E96"/>
    <w:rsid w:val="00911A9C"/>
    <w:rsid w:val="00913382"/>
    <w:rsid w:val="009138EA"/>
    <w:rsid w:val="00913F40"/>
    <w:rsid w:val="00914E3D"/>
    <w:rsid w:val="0091685A"/>
    <w:rsid w:val="00916982"/>
    <w:rsid w:val="009177F4"/>
    <w:rsid w:val="00917B21"/>
    <w:rsid w:val="009203EF"/>
    <w:rsid w:val="00921382"/>
    <w:rsid w:val="00921E3F"/>
    <w:rsid w:val="00922244"/>
    <w:rsid w:val="0092245C"/>
    <w:rsid w:val="009231BE"/>
    <w:rsid w:val="00923A2B"/>
    <w:rsid w:val="00923EDC"/>
    <w:rsid w:val="009246D0"/>
    <w:rsid w:val="0092489B"/>
    <w:rsid w:val="00925648"/>
    <w:rsid w:val="00926290"/>
    <w:rsid w:val="00927C32"/>
    <w:rsid w:val="00931160"/>
    <w:rsid w:val="00931AD2"/>
    <w:rsid w:val="009337B2"/>
    <w:rsid w:val="009342FD"/>
    <w:rsid w:val="00934408"/>
    <w:rsid w:val="009345C2"/>
    <w:rsid w:val="00934CAB"/>
    <w:rsid w:val="00935901"/>
    <w:rsid w:val="00936960"/>
    <w:rsid w:val="0093697D"/>
    <w:rsid w:val="00936CDE"/>
    <w:rsid w:val="00937079"/>
    <w:rsid w:val="00941577"/>
    <w:rsid w:val="009422F0"/>
    <w:rsid w:val="0094274D"/>
    <w:rsid w:val="00944586"/>
    <w:rsid w:val="00944FB3"/>
    <w:rsid w:val="009451E8"/>
    <w:rsid w:val="0094549F"/>
    <w:rsid w:val="009463E2"/>
    <w:rsid w:val="009479F3"/>
    <w:rsid w:val="009516A5"/>
    <w:rsid w:val="00951B13"/>
    <w:rsid w:val="009524D8"/>
    <w:rsid w:val="00952C9A"/>
    <w:rsid w:val="009539BD"/>
    <w:rsid w:val="00955700"/>
    <w:rsid w:val="009557E5"/>
    <w:rsid w:val="00956E98"/>
    <w:rsid w:val="0096110B"/>
    <w:rsid w:val="0096257C"/>
    <w:rsid w:val="009630F8"/>
    <w:rsid w:val="00963416"/>
    <w:rsid w:val="00963529"/>
    <w:rsid w:val="00963581"/>
    <w:rsid w:val="0096365B"/>
    <w:rsid w:val="00967234"/>
    <w:rsid w:val="0097144F"/>
    <w:rsid w:val="009738FC"/>
    <w:rsid w:val="009751DE"/>
    <w:rsid w:val="00975B2F"/>
    <w:rsid w:val="00976403"/>
    <w:rsid w:val="0098130F"/>
    <w:rsid w:val="00981638"/>
    <w:rsid w:val="00982840"/>
    <w:rsid w:val="00982AAE"/>
    <w:rsid w:val="009842AB"/>
    <w:rsid w:val="0098457E"/>
    <w:rsid w:val="00985DBC"/>
    <w:rsid w:val="00985F1A"/>
    <w:rsid w:val="0099027A"/>
    <w:rsid w:val="009908D1"/>
    <w:rsid w:val="009936D1"/>
    <w:rsid w:val="00993875"/>
    <w:rsid w:val="00994153"/>
    <w:rsid w:val="009967CF"/>
    <w:rsid w:val="00996828"/>
    <w:rsid w:val="00997B97"/>
    <w:rsid w:val="009A03AF"/>
    <w:rsid w:val="009A0C47"/>
    <w:rsid w:val="009A3343"/>
    <w:rsid w:val="009A48B3"/>
    <w:rsid w:val="009A4C6C"/>
    <w:rsid w:val="009A5A0D"/>
    <w:rsid w:val="009A5AE9"/>
    <w:rsid w:val="009A66BB"/>
    <w:rsid w:val="009A7BBB"/>
    <w:rsid w:val="009B11EC"/>
    <w:rsid w:val="009B1286"/>
    <w:rsid w:val="009B2FFB"/>
    <w:rsid w:val="009B3411"/>
    <w:rsid w:val="009B3CA7"/>
    <w:rsid w:val="009B4046"/>
    <w:rsid w:val="009B7506"/>
    <w:rsid w:val="009C4280"/>
    <w:rsid w:val="009C4510"/>
    <w:rsid w:val="009C5849"/>
    <w:rsid w:val="009C5CB0"/>
    <w:rsid w:val="009C62EB"/>
    <w:rsid w:val="009C719E"/>
    <w:rsid w:val="009C71F7"/>
    <w:rsid w:val="009C7BEE"/>
    <w:rsid w:val="009D4023"/>
    <w:rsid w:val="009D40F1"/>
    <w:rsid w:val="009D527D"/>
    <w:rsid w:val="009D5852"/>
    <w:rsid w:val="009D5A81"/>
    <w:rsid w:val="009D5CD8"/>
    <w:rsid w:val="009D6052"/>
    <w:rsid w:val="009D6285"/>
    <w:rsid w:val="009D6329"/>
    <w:rsid w:val="009D7B2C"/>
    <w:rsid w:val="009D7E05"/>
    <w:rsid w:val="009E1F41"/>
    <w:rsid w:val="009E3A82"/>
    <w:rsid w:val="009E4AC6"/>
    <w:rsid w:val="009E5150"/>
    <w:rsid w:val="009E52BD"/>
    <w:rsid w:val="009E5EA5"/>
    <w:rsid w:val="009E668E"/>
    <w:rsid w:val="009E7406"/>
    <w:rsid w:val="009F1F15"/>
    <w:rsid w:val="009F2F48"/>
    <w:rsid w:val="009F2F99"/>
    <w:rsid w:val="009F339E"/>
    <w:rsid w:val="009F3E30"/>
    <w:rsid w:val="009F461C"/>
    <w:rsid w:val="009F5295"/>
    <w:rsid w:val="009F5906"/>
    <w:rsid w:val="009F5D4E"/>
    <w:rsid w:val="009F6176"/>
    <w:rsid w:val="009F6E5F"/>
    <w:rsid w:val="009F712E"/>
    <w:rsid w:val="009F7471"/>
    <w:rsid w:val="009F7EA7"/>
    <w:rsid w:val="00A0078B"/>
    <w:rsid w:val="00A01251"/>
    <w:rsid w:val="00A0259B"/>
    <w:rsid w:val="00A04499"/>
    <w:rsid w:val="00A04AC0"/>
    <w:rsid w:val="00A055FC"/>
    <w:rsid w:val="00A05A10"/>
    <w:rsid w:val="00A05B06"/>
    <w:rsid w:val="00A10716"/>
    <w:rsid w:val="00A11473"/>
    <w:rsid w:val="00A11489"/>
    <w:rsid w:val="00A11AC8"/>
    <w:rsid w:val="00A11E59"/>
    <w:rsid w:val="00A13E57"/>
    <w:rsid w:val="00A14DF6"/>
    <w:rsid w:val="00A17DD8"/>
    <w:rsid w:val="00A2394E"/>
    <w:rsid w:val="00A23C1F"/>
    <w:rsid w:val="00A24D6E"/>
    <w:rsid w:val="00A25A40"/>
    <w:rsid w:val="00A2632E"/>
    <w:rsid w:val="00A27394"/>
    <w:rsid w:val="00A27799"/>
    <w:rsid w:val="00A27EE1"/>
    <w:rsid w:val="00A30670"/>
    <w:rsid w:val="00A31224"/>
    <w:rsid w:val="00A31339"/>
    <w:rsid w:val="00A31749"/>
    <w:rsid w:val="00A318EB"/>
    <w:rsid w:val="00A328A7"/>
    <w:rsid w:val="00A33ADE"/>
    <w:rsid w:val="00A344CA"/>
    <w:rsid w:val="00A353F2"/>
    <w:rsid w:val="00A355E3"/>
    <w:rsid w:val="00A36091"/>
    <w:rsid w:val="00A3611E"/>
    <w:rsid w:val="00A363B1"/>
    <w:rsid w:val="00A36A12"/>
    <w:rsid w:val="00A371ED"/>
    <w:rsid w:val="00A37D35"/>
    <w:rsid w:val="00A37F6B"/>
    <w:rsid w:val="00A404D0"/>
    <w:rsid w:val="00A404F5"/>
    <w:rsid w:val="00A40925"/>
    <w:rsid w:val="00A40A5D"/>
    <w:rsid w:val="00A40B1C"/>
    <w:rsid w:val="00A41191"/>
    <w:rsid w:val="00A417CD"/>
    <w:rsid w:val="00A418E7"/>
    <w:rsid w:val="00A4295E"/>
    <w:rsid w:val="00A43DBA"/>
    <w:rsid w:val="00A44AE6"/>
    <w:rsid w:val="00A45AA8"/>
    <w:rsid w:val="00A46CF5"/>
    <w:rsid w:val="00A479A6"/>
    <w:rsid w:val="00A50438"/>
    <w:rsid w:val="00A512F6"/>
    <w:rsid w:val="00A51E1D"/>
    <w:rsid w:val="00A531E0"/>
    <w:rsid w:val="00A5383E"/>
    <w:rsid w:val="00A53D1A"/>
    <w:rsid w:val="00A54A1E"/>
    <w:rsid w:val="00A550C7"/>
    <w:rsid w:val="00A552FC"/>
    <w:rsid w:val="00A5687D"/>
    <w:rsid w:val="00A57FB0"/>
    <w:rsid w:val="00A61798"/>
    <w:rsid w:val="00A627E4"/>
    <w:rsid w:val="00A62B3F"/>
    <w:rsid w:val="00A62D42"/>
    <w:rsid w:val="00A644D5"/>
    <w:rsid w:val="00A646B0"/>
    <w:rsid w:val="00A649C2"/>
    <w:rsid w:val="00A65995"/>
    <w:rsid w:val="00A65D97"/>
    <w:rsid w:val="00A678B0"/>
    <w:rsid w:val="00A713E2"/>
    <w:rsid w:val="00A71486"/>
    <w:rsid w:val="00A71652"/>
    <w:rsid w:val="00A71676"/>
    <w:rsid w:val="00A716C9"/>
    <w:rsid w:val="00A72C5A"/>
    <w:rsid w:val="00A73043"/>
    <w:rsid w:val="00A732EE"/>
    <w:rsid w:val="00A73F1E"/>
    <w:rsid w:val="00A75864"/>
    <w:rsid w:val="00A75A72"/>
    <w:rsid w:val="00A81508"/>
    <w:rsid w:val="00A81BED"/>
    <w:rsid w:val="00A81C89"/>
    <w:rsid w:val="00A82B9A"/>
    <w:rsid w:val="00A82D81"/>
    <w:rsid w:val="00A8355C"/>
    <w:rsid w:val="00A83CB4"/>
    <w:rsid w:val="00A86A53"/>
    <w:rsid w:val="00A86F6D"/>
    <w:rsid w:val="00A87A23"/>
    <w:rsid w:val="00A9096B"/>
    <w:rsid w:val="00A90F87"/>
    <w:rsid w:val="00A91F01"/>
    <w:rsid w:val="00A92754"/>
    <w:rsid w:val="00A92D17"/>
    <w:rsid w:val="00A93604"/>
    <w:rsid w:val="00A957A8"/>
    <w:rsid w:val="00A96972"/>
    <w:rsid w:val="00A97793"/>
    <w:rsid w:val="00A97FE7"/>
    <w:rsid w:val="00AA0704"/>
    <w:rsid w:val="00AA0C78"/>
    <w:rsid w:val="00AA1844"/>
    <w:rsid w:val="00AA2162"/>
    <w:rsid w:val="00AA2401"/>
    <w:rsid w:val="00AA3075"/>
    <w:rsid w:val="00AA5F6E"/>
    <w:rsid w:val="00AA60DB"/>
    <w:rsid w:val="00AB0AD1"/>
    <w:rsid w:val="00AB208A"/>
    <w:rsid w:val="00AB3993"/>
    <w:rsid w:val="00AB3C01"/>
    <w:rsid w:val="00AB5166"/>
    <w:rsid w:val="00AB7184"/>
    <w:rsid w:val="00AC0FE9"/>
    <w:rsid w:val="00AC27DB"/>
    <w:rsid w:val="00AC3948"/>
    <w:rsid w:val="00AC420B"/>
    <w:rsid w:val="00AC58C0"/>
    <w:rsid w:val="00AC5A04"/>
    <w:rsid w:val="00AC6738"/>
    <w:rsid w:val="00AD108D"/>
    <w:rsid w:val="00AD1846"/>
    <w:rsid w:val="00AD2174"/>
    <w:rsid w:val="00AD2879"/>
    <w:rsid w:val="00AD3ACC"/>
    <w:rsid w:val="00AD4C13"/>
    <w:rsid w:val="00AD5803"/>
    <w:rsid w:val="00AE105F"/>
    <w:rsid w:val="00AE29AA"/>
    <w:rsid w:val="00AE3F88"/>
    <w:rsid w:val="00AE421E"/>
    <w:rsid w:val="00AE5ADD"/>
    <w:rsid w:val="00AE5AFB"/>
    <w:rsid w:val="00AE73AD"/>
    <w:rsid w:val="00AE7699"/>
    <w:rsid w:val="00AF2469"/>
    <w:rsid w:val="00AF24F9"/>
    <w:rsid w:val="00AF2C3B"/>
    <w:rsid w:val="00AF3300"/>
    <w:rsid w:val="00AF3BAF"/>
    <w:rsid w:val="00AF4614"/>
    <w:rsid w:val="00AF5444"/>
    <w:rsid w:val="00AF5D13"/>
    <w:rsid w:val="00AF6230"/>
    <w:rsid w:val="00AF659F"/>
    <w:rsid w:val="00AF791F"/>
    <w:rsid w:val="00B00461"/>
    <w:rsid w:val="00B00A7F"/>
    <w:rsid w:val="00B00ACB"/>
    <w:rsid w:val="00B0133D"/>
    <w:rsid w:val="00B01BDF"/>
    <w:rsid w:val="00B01BFD"/>
    <w:rsid w:val="00B02536"/>
    <w:rsid w:val="00B027D6"/>
    <w:rsid w:val="00B03F07"/>
    <w:rsid w:val="00B0655D"/>
    <w:rsid w:val="00B06715"/>
    <w:rsid w:val="00B073E3"/>
    <w:rsid w:val="00B12A1E"/>
    <w:rsid w:val="00B1404B"/>
    <w:rsid w:val="00B141DD"/>
    <w:rsid w:val="00B14A04"/>
    <w:rsid w:val="00B1546C"/>
    <w:rsid w:val="00B154E7"/>
    <w:rsid w:val="00B158CE"/>
    <w:rsid w:val="00B15E5D"/>
    <w:rsid w:val="00B16C3D"/>
    <w:rsid w:val="00B16E13"/>
    <w:rsid w:val="00B173E6"/>
    <w:rsid w:val="00B17447"/>
    <w:rsid w:val="00B17882"/>
    <w:rsid w:val="00B2178B"/>
    <w:rsid w:val="00B22959"/>
    <w:rsid w:val="00B23100"/>
    <w:rsid w:val="00B232C4"/>
    <w:rsid w:val="00B240DD"/>
    <w:rsid w:val="00B24321"/>
    <w:rsid w:val="00B24830"/>
    <w:rsid w:val="00B24DBC"/>
    <w:rsid w:val="00B24E69"/>
    <w:rsid w:val="00B25FE9"/>
    <w:rsid w:val="00B30AB2"/>
    <w:rsid w:val="00B3145A"/>
    <w:rsid w:val="00B31E9D"/>
    <w:rsid w:val="00B32087"/>
    <w:rsid w:val="00B32133"/>
    <w:rsid w:val="00B32B65"/>
    <w:rsid w:val="00B333E6"/>
    <w:rsid w:val="00B33624"/>
    <w:rsid w:val="00B34192"/>
    <w:rsid w:val="00B3553D"/>
    <w:rsid w:val="00B356ED"/>
    <w:rsid w:val="00B358D7"/>
    <w:rsid w:val="00B36379"/>
    <w:rsid w:val="00B36DD4"/>
    <w:rsid w:val="00B400EB"/>
    <w:rsid w:val="00B4162B"/>
    <w:rsid w:val="00B42A0F"/>
    <w:rsid w:val="00B4321D"/>
    <w:rsid w:val="00B43F51"/>
    <w:rsid w:val="00B45683"/>
    <w:rsid w:val="00B457D9"/>
    <w:rsid w:val="00B50295"/>
    <w:rsid w:val="00B506C0"/>
    <w:rsid w:val="00B511FA"/>
    <w:rsid w:val="00B5432B"/>
    <w:rsid w:val="00B55A0E"/>
    <w:rsid w:val="00B56C1B"/>
    <w:rsid w:val="00B56DAC"/>
    <w:rsid w:val="00B56F17"/>
    <w:rsid w:val="00B600C5"/>
    <w:rsid w:val="00B60D1B"/>
    <w:rsid w:val="00B6126F"/>
    <w:rsid w:val="00B61348"/>
    <w:rsid w:val="00B62BB4"/>
    <w:rsid w:val="00B62FEE"/>
    <w:rsid w:val="00B632A7"/>
    <w:rsid w:val="00B63473"/>
    <w:rsid w:val="00B6518D"/>
    <w:rsid w:val="00B656FA"/>
    <w:rsid w:val="00B65CD6"/>
    <w:rsid w:val="00B6612A"/>
    <w:rsid w:val="00B703B8"/>
    <w:rsid w:val="00B70E35"/>
    <w:rsid w:val="00B71935"/>
    <w:rsid w:val="00B71A7B"/>
    <w:rsid w:val="00B71C5A"/>
    <w:rsid w:val="00B7205A"/>
    <w:rsid w:val="00B72E1F"/>
    <w:rsid w:val="00B730F5"/>
    <w:rsid w:val="00B753CC"/>
    <w:rsid w:val="00B75614"/>
    <w:rsid w:val="00B75D5E"/>
    <w:rsid w:val="00B765D7"/>
    <w:rsid w:val="00B769AD"/>
    <w:rsid w:val="00B773B9"/>
    <w:rsid w:val="00B77F8B"/>
    <w:rsid w:val="00B80E53"/>
    <w:rsid w:val="00B81533"/>
    <w:rsid w:val="00B81E6C"/>
    <w:rsid w:val="00B81FBC"/>
    <w:rsid w:val="00B820DF"/>
    <w:rsid w:val="00B82548"/>
    <w:rsid w:val="00B83F60"/>
    <w:rsid w:val="00B84B5E"/>
    <w:rsid w:val="00B85461"/>
    <w:rsid w:val="00B85EB1"/>
    <w:rsid w:val="00B86D55"/>
    <w:rsid w:val="00B870C4"/>
    <w:rsid w:val="00B873B4"/>
    <w:rsid w:val="00B914CE"/>
    <w:rsid w:val="00B9182E"/>
    <w:rsid w:val="00B91CF5"/>
    <w:rsid w:val="00B93576"/>
    <w:rsid w:val="00B93D3E"/>
    <w:rsid w:val="00B947FA"/>
    <w:rsid w:val="00B959D9"/>
    <w:rsid w:val="00BA01EE"/>
    <w:rsid w:val="00BA0C58"/>
    <w:rsid w:val="00BA26B4"/>
    <w:rsid w:val="00BA2C84"/>
    <w:rsid w:val="00BA37CE"/>
    <w:rsid w:val="00BA4883"/>
    <w:rsid w:val="00BA4DB6"/>
    <w:rsid w:val="00BA642C"/>
    <w:rsid w:val="00BA6803"/>
    <w:rsid w:val="00BA6C4C"/>
    <w:rsid w:val="00BA71A1"/>
    <w:rsid w:val="00BA77FC"/>
    <w:rsid w:val="00BB0C03"/>
    <w:rsid w:val="00BB1610"/>
    <w:rsid w:val="00BB2896"/>
    <w:rsid w:val="00BB44A2"/>
    <w:rsid w:val="00BB4678"/>
    <w:rsid w:val="00BB470E"/>
    <w:rsid w:val="00BB4A27"/>
    <w:rsid w:val="00BB4CFE"/>
    <w:rsid w:val="00BB5636"/>
    <w:rsid w:val="00BB5C0F"/>
    <w:rsid w:val="00BB5F06"/>
    <w:rsid w:val="00BB650D"/>
    <w:rsid w:val="00BB69FF"/>
    <w:rsid w:val="00BC3EF2"/>
    <w:rsid w:val="00BC438E"/>
    <w:rsid w:val="00BC5989"/>
    <w:rsid w:val="00BC6618"/>
    <w:rsid w:val="00BC67CC"/>
    <w:rsid w:val="00BC6E59"/>
    <w:rsid w:val="00BC6EF7"/>
    <w:rsid w:val="00BC77CE"/>
    <w:rsid w:val="00BC7DAB"/>
    <w:rsid w:val="00BD027C"/>
    <w:rsid w:val="00BD0E05"/>
    <w:rsid w:val="00BD48C4"/>
    <w:rsid w:val="00BD66E2"/>
    <w:rsid w:val="00BE2433"/>
    <w:rsid w:val="00BE3F94"/>
    <w:rsid w:val="00BE4870"/>
    <w:rsid w:val="00BE4914"/>
    <w:rsid w:val="00BE4AA0"/>
    <w:rsid w:val="00BE5BB2"/>
    <w:rsid w:val="00BE63DB"/>
    <w:rsid w:val="00BE6E9B"/>
    <w:rsid w:val="00BE75DF"/>
    <w:rsid w:val="00BE7F98"/>
    <w:rsid w:val="00BF1986"/>
    <w:rsid w:val="00BF1B89"/>
    <w:rsid w:val="00BF2B77"/>
    <w:rsid w:val="00BF2BA4"/>
    <w:rsid w:val="00BF3445"/>
    <w:rsid w:val="00BF3950"/>
    <w:rsid w:val="00BF3F9E"/>
    <w:rsid w:val="00BF4305"/>
    <w:rsid w:val="00BF49A1"/>
    <w:rsid w:val="00BF54D0"/>
    <w:rsid w:val="00BF56AB"/>
    <w:rsid w:val="00BF6F71"/>
    <w:rsid w:val="00C00B26"/>
    <w:rsid w:val="00C00CAA"/>
    <w:rsid w:val="00C019FA"/>
    <w:rsid w:val="00C01C66"/>
    <w:rsid w:val="00C02621"/>
    <w:rsid w:val="00C0268C"/>
    <w:rsid w:val="00C0274A"/>
    <w:rsid w:val="00C03484"/>
    <w:rsid w:val="00C0474C"/>
    <w:rsid w:val="00C06845"/>
    <w:rsid w:val="00C07A65"/>
    <w:rsid w:val="00C07B91"/>
    <w:rsid w:val="00C10D37"/>
    <w:rsid w:val="00C11799"/>
    <w:rsid w:val="00C11F8E"/>
    <w:rsid w:val="00C1281D"/>
    <w:rsid w:val="00C12AC5"/>
    <w:rsid w:val="00C12BE3"/>
    <w:rsid w:val="00C13259"/>
    <w:rsid w:val="00C1360B"/>
    <w:rsid w:val="00C14122"/>
    <w:rsid w:val="00C15E3D"/>
    <w:rsid w:val="00C21979"/>
    <w:rsid w:val="00C23413"/>
    <w:rsid w:val="00C23AAA"/>
    <w:rsid w:val="00C25339"/>
    <w:rsid w:val="00C27895"/>
    <w:rsid w:val="00C27B61"/>
    <w:rsid w:val="00C27D41"/>
    <w:rsid w:val="00C3005C"/>
    <w:rsid w:val="00C310D0"/>
    <w:rsid w:val="00C31369"/>
    <w:rsid w:val="00C32EDA"/>
    <w:rsid w:val="00C33346"/>
    <w:rsid w:val="00C33DC5"/>
    <w:rsid w:val="00C3442A"/>
    <w:rsid w:val="00C34597"/>
    <w:rsid w:val="00C3483F"/>
    <w:rsid w:val="00C350C9"/>
    <w:rsid w:val="00C3689A"/>
    <w:rsid w:val="00C36BF2"/>
    <w:rsid w:val="00C36E83"/>
    <w:rsid w:val="00C4052B"/>
    <w:rsid w:val="00C43B06"/>
    <w:rsid w:val="00C43DEE"/>
    <w:rsid w:val="00C43EB2"/>
    <w:rsid w:val="00C44E89"/>
    <w:rsid w:val="00C45EFE"/>
    <w:rsid w:val="00C465EF"/>
    <w:rsid w:val="00C46CA6"/>
    <w:rsid w:val="00C46ED8"/>
    <w:rsid w:val="00C470C6"/>
    <w:rsid w:val="00C47C66"/>
    <w:rsid w:val="00C50520"/>
    <w:rsid w:val="00C5295B"/>
    <w:rsid w:val="00C53117"/>
    <w:rsid w:val="00C538C5"/>
    <w:rsid w:val="00C54BB1"/>
    <w:rsid w:val="00C555F8"/>
    <w:rsid w:val="00C55B56"/>
    <w:rsid w:val="00C56011"/>
    <w:rsid w:val="00C5641F"/>
    <w:rsid w:val="00C613D0"/>
    <w:rsid w:val="00C619E1"/>
    <w:rsid w:val="00C62CF4"/>
    <w:rsid w:val="00C657CC"/>
    <w:rsid w:val="00C65E36"/>
    <w:rsid w:val="00C65FDA"/>
    <w:rsid w:val="00C663A8"/>
    <w:rsid w:val="00C666ED"/>
    <w:rsid w:val="00C671D4"/>
    <w:rsid w:val="00C71197"/>
    <w:rsid w:val="00C720C2"/>
    <w:rsid w:val="00C72B76"/>
    <w:rsid w:val="00C73C83"/>
    <w:rsid w:val="00C7454B"/>
    <w:rsid w:val="00C745B4"/>
    <w:rsid w:val="00C755E2"/>
    <w:rsid w:val="00C75752"/>
    <w:rsid w:val="00C779FD"/>
    <w:rsid w:val="00C77DA6"/>
    <w:rsid w:val="00C80412"/>
    <w:rsid w:val="00C8148F"/>
    <w:rsid w:val="00C81874"/>
    <w:rsid w:val="00C82C5D"/>
    <w:rsid w:val="00C8371D"/>
    <w:rsid w:val="00C8399C"/>
    <w:rsid w:val="00C844EE"/>
    <w:rsid w:val="00C8685B"/>
    <w:rsid w:val="00C86934"/>
    <w:rsid w:val="00C90DA7"/>
    <w:rsid w:val="00C91610"/>
    <w:rsid w:val="00C919EC"/>
    <w:rsid w:val="00C92490"/>
    <w:rsid w:val="00C92548"/>
    <w:rsid w:val="00C92C8C"/>
    <w:rsid w:val="00C930C6"/>
    <w:rsid w:val="00C93406"/>
    <w:rsid w:val="00C93AA6"/>
    <w:rsid w:val="00C969EC"/>
    <w:rsid w:val="00CA0174"/>
    <w:rsid w:val="00CA02F9"/>
    <w:rsid w:val="00CA094E"/>
    <w:rsid w:val="00CA0B9F"/>
    <w:rsid w:val="00CA0CB4"/>
    <w:rsid w:val="00CA1297"/>
    <w:rsid w:val="00CA3457"/>
    <w:rsid w:val="00CA3A5B"/>
    <w:rsid w:val="00CA4B73"/>
    <w:rsid w:val="00CA4C08"/>
    <w:rsid w:val="00CA596B"/>
    <w:rsid w:val="00CA5BE6"/>
    <w:rsid w:val="00CA5C7B"/>
    <w:rsid w:val="00CA7B49"/>
    <w:rsid w:val="00CB035F"/>
    <w:rsid w:val="00CB0825"/>
    <w:rsid w:val="00CB1A45"/>
    <w:rsid w:val="00CB24BE"/>
    <w:rsid w:val="00CB28B2"/>
    <w:rsid w:val="00CB2C89"/>
    <w:rsid w:val="00CB2CD8"/>
    <w:rsid w:val="00CB338E"/>
    <w:rsid w:val="00CB3FFC"/>
    <w:rsid w:val="00CB51FC"/>
    <w:rsid w:val="00CB6D55"/>
    <w:rsid w:val="00CB6F52"/>
    <w:rsid w:val="00CB72B2"/>
    <w:rsid w:val="00CC298C"/>
    <w:rsid w:val="00CC5811"/>
    <w:rsid w:val="00CC5B20"/>
    <w:rsid w:val="00CC6137"/>
    <w:rsid w:val="00CC65A8"/>
    <w:rsid w:val="00CC7C6A"/>
    <w:rsid w:val="00CD0F17"/>
    <w:rsid w:val="00CD13DD"/>
    <w:rsid w:val="00CD20F7"/>
    <w:rsid w:val="00CD2135"/>
    <w:rsid w:val="00CD29A3"/>
    <w:rsid w:val="00CD2A8D"/>
    <w:rsid w:val="00CD2E7B"/>
    <w:rsid w:val="00CD5066"/>
    <w:rsid w:val="00CD6EC2"/>
    <w:rsid w:val="00CD7C8D"/>
    <w:rsid w:val="00CE032C"/>
    <w:rsid w:val="00CE16F0"/>
    <w:rsid w:val="00CE1A26"/>
    <w:rsid w:val="00CE33F9"/>
    <w:rsid w:val="00CE3ED9"/>
    <w:rsid w:val="00CE5D64"/>
    <w:rsid w:val="00CE6A36"/>
    <w:rsid w:val="00CE72CC"/>
    <w:rsid w:val="00CE7535"/>
    <w:rsid w:val="00CF531D"/>
    <w:rsid w:val="00CF5AFD"/>
    <w:rsid w:val="00D010F6"/>
    <w:rsid w:val="00D01342"/>
    <w:rsid w:val="00D01811"/>
    <w:rsid w:val="00D0189A"/>
    <w:rsid w:val="00D0247C"/>
    <w:rsid w:val="00D03189"/>
    <w:rsid w:val="00D0371A"/>
    <w:rsid w:val="00D043CC"/>
    <w:rsid w:val="00D055D7"/>
    <w:rsid w:val="00D056BF"/>
    <w:rsid w:val="00D06FE8"/>
    <w:rsid w:val="00D07054"/>
    <w:rsid w:val="00D10693"/>
    <w:rsid w:val="00D130AF"/>
    <w:rsid w:val="00D142A0"/>
    <w:rsid w:val="00D14F39"/>
    <w:rsid w:val="00D15BD4"/>
    <w:rsid w:val="00D206B7"/>
    <w:rsid w:val="00D22F6A"/>
    <w:rsid w:val="00D2312F"/>
    <w:rsid w:val="00D24B8A"/>
    <w:rsid w:val="00D26E53"/>
    <w:rsid w:val="00D315F9"/>
    <w:rsid w:val="00D3163E"/>
    <w:rsid w:val="00D31A50"/>
    <w:rsid w:val="00D31A51"/>
    <w:rsid w:val="00D324A5"/>
    <w:rsid w:val="00D32E0D"/>
    <w:rsid w:val="00D33954"/>
    <w:rsid w:val="00D33BA4"/>
    <w:rsid w:val="00D34354"/>
    <w:rsid w:val="00D35B0E"/>
    <w:rsid w:val="00D35E47"/>
    <w:rsid w:val="00D36779"/>
    <w:rsid w:val="00D37931"/>
    <w:rsid w:val="00D4020B"/>
    <w:rsid w:val="00D4077C"/>
    <w:rsid w:val="00D411E1"/>
    <w:rsid w:val="00D41D5B"/>
    <w:rsid w:val="00D42086"/>
    <w:rsid w:val="00D423E1"/>
    <w:rsid w:val="00D4370C"/>
    <w:rsid w:val="00D45549"/>
    <w:rsid w:val="00D459C0"/>
    <w:rsid w:val="00D45CC6"/>
    <w:rsid w:val="00D47FC1"/>
    <w:rsid w:val="00D522F6"/>
    <w:rsid w:val="00D52471"/>
    <w:rsid w:val="00D54FFE"/>
    <w:rsid w:val="00D57C1A"/>
    <w:rsid w:val="00D57E07"/>
    <w:rsid w:val="00D6160A"/>
    <w:rsid w:val="00D61CA8"/>
    <w:rsid w:val="00D61E71"/>
    <w:rsid w:val="00D6266F"/>
    <w:rsid w:val="00D62C1A"/>
    <w:rsid w:val="00D62EE2"/>
    <w:rsid w:val="00D64A50"/>
    <w:rsid w:val="00D64C6D"/>
    <w:rsid w:val="00D666FA"/>
    <w:rsid w:val="00D66CBE"/>
    <w:rsid w:val="00D7143B"/>
    <w:rsid w:val="00D74183"/>
    <w:rsid w:val="00D74EC2"/>
    <w:rsid w:val="00D7531D"/>
    <w:rsid w:val="00D7568C"/>
    <w:rsid w:val="00D75BD4"/>
    <w:rsid w:val="00D82734"/>
    <w:rsid w:val="00D82C4E"/>
    <w:rsid w:val="00D83019"/>
    <w:rsid w:val="00D8561A"/>
    <w:rsid w:val="00D86848"/>
    <w:rsid w:val="00D877AD"/>
    <w:rsid w:val="00D900AD"/>
    <w:rsid w:val="00D9020F"/>
    <w:rsid w:val="00D90A50"/>
    <w:rsid w:val="00D919B0"/>
    <w:rsid w:val="00D94977"/>
    <w:rsid w:val="00D9514B"/>
    <w:rsid w:val="00D953C3"/>
    <w:rsid w:val="00D95447"/>
    <w:rsid w:val="00D9643B"/>
    <w:rsid w:val="00D964DF"/>
    <w:rsid w:val="00D96818"/>
    <w:rsid w:val="00D97E2E"/>
    <w:rsid w:val="00DA0A44"/>
    <w:rsid w:val="00DA26D0"/>
    <w:rsid w:val="00DA29A4"/>
    <w:rsid w:val="00DA476F"/>
    <w:rsid w:val="00DA4DB7"/>
    <w:rsid w:val="00DA4DFD"/>
    <w:rsid w:val="00DA624C"/>
    <w:rsid w:val="00DA78EB"/>
    <w:rsid w:val="00DA7FCE"/>
    <w:rsid w:val="00DB0770"/>
    <w:rsid w:val="00DB07CF"/>
    <w:rsid w:val="00DB17FF"/>
    <w:rsid w:val="00DB1A2C"/>
    <w:rsid w:val="00DB1F7F"/>
    <w:rsid w:val="00DB2FBA"/>
    <w:rsid w:val="00DB6856"/>
    <w:rsid w:val="00DB7A1C"/>
    <w:rsid w:val="00DC1928"/>
    <w:rsid w:val="00DC2396"/>
    <w:rsid w:val="00DC2776"/>
    <w:rsid w:val="00DC2B44"/>
    <w:rsid w:val="00DC4E63"/>
    <w:rsid w:val="00DC5523"/>
    <w:rsid w:val="00DC60E2"/>
    <w:rsid w:val="00DC75DD"/>
    <w:rsid w:val="00DC76EC"/>
    <w:rsid w:val="00DC7D75"/>
    <w:rsid w:val="00DD00AA"/>
    <w:rsid w:val="00DD09C9"/>
    <w:rsid w:val="00DD0EA4"/>
    <w:rsid w:val="00DD0F62"/>
    <w:rsid w:val="00DD23E4"/>
    <w:rsid w:val="00DD26B6"/>
    <w:rsid w:val="00DD326E"/>
    <w:rsid w:val="00DD4AA6"/>
    <w:rsid w:val="00DD54D6"/>
    <w:rsid w:val="00DD5731"/>
    <w:rsid w:val="00DD6051"/>
    <w:rsid w:val="00DD61B0"/>
    <w:rsid w:val="00DD6668"/>
    <w:rsid w:val="00DD6C7A"/>
    <w:rsid w:val="00DE0E93"/>
    <w:rsid w:val="00DE2AF1"/>
    <w:rsid w:val="00DE2B8C"/>
    <w:rsid w:val="00DE2E53"/>
    <w:rsid w:val="00DE3107"/>
    <w:rsid w:val="00DE351C"/>
    <w:rsid w:val="00DE3732"/>
    <w:rsid w:val="00DE39C6"/>
    <w:rsid w:val="00DE3E22"/>
    <w:rsid w:val="00DE3F60"/>
    <w:rsid w:val="00DE554E"/>
    <w:rsid w:val="00DE7C53"/>
    <w:rsid w:val="00DF069B"/>
    <w:rsid w:val="00DF0A02"/>
    <w:rsid w:val="00DF1819"/>
    <w:rsid w:val="00DF1FE7"/>
    <w:rsid w:val="00DF358E"/>
    <w:rsid w:val="00DF40DE"/>
    <w:rsid w:val="00DF40EF"/>
    <w:rsid w:val="00DF5607"/>
    <w:rsid w:val="00DF5C94"/>
    <w:rsid w:val="00DF642C"/>
    <w:rsid w:val="00DF6505"/>
    <w:rsid w:val="00DF7BBD"/>
    <w:rsid w:val="00DF7C38"/>
    <w:rsid w:val="00E0021F"/>
    <w:rsid w:val="00E01A59"/>
    <w:rsid w:val="00E01D64"/>
    <w:rsid w:val="00E02C75"/>
    <w:rsid w:val="00E03DCD"/>
    <w:rsid w:val="00E0403C"/>
    <w:rsid w:val="00E048E6"/>
    <w:rsid w:val="00E04C69"/>
    <w:rsid w:val="00E05184"/>
    <w:rsid w:val="00E0642D"/>
    <w:rsid w:val="00E07104"/>
    <w:rsid w:val="00E10128"/>
    <w:rsid w:val="00E10977"/>
    <w:rsid w:val="00E10C20"/>
    <w:rsid w:val="00E12436"/>
    <w:rsid w:val="00E1342E"/>
    <w:rsid w:val="00E13BF4"/>
    <w:rsid w:val="00E14BA8"/>
    <w:rsid w:val="00E16E61"/>
    <w:rsid w:val="00E17DF4"/>
    <w:rsid w:val="00E17E9B"/>
    <w:rsid w:val="00E2180A"/>
    <w:rsid w:val="00E21EA7"/>
    <w:rsid w:val="00E21EB5"/>
    <w:rsid w:val="00E2273B"/>
    <w:rsid w:val="00E24024"/>
    <w:rsid w:val="00E24851"/>
    <w:rsid w:val="00E2518E"/>
    <w:rsid w:val="00E310E6"/>
    <w:rsid w:val="00E32246"/>
    <w:rsid w:val="00E32497"/>
    <w:rsid w:val="00E3253C"/>
    <w:rsid w:val="00E349C9"/>
    <w:rsid w:val="00E34ABA"/>
    <w:rsid w:val="00E35784"/>
    <w:rsid w:val="00E35D03"/>
    <w:rsid w:val="00E35DA3"/>
    <w:rsid w:val="00E419F3"/>
    <w:rsid w:val="00E42D34"/>
    <w:rsid w:val="00E440FB"/>
    <w:rsid w:val="00E44F81"/>
    <w:rsid w:val="00E456E7"/>
    <w:rsid w:val="00E46914"/>
    <w:rsid w:val="00E47138"/>
    <w:rsid w:val="00E477C0"/>
    <w:rsid w:val="00E50172"/>
    <w:rsid w:val="00E501C3"/>
    <w:rsid w:val="00E509FD"/>
    <w:rsid w:val="00E50E01"/>
    <w:rsid w:val="00E51F47"/>
    <w:rsid w:val="00E53395"/>
    <w:rsid w:val="00E54102"/>
    <w:rsid w:val="00E54749"/>
    <w:rsid w:val="00E55164"/>
    <w:rsid w:val="00E5527A"/>
    <w:rsid w:val="00E560A8"/>
    <w:rsid w:val="00E560F2"/>
    <w:rsid w:val="00E573C2"/>
    <w:rsid w:val="00E574B8"/>
    <w:rsid w:val="00E60506"/>
    <w:rsid w:val="00E62F6E"/>
    <w:rsid w:val="00E63558"/>
    <w:rsid w:val="00E63727"/>
    <w:rsid w:val="00E64EFF"/>
    <w:rsid w:val="00E6663A"/>
    <w:rsid w:val="00E71317"/>
    <w:rsid w:val="00E714CD"/>
    <w:rsid w:val="00E71DAB"/>
    <w:rsid w:val="00E73720"/>
    <w:rsid w:val="00E75F6B"/>
    <w:rsid w:val="00E766F3"/>
    <w:rsid w:val="00E778F5"/>
    <w:rsid w:val="00E77FDB"/>
    <w:rsid w:val="00E80DDC"/>
    <w:rsid w:val="00E8133B"/>
    <w:rsid w:val="00E81756"/>
    <w:rsid w:val="00E82BF0"/>
    <w:rsid w:val="00E84E69"/>
    <w:rsid w:val="00E84F51"/>
    <w:rsid w:val="00E87BB0"/>
    <w:rsid w:val="00E908D3"/>
    <w:rsid w:val="00E92F0D"/>
    <w:rsid w:val="00E93312"/>
    <w:rsid w:val="00E9355B"/>
    <w:rsid w:val="00E9406C"/>
    <w:rsid w:val="00E9548F"/>
    <w:rsid w:val="00E97733"/>
    <w:rsid w:val="00E977A2"/>
    <w:rsid w:val="00E97BA5"/>
    <w:rsid w:val="00E97FAB"/>
    <w:rsid w:val="00EA19DC"/>
    <w:rsid w:val="00EA3D88"/>
    <w:rsid w:val="00EA5F7B"/>
    <w:rsid w:val="00EA75BB"/>
    <w:rsid w:val="00EA7DD4"/>
    <w:rsid w:val="00EB0219"/>
    <w:rsid w:val="00EB0364"/>
    <w:rsid w:val="00EB07CE"/>
    <w:rsid w:val="00EB0D8D"/>
    <w:rsid w:val="00EB1047"/>
    <w:rsid w:val="00EB1404"/>
    <w:rsid w:val="00EB2578"/>
    <w:rsid w:val="00EB34A7"/>
    <w:rsid w:val="00EB42DB"/>
    <w:rsid w:val="00EB4E46"/>
    <w:rsid w:val="00EB5883"/>
    <w:rsid w:val="00EB662A"/>
    <w:rsid w:val="00EB6668"/>
    <w:rsid w:val="00EB74D6"/>
    <w:rsid w:val="00EC1B69"/>
    <w:rsid w:val="00EC1C6E"/>
    <w:rsid w:val="00EC1EDA"/>
    <w:rsid w:val="00EC2578"/>
    <w:rsid w:val="00EC2863"/>
    <w:rsid w:val="00EC2FF3"/>
    <w:rsid w:val="00EC38D3"/>
    <w:rsid w:val="00EC452D"/>
    <w:rsid w:val="00EC4CB9"/>
    <w:rsid w:val="00EC6037"/>
    <w:rsid w:val="00EC604F"/>
    <w:rsid w:val="00EC62E1"/>
    <w:rsid w:val="00EC6466"/>
    <w:rsid w:val="00EC6972"/>
    <w:rsid w:val="00EC732A"/>
    <w:rsid w:val="00EC79F9"/>
    <w:rsid w:val="00EC7A4F"/>
    <w:rsid w:val="00EC7E31"/>
    <w:rsid w:val="00EC7E73"/>
    <w:rsid w:val="00ED32A7"/>
    <w:rsid w:val="00ED38F8"/>
    <w:rsid w:val="00ED5654"/>
    <w:rsid w:val="00ED57D2"/>
    <w:rsid w:val="00ED612E"/>
    <w:rsid w:val="00ED699D"/>
    <w:rsid w:val="00ED7A95"/>
    <w:rsid w:val="00ED7B31"/>
    <w:rsid w:val="00EE0F75"/>
    <w:rsid w:val="00EE10F2"/>
    <w:rsid w:val="00EE164A"/>
    <w:rsid w:val="00EE2054"/>
    <w:rsid w:val="00EE2977"/>
    <w:rsid w:val="00EE3684"/>
    <w:rsid w:val="00EE4273"/>
    <w:rsid w:val="00EE4EB2"/>
    <w:rsid w:val="00EE579A"/>
    <w:rsid w:val="00EE6D58"/>
    <w:rsid w:val="00EE6DBD"/>
    <w:rsid w:val="00EE702F"/>
    <w:rsid w:val="00EE7676"/>
    <w:rsid w:val="00EE7999"/>
    <w:rsid w:val="00EF0C6B"/>
    <w:rsid w:val="00EF16E1"/>
    <w:rsid w:val="00EF1F5E"/>
    <w:rsid w:val="00EF2408"/>
    <w:rsid w:val="00EF345D"/>
    <w:rsid w:val="00EF44C5"/>
    <w:rsid w:val="00EF52A0"/>
    <w:rsid w:val="00EF5718"/>
    <w:rsid w:val="00EF580A"/>
    <w:rsid w:val="00EF5CCA"/>
    <w:rsid w:val="00EF742B"/>
    <w:rsid w:val="00EF7840"/>
    <w:rsid w:val="00F000D2"/>
    <w:rsid w:val="00F0058F"/>
    <w:rsid w:val="00F00AAB"/>
    <w:rsid w:val="00F012A5"/>
    <w:rsid w:val="00F02035"/>
    <w:rsid w:val="00F024D6"/>
    <w:rsid w:val="00F035A1"/>
    <w:rsid w:val="00F040C3"/>
    <w:rsid w:val="00F068FA"/>
    <w:rsid w:val="00F07E6C"/>
    <w:rsid w:val="00F10D32"/>
    <w:rsid w:val="00F11C46"/>
    <w:rsid w:val="00F11E02"/>
    <w:rsid w:val="00F122DE"/>
    <w:rsid w:val="00F13434"/>
    <w:rsid w:val="00F15C06"/>
    <w:rsid w:val="00F15CC3"/>
    <w:rsid w:val="00F16142"/>
    <w:rsid w:val="00F169CF"/>
    <w:rsid w:val="00F17961"/>
    <w:rsid w:val="00F17B44"/>
    <w:rsid w:val="00F21EBE"/>
    <w:rsid w:val="00F22D9C"/>
    <w:rsid w:val="00F236B7"/>
    <w:rsid w:val="00F23717"/>
    <w:rsid w:val="00F27DD8"/>
    <w:rsid w:val="00F306E0"/>
    <w:rsid w:val="00F31175"/>
    <w:rsid w:val="00F3135B"/>
    <w:rsid w:val="00F314CB"/>
    <w:rsid w:val="00F315A8"/>
    <w:rsid w:val="00F32303"/>
    <w:rsid w:val="00F327B3"/>
    <w:rsid w:val="00F337D0"/>
    <w:rsid w:val="00F35186"/>
    <w:rsid w:val="00F36F09"/>
    <w:rsid w:val="00F408E1"/>
    <w:rsid w:val="00F40FBE"/>
    <w:rsid w:val="00F41E64"/>
    <w:rsid w:val="00F42506"/>
    <w:rsid w:val="00F425BA"/>
    <w:rsid w:val="00F42DD8"/>
    <w:rsid w:val="00F4601F"/>
    <w:rsid w:val="00F4747E"/>
    <w:rsid w:val="00F474CD"/>
    <w:rsid w:val="00F4755D"/>
    <w:rsid w:val="00F47768"/>
    <w:rsid w:val="00F47CB2"/>
    <w:rsid w:val="00F51948"/>
    <w:rsid w:val="00F531D9"/>
    <w:rsid w:val="00F5428C"/>
    <w:rsid w:val="00F5502F"/>
    <w:rsid w:val="00F5579F"/>
    <w:rsid w:val="00F563CF"/>
    <w:rsid w:val="00F564FE"/>
    <w:rsid w:val="00F57C51"/>
    <w:rsid w:val="00F6017E"/>
    <w:rsid w:val="00F62BF6"/>
    <w:rsid w:val="00F62E6A"/>
    <w:rsid w:val="00F63843"/>
    <w:rsid w:val="00F63A2D"/>
    <w:rsid w:val="00F642B3"/>
    <w:rsid w:val="00F642B5"/>
    <w:rsid w:val="00F651AA"/>
    <w:rsid w:val="00F6553B"/>
    <w:rsid w:val="00F6615E"/>
    <w:rsid w:val="00F66CC6"/>
    <w:rsid w:val="00F67421"/>
    <w:rsid w:val="00F67A15"/>
    <w:rsid w:val="00F67AB6"/>
    <w:rsid w:val="00F67D50"/>
    <w:rsid w:val="00F70394"/>
    <w:rsid w:val="00F70AA2"/>
    <w:rsid w:val="00F70C96"/>
    <w:rsid w:val="00F70F24"/>
    <w:rsid w:val="00F7124B"/>
    <w:rsid w:val="00F712EC"/>
    <w:rsid w:val="00F712FD"/>
    <w:rsid w:val="00F7158D"/>
    <w:rsid w:val="00F71AFA"/>
    <w:rsid w:val="00F733BB"/>
    <w:rsid w:val="00F73BEF"/>
    <w:rsid w:val="00F73C06"/>
    <w:rsid w:val="00F754E7"/>
    <w:rsid w:val="00F7635C"/>
    <w:rsid w:val="00F76902"/>
    <w:rsid w:val="00F77639"/>
    <w:rsid w:val="00F80DA3"/>
    <w:rsid w:val="00F80EBB"/>
    <w:rsid w:val="00F810F6"/>
    <w:rsid w:val="00F82893"/>
    <w:rsid w:val="00F82D54"/>
    <w:rsid w:val="00F84601"/>
    <w:rsid w:val="00F846EF"/>
    <w:rsid w:val="00F85B82"/>
    <w:rsid w:val="00F905F1"/>
    <w:rsid w:val="00F91338"/>
    <w:rsid w:val="00F916BE"/>
    <w:rsid w:val="00F917CD"/>
    <w:rsid w:val="00F919BA"/>
    <w:rsid w:val="00F91AE2"/>
    <w:rsid w:val="00F922DD"/>
    <w:rsid w:val="00F92910"/>
    <w:rsid w:val="00F92D0E"/>
    <w:rsid w:val="00F94AEA"/>
    <w:rsid w:val="00F95048"/>
    <w:rsid w:val="00F95936"/>
    <w:rsid w:val="00F96822"/>
    <w:rsid w:val="00FA1A36"/>
    <w:rsid w:val="00FA1D2C"/>
    <w:rsid w:val="00FA2869"/>
    <w:rsid w:val="00FA2BD1"/>
    <w:rsid w:val="00FA319D"/>
    <w:rsid w:val="00FA333D"/>
    <w:rsid w:val="00FA39A4"/>
    <w:rsid w:val="00FA55D4"/>
    <w:rsid w:val="00FA64D8"/>
    <w:rsid w:val="00FB025B"/>
    <w:rsid w:val="00FB0B52"/>
    <w:rsid w:val="00FB0E9B"/>
    <w:rsid w:val="00FB1700"/>
    <w:rsid w:val="00FB176C"/>
    <w:rsid w:val="00FB41AB"/>
    <w:rsid w:val="00FB4EFF"/>
    <w:rsid w:val="00FB5625"/>
    <w:rsid w:val="00FB5922"/>
    <w:rsid w:val="00FB6032"/>
    <w:rsid w:val="00FB63E5"/>
    <w:rsid w:val="00FB680F"/>
    <w:rsid w:val="00FB6DD3"/>
    <w:rsid w:val="00FC0266"/>
    <w:rsid w:val="00FC0823"/>
    <w:rsid w:val="00FC0AB4"/>
    <w:rsid w:val="00FC0B4E"/>
    <w:rsid w:val="00FC0EDD"/>
    <w:rsid w:val="00FC28A2"/>
    <w:rsid w:val="00FC33C6"/>
    <w:rsid w:val="00FC373B"/>
    <w:rsid w:val="00FC3852"/>
    <w:rsid w:val="00FC5AD6"/>
    <w:rsid w:val="00FC7CF3"/>
    <w:rsid w:val="00FD0884"/>
    <w:rsid w:val="00FD102E"/>
    <w:rsid w:val="00FD1B65"/>
    <w:rsid w:val="00FD2A19"/>
    <w:rsid w:val="00FD4D03"/>
    <w:rsid w:val="00FD5032"/>
    <w:rsid w:val="00FD7309"/>
    <w:rsid w:val="00FD7C9E"/>
    <w:rsid w:val="00FE0C3B"/>
    <w:rsid w:val="00FE14DB"/>
    <w:rsid w:val="00FE2487"/>
    <w:rsid w:val="00FE26B4"/>
    <w:rsid w:val="00FE3650"/>
    <w:rsid w:val="00FE41AF"/>
    <w:rsid w:val="00FE6246"/>
    <w:rsid w:val="00FE6ACB"/>
    <w:rsid w:val="00FE7284"/>
    <w:rsid w:val="00FE7675"/>
    <w:rsid w:val="00FF08E2"/>
    <w:rsid w:val="00FF0ADF"/>
    <w:rsid w:val="00FF1B83"/>
    <w:rsid w:val="00FF28F3"/>
    <w:rsid w:val="00FF3459"/>
    <w:rsid w:val="00FF3A4F"/>
    <w:rsid w:val="00FF4217"/>
    <w:rsid w:val="00FF4870"/>
    <w:rsid w:val="00FF4DB8"/>
    <w:rsid w:val="00FF4E53"/>
    <w:rsid w:val="00FF50CC"/>
    <w:rsid w:val="00FF57BF"/>
    <w:rsid w:val="00FF6223"/>
    <w:rsid w:val="00FF62B3"/>
    <w:rsid w:val="00FF6FF1"/>
    <w:rsid w:val="00FF72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550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BD9"/>
  </w:style>
  <w:style w:type="paragraph" w:styleId="Heading1">
    <w:name w:val="heading 1"/>
    <w:basedOn w:val="Normal"/>
    <w:next w:val="Normal"/>
    <w:link w:val="Heading1Char"/>
    <w:uiPriority w:val="9"/>
    <w:qFormat/>
    <w:rsid w:val="00ED7B31"/>
    <w:pPr>
      <w:keepNext/>
      <w:keepLines/>
      <w:spacing w:before="480" w:after="0"/>
      <w:outlineLvl w:val="0"/>
    </w:pPr>
    <w:rPr>
      <w:rFonts w:ascii="Times New Roman Bold" w:eastAsiaTheme="majorEastAsia" w:hAnsi="Times New Roman Bold" w:cstheme="majorBidi"/>
      <w:b/>
      <w:bCs/>
      <w:i/>
      <w:smallCaps/>
      <w:sz w:val="28"/>
      <w:szCs w:val="28"/>
    </w:rPr>
  </w:style>
  <w:style w:type="paragraph" w:styleId="Heading2">
    <w:name w:val="heading 2"/>
    <w:basedOn w:val="Normal"/>
    <w:next w:val="Normal"/>
    <w:link w:val="Heading2Char"/>
    <w:uiPriority w:val="9"/>
    <w:unhideWhenUsed/>
    <w:qFormat/>
    <w:rsid w:val="00387028"/>
    <w:pPr>
      <w:keepNext/>
      <w:keepLines/>
      <w:spacing w:before="200" w:after="0"/>
      <w:outlineLvl w:val="1"/>
    </w:pPr>
    <w:rPr>
      <w:rFonts w:ascii="Times New Roman" w:eastAsiaTheme="majorEastAsia" w:hAnsi="Times New Roman" w:cstheme="majorBidi"/>
      <w:bCs/>
      <w:i/>
      <w:sz w:val="28"/>
      <w:szCs w:val="26"/>
    </w:rPr>
  </w:style>
  <w:style w:type="paragraph" w:styleId="Heading3">
    <w:name w:val="heading 3"/>
    <w:basedOn w:val="Normal"/>
    <w:next w:val="Normal"/>
    <w:link w:val="Heading3Char"/>
    <w:uiPriority w:val="9"/>
    <w:unhideWhenUsed/>
    <w:qFormat/>
    <w:rsid w:val="00985F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References,Numbered List Paragraph,List Paragraph nowy,Liste 1"/>
    <w:basedOn w:val="Normal"/>
    <w:link w:val="ListParagraphChar"/>
    <w:uiPriority w:val="34"/>
    <w:qFormat/>
    <w:rsid w:val="007D344A"/>
    <w:pPr>
      <w:ind w:left="720"/>
      <w:contextualSpacing/>
    </w:pPr>
  </w:style>
  <w:style w:type="paragraph" w:styleId="Header">
    <w:name w:val="header"/>
    <w:basedOn w:val="Normal"/>
    <w:link w:val="HeaderChar"/>
    <w:uiPriority w:val="99"/>
    <w:unhideWhenUsed/>
    <w:rsid w:val="000F4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6D4"/>
  </w:style>
  <w:style w:type="paragraph" w:styleId="Footer">
    <w:name w:val="footer"/>
    <w:basedOn w:val="Normal"/>
    <w:link w:val="FooterChar"/>
    <w:uiPriority w:val="99"/>
    <w:unhideWhenUsed/>
    <w:rsid w:val="000F4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6D4"/>
  </w:style>
  <w:style w:type="paragraph" w:styleId="BalloonText">
    <w:name w:val="Balloon Text"/>
    <w:basedOn w:val="Normal"/>
    <w:link w:val="BalloonTextChar"/>
    <w:uiPriority w:val="99"/>
    <w:semiHidden/>
    <w:unhideWhenUsed/>
    <w:rsid w:val="000F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6D4"/>
    <w:rPr>
      <w:rFonts w:ascii="Tahoma" w:hAnsi="Tahoma" w:cs="Tahoma"/>
      <w:sz w:val="16"/>
      <w:szCs w:val="16"/>
    </w:rPr>
  </w:style>
  <w:style w:type="paragraph" w:styleId="FootnoteText">
    <w:name w:val="footnote text"/>
    <w:aliases w:val="Footnote Text Char Char Char Char Char Char Char Char Char Char Char Char Char Char Char Char Char Char Char Char Char,FOOTNOTES,fn,single space,footnote text,f,Char,Footnote Text Char2 Char,Footnote Text Char1 Char Char,ALTS FOOTNOTE, Ch"/>
    <w:basedOn w:val="Normal"/>
    <w:link w:val="FootnoteTextChar"/>
    <w:uiPriority w:val="99"/>
    <w:unhideWhenUsed/>
    <w:rsid w:val="00731ECB"/>
    <w:pPr>
      <w:spacing w:after="0" w:line="240" w:lineRule="auto"/>
    </w:pPr>
    <w:rPr>
      <w:sz w:val="20"/>
      <w:szCs w:val="20"/>
    </w:rPr>
  </w:style>
  <w:style w:type="character" w:customStyle="1" w:styleId="FootnoteTextChar">
    <w:name w:val="Footnote Text Char"/>
    <w:aliases w:val="Footnote Text Char Char Char Char Char Char Char Char Char Char Char Char Char Char Char Char Char Char Char Char Char Char,FOOTNOTES Char,fn Char,single space Char,footnote text Char,f Char,Char Char,Footnote Text Char2 Char Char"/>
    <w:basedOn w:val="DefaultParagraphFont"/>
    <w:link w:val="FootnoteText"/>
    <w:uiPriority w:val="99"/>
    <w:rsid w:val="00731ECB"/>
    <w:rPr>
      <w:sz w:val="20"/>
      <w:szCs w:val="20"/>
    </w:rPr>
  </w:style>
  <w:style w:type="character" w:styleId="FootnoteReference">
    <w:name w:val="footnote reference"/>
    <w:aliases w:val="Footnote Reference1,Error-Fußnotenzeichen5,Error-Fußnotenzeichen6,Error-Fußnotenzeichen3,ftref,Footnote Reference Number,referencia nota al pie,Footnote Reference_LVL6,Footnote Reference_LVL61,Footnote Reference_LVL62,16 Point,Ref"/>
    <w:basedOn w:val="DefaultParagraphFont"/>
    <w:uiPriority w:val="99"/>
    <w:unhideWhenUsed/>
    <w:rsid w:val="00731ECB"/>
    <w:rPr>
      <w:vertAlign w:val="superscript"/>
    </w:rPr>
  </w:style>
  <w:style w:type="character" w:styleId="CommentReference">
    <w:name w:val="annotation reference"/>
    <w:basedOn w:val="DefaultParagraphFont"/>
    <w:uiPriority w:val="99"/>
    <w:semiHidden/>
    <w:unhideWhenUsed/>
    <w:rsid w:val="00BB4CFE"/>
    <w:rPr>
      <w:sz w:val="16"/>
      <w:szCs w:val="16"/>
    </w:rPr>
  </w:style>
  <w:style w:type="paragraph" w:styleId="CommentText">
    <w:name w:val="annotation text"/>
    <w:basedOn w:val="Normal"/>
    <w:link w:val="CommentTextChar"/>
    <w:uiPriority w:val="99"/>
    <w:unhideWhenUsed/>
    <w:rsid w:val="00BB4CFE"/>
    <w:pPr>
      <w:spacing w:line="240" w:lineRule="auto"/>
    </w:pPr>
    <w:rPr>
      <w:sz w:val="20"/>
      <w:szCs w:val="20"/>
    </w:rPr>
  </w:style>
  <w:style w:type="character" w:customStyle="1" w:styleId="CommentTextChar">
    <w:name w:val="Comment Text Char"/>
    <w:basedOn w:val="DefaultParagraphFont"/>
    <w:link w:val="CommentText"/>
    <w:uiPriority w:val="99"/>
    <w:rsid w:val="00BB4CFE"/>
    <w:rPr>
      <w:sz w:val="20"/>
      <w:szCs w:val="20"/>
    </w:rPr>
  </w:style>
  <w:style w:type="paragraph" w:styleId="CommentSubject">
    <w:name w:val="annotation subject"/>
    <w:basedOn w:val="CommentText"/>
    <w:next w:val="CommentText"/>
    <w:link w:val="CommentSubjectChar"/>
    <w:uiPriority w:val="99"/>
    <w:semiHidden/>
    <w:unhideWhenUsed/>
    <w:rsid w:val="00BB4CFE"/>
    <w:rPr>
      <w:b/>
      <w:bCs/>
    </w:rPr>
  </w:style>
  <w:style w:type="character" w:customStyle="1" w:styleId="CommentSubjectChar">
    <w:name w:val="Comment Subject Char"/>
    <w:basedOn w:val="CommentTextChar"/>
    <w:link w:val="CommentSubject"/>
    <w:uiPriority w:val="99"/>
    <w:semiHidden/>
    <w:rsid w:val="00BB4CFE"/>
    <w:rPr>
      <w:b/>
      <w:bCs/>
      <w:sz w:val="20"/>
      <w:szCs w:val="20"/>
    </w:rPr>
  </w:style>
  <w:style w:type="paragraph" w:styleId="EndnoteText">
    <w:name w:val="endnote text"/>
    <w:basedOn w:val="Normal"/>
    <w:link w:val="EndnoteTextChar"/>
    <w:uiPriority w:val="99"/>
    <w:unhideWhenUsed/>
    <w:rsid w:val="00FD2A19"/>
    <w:pPr>
      <w:spacing w:after="0" w:line="240" w:lineRule="auto"/>
    </w:pPr>
    <w:rPr>
      <w:sz w:val="20"/>
      <w:szCs w:val="20"/>
    </w:rPr>
  </w:style>
  <w:style w:type="character" w:customStyle="1" w:styleId="EndnoteTextChar">
    <w:name w:val="Endnote Text Char"/>
    <w:basedOn w:val="DefaultParagraphFont"/>
    <w:link w:val="EndnoteText"/>
    <w:uiPriority w:val="99"/>
    <w:rsid w:val="00FD2A19"/>
    <w:rPr>
      <w:sz w:val="20"/>
      <w:szCs w:val="20"/>
    </w:rPr>
  </w:style>
  <w:style w:type="character" w:styleId="EndnoteReference">
    <w:name w:val="endnote reference"/>
    <w:basedOn w:val="DefaultParagraphFont"/>
    <w:uiPriority w:val="99"/>
    <w:semiHidden/>
    <w:unhideWhenUsed/>
    <w:rsid w:val="00FD2A19"/>
    <w:rPr>
      <w:vertAlign w:val="superscript"/>
    </w:rPr>
  </w:style>
  <w:style w:type="table" w:styleId="TableGrid">
    <w:name w:val="Table Grid"/>
    <w:basedOn w:val="TableNormal"/>
    <w:uiPriority w:val="59"/>
    <w:rsid w:val="00344291"/>
    <w:pPr>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7B31"/>
    <w:rPr>
      <w:rFonts w:ascii="Times New Roman Bold" w:eastAsiaTheme="majorEastAsia" w:hAnsi="Times New Roman Bold" w:cstheme="majorBidi"/>
      <w:b/>
      <w:bCs/>
      <w:i/>
      <w:smallCaps/>
      <w:sz w:val="28"/>
      <w:szCs w:val="28"/>
    </w:rPr>
  </w:style>
  <w:style w:type="paragraph" w:styleId="TOCHeading">
    <w:name w:val="TOC Heading"/>
    <w:basedOn w:val="Heading1"/>
    <w:next w:val="Normal"/>
    <w:uiPriority w:val="39"/>
    <w:semiHidden/>
    <w:unhideWhenUsed/>
    <w:qFormat/>
    <w:rsid w:val="004F39B2"/>
    <w:pPr>
      <w:outlineLvl w:val="9"/>
    </w:pPr>
    <w:rPr>
      <w:smallCaps w:val="0"/>
      <w:lang w:eastAsia="ja-JP"/>
    </w:rPr>
  </w:style>
  <w:style w:type="paragraph" w:styleId="Subtitle">
    <w:name w:val="Subtitle"/>
    <w:basedOn w:val="Normal"/>
    <w:next w:val="Normal"/>
    <w:link w:val="SubtitleChar"/>
    <w:uiPriority w:val="11"/>
    <w:qFormat/>
    <w:rsid w:val="00F916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16BE"/>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qFormat/>
    <w:rsid w:val="0078191B"/>
    <w:pPr>
      <w:tabs>
        <w:tab w:val="right" w:leader="dot" w:pos="9350"/>
      </w:tabs>
      <w:spacing w:after="100"/>
      <w:ind w:left="432"/>
    </w:pPr>
    <w:rPr>
      <w:rFonts w:ascii="Times New Roman Bold" w:eastAsiaTheme="minorEastAsia" w:hAnsi="Times New Roman Bold"/>
      <w:i/>
      <w:iCs/>
      <w:sz w:val="20"/>
      <w:szCs w:val="20"/>
      <w:lang w:eastAsia="ja-JP"/>
    </w:rPr>
  </w:style>
  <w:style w:type="paragraph" w:styleId="TOC1">
    <w:name w:val="toc 1"/>
    <w:basedOn w:val="Normal"/>
    <w:next w:val="Normal"/>
    <w:autoRedefine/>
    <w:uiPriority w:val="39"/>
    <w:unhideWhenUsed/>
    <w:qFormat/>
    <w:rsid w:val="00FD5032"/>
    <w:pPr>
      <w:tabs>
        <w:tab w:val="left" w:pos="333"/>
        <w:tab w:val="left" w:pos="440"/>
        <w:tab w:val="right" w:leader="dot" w:pos="9350"/>
      </w:tabs>
      <w:spacing w:before="120" w:after="0"/>
      <w:ind w:left="446" w:hanging="446"/>
    </w:pPr>
    <w:rPr>
      <w:rFonts w:ascii="Times New Roman" w:hAnsi="Times New Roman" w:cs="Times New Roman"/>
      <w:b/>
      <w:noProof/>
      <w:sz w:val="24"/>
      <w:szCs w:val="24"/>
    </w:rPr>
  </w:style>
  <w:style w:type="paragraph" w:styleId="TOC3">
    <w:name w:val="toc 3"/>
    <w:basedOn w:val="Normal"/>
    <w:next w:val="Normal"/>
    <w:autoRedefine/>
    <w:uiPriority w:val="39"/>
    <w:unhideWhenUsed/>
    <w:qFormat/>
    <w:rsid w:val="00A36091"/>
    <w:pPr>
      <w:spacing w:after="100"/>
      <w:ind w:left="440"/>
    </w:pPr>
    <w:rPr>
      <w:rFonts w:eastAsiaTheme="minorEastAsia"/>
      <w:lang w:eastAsia="ja-JP"/>
    </w:rPr>
  </w:style>
  <w:style w:type="character" w:styleId="Hyperlink">
    <w:name w:val="Hyperlink"/>
    <w:basedOn w:val="DefaultParagraphFont"/>
    <w:uiPriority w:val="99"/>
    <w:unhideWhenUsed/>
    <w:rsid w:val="00BC6618"/>
    <w:rPr>
      <w:color w:val="0000FF" w:themeColor="hyperlink"/>
      <w:u w:val="single"/>
    </w:rPr>
  </w:style>
  <w:style w:type="character" w:customStyle="1" w:styleId="Heading2Char">
    <w:name w:val="Heading 2 Char"/>
    <w:basedOn w:val="DefaultParagraphFont"/>
    <w:link w:val="Heading2"/>
    <w:uiPriority w:val="9"/>
    <w:rsid w:val="00387028"/>
    <w:rPr>
      <w:rFonts w:ascii="Times New Roman" w:eastAsiaTheme="majorEastAsia" w:hAnsi="Times New Roman" w:cstheme="majorBidi"/>
      <w:bCs/>
      <w:i/>
      <w:sz w:val="28"/>
      <w:szCs w:val="26"/>
    </w:rPr>
  </w:style>
  <w:style w:type="character" w:customStyle="1" w:styleId="ListParagraphChar">
    <w:name w:val="List Paragraph Char"/>
    <w:aliases w:val="List Paragraph (numbered (a)) Char,Bullets Char,References Char,Numbered List Paragraph Char,List Paragraph nowy Char,Liste 1 Char"/>
    <w:basedOn w:val="DefaultParagraphFont"/>
    <w:link w:val="ListParagraph"/>
    <w:uiPriority w:val="34"/>
    <w:locked/>
    <w:rsid w:val="00CA3457"/>
  </w:style>
  <w:style w:type="table" w:customStyle="1" w:styleId="TableGrid1">
    <w:name w:val="Table Grid1"/>
    <w:basedOn w:val="TableNormal"/>
    <w:next w:val="TableGrid"/>
    <w:uiPriority w:val="59"/>
    <w:rsid w:val="00A37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31306"/>
    <w:pPr>
      <w:spacing w:after="0" w:line="240" w:lineRule="auto"/>
    </w:pPr>
    <w:rPr>
      <w:rFonts w:eastAsiaTheme="minorEastAsia"/>
    </w:rPr>
  </w:style>
  <w:style w:type="paragraph" w:customStyle="1" w:styleId="Default">
    <w:name w:val="Default"/>
    <w:rsid w:val="002A11D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A11D4"/>
    <w:pPr>
      <w:spacing w:after="0" w:line="240" w:lineRule="auto"/>
    </w:pPr>
  </w:style>
  <w:style w:type="table" w:customStyle="1" w:styleId="TableGrid2">
    <w:name w:val="Table Grid2"/>
    <w:basedOn w:val="TableNormal"/>
    <w:next w:val="TableGrid"/>
    <w:uiPriority w:val="59"/>
    <w:rsid w:val="00344018"/>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85F1A"/>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C844EE"/>
  </w:style>
  <w:style w:type="paragraph" w:styleId="NormalWeb">
    <w:name w:val="Normal (Web)"/>
    <w:basedOn w:val="Normal"/>
    <w:uiPriority w:val="99"/>
    <w:semiHidden/>
    <w:unhideWhenUsed/>
    <w:rsid w:val="00C844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3">
    <w:name w:val="Table Grid3"/>
    <w:basedOn w:val="TableNormal"/>
    <w:next w:val="TableGrid"/>
    <w:uiPriority w:val="59"/>
    <w:rsid w:val="00C844E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14D5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A4DB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44721"/>
    <w:pPr>
      <w:spacing w:after="0"/>
      <w:ind w:left="432" w:hanging="432"/>
    </w:pPr>
    <w:rPr>
      <w:rFonts w:ascii="Times New Roman" w:hAnsi="Times New Roman"/>
      <w:sz w:val="24"/>
    </w:rPr>
  </w:style>
  <w:style w:type="paragraph" w:styleId="DocumentMap">
    <w:name w:val="Document Map"/>
    <w:basedOn w:val="Normal"/>
    <w:link w:val="DocumentMapChar"/>
    <w:uiPriority w:val="99"/>
    <w:semiHidden/>
    <w:unhideWhenUsed/>
    <w:rsid w:val="00053D7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53D79"/>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BD9"/>
  </w:style>
  <w:style w:type="paragraph" w:styleId="Heading1">
    <w:name w:val="heading 1"/>
    <w:basedOn w:val="Normal"/>
    <w:next w:val="Normal"/>
    <w:link w:val="Heading1Char"/>
    <w:uiPriority w:val="9"/>
    <w:qFormat/>
    <w:rsid w:val="00ED7B31"/>
    <w:pPr>
      <w:keepNext/>
      <w:keepLines/>
      <w:spacing w:before="480" w:after="0"/>
      <w:outlineLvl w:val="0"/>
    </w:pPr>
    <w:rPr>
      <w:rFonts w:ascii="Times New Roman Bold" w:eastAsiaTheme="majorEastAsia" w:hAnsi="Times New Roman Bold" w:cstheme="majorBidi"/>
      <w:b/>
      <w:bCs/>
      <w:i/>
      <w:smallCaps/>
      <w:sz w:val="28"/>
      <w:szCs w:val="28"/>
    </w:rPr>
  </w:style>
  <w:style w:type="paragraph" w:styleId="Heading2">
    <w:name w:val="heading 2"/>
    <w:basedOn w:val="Normal"/>
    <w:next w:val="Normal"/>
    <w:link w:val="Heading2Char"/>
    <w:uiPriority w:val="9"/>
    <w:unhideWhenUsed/>
    <w:qFormat/>
    <w:rsid w:val="00387028"/>
    <w:pPr>
      <w:keepNext/>
      <w:keepLines/>
      <w:spacing w:before="200" w:after="0"/>
      <w:outlineLvl w:val="1"/>
    </w:pPr>
    <w:rPr>
      <w:rFonts w:ascii="Times New Roman" w:eastAsiaTheme="majorEastAsia" w:hAnsi="Times New Roman" w:cstheme="majorBidi"/>
      <w:bCs/>
      <w:i/>
      <w:sz w:val="28"/>
      <w:szCs w:val="26"/>
    </w:rPr>
  </w:style>
  <w:style w:type="paragraph" w:styleId="Heading3">
    <w:name w:val="heading 3"/>
    <w:basedOn w:val="Normal"/>
    <w:next w:val="Normal"/>
    <w:link w:val="Heading3Char"/>
    <w:uiPriority w:val="9"/>
    <w:unhideWhenUsed/>
    <w:qFormat/>
    <w:rsid w:val="00985F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References,Numbered List Paragraph,List Paragraph nowy,Liste 1"/>
    <w:basedOn w:val="Normal"/>
    <w:link w:val="ListParagraphChar"/>
    <w:uiPriority w:val="34"/>
    <w:qFormat/>
    <w:rsid w:val="007D344A"/>
    <w:pPr>
      <w:ind w:left="720"/>
      <w:contextualSpacing/>
    </w:pPr>
  </w:style>
  <w:style w:type="paragraph" w:styleId="Header">
    <w:name w:val="header"/>
    <w:basedOn w:val="Normal"/>
    <w:link w:val="HeaderChar"/>
    <w:uiPriority w:val="99"/>
    <w:unhideWhenUsed/>
    <w:rsid w:val="000F4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6D4"/>
  </w:style>
  <w:style w:type="paragraph" w:styleId="Footer">
    <w:name w:val="footer"/>
    <w:basedOn w:val="Normal"/>
    <w:link w:val="FooterChar"/>
    <w:uiPriority w:val="99"/>
    <w:unhideWhenUsed/>
    <w:rsid w:val="000F4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6D4"/>
  </w:style>
  <w:style w:type="paragraph" w:styleId="BalloonText">
    <w:name w:val="Balloon Text"/>
    <w:basedOn w:val="Normal"/>
    <w:link w:val="BalloonTextChar"/>
    <w:uiPriority w:val="99"/>
    <w:semiHidden/>
    <w:unhideWhenUsed/>
    <w:rsid w:val="000F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6D4"/>
    <w:rPr>
      <w:rFonts w:ascii="Tahoma" w:hAnsi="Tahoma" w:cs="Tahoma"/>
      <w:sz w:val="16"/>
      <w:szCs w:val="16"/>
    </w:rPr>
  </w:style>
  <w:style w:type="paragraph" w:styleId="FootnoteText">
    <w:name w:val="footnote text"/>
    <w:aliases w:val="Footnote Text Char Char Char Char Char Char Char Char Char Char Char Char Char Char Char Char Char Char Char Char Char,FOOTNOTES,fn,single space,footnote text,f,Char,Footnote Text Char2 Char,Footnote Text Char1 Char Char,ALTS FOOTNOTE, Ch"/>
    <w:basedOn w:val="Normal"/>
    <w:link w:val="FootnoteTextChar"/>
    <w:uiPriority w:val="99"/>
    <w:unhideWhenUsed/>
    <w:rsid w:val="00731ECB"/>
    <w:pPr>
      <w:spacing w:after="0" w:line="240" w:lineRule="auto"/>
    </w:pPr>
    <w:rPr>
      <w:sz w:val="20"/>
      <w:szCs w:val="20"/>
    </w:rPr>
  </w:style>
  <w:style w:type="character" w:customStyle="1" w:styleId="FootnoteTextChar">
    <w:name w:val="Footnote Text Char"/>
    <w:aliases w:val="Footnote Text Char Char Char Char Char Char Char Char Char Char Char Char Char Char Char Char Char Char Char Char Char Char,FOOTNOTES Char,fn Char,single space Char,footnote text Char,f Char,Char Char,Footnote Text Char2 Char Char"/>
    <w:basedOn w:val="DefaultParagraphFont"/>
    <w:link w:val="FootnoteText"/>
    <w:uiPriority w:val="99"/>
    <w:rsid w:val="00731ECB"/>
    <w:rPr>
      <w:sz w:val="20"/>
      <w:szCs w:val="20"/>
    </w:rPr>
  </w:style>
  <w:style w:type="character" w:styleId="FootnoteReference">
    <w:name w:val="footnote reference"/>
    <w:aliases w:val="Footnote Reference1,Error-Fußnotenzeichen5,Error-Fußnotenzeichen6,Error-Fußnotenzeichen3,ftref,Footnote Reference Number,referencia nota al pie,Footnote Reference_LVL6,Footnote Reference_LVL61,Footnote Reference_LVL62,16 Point,Ref"/>
    <w:basedOn w:val="DefaultParagraphFont"/>
    <w:uiPriority w:val="99"/>
    <w:unhideWhenUsed/>
    <w:rsid w:val="00731ECB"/>
    <w:rPr>
      <w:vertAlign w:val="superscript"/>
    </w:rPr>
  </w:style>
  <w:style w:type="character" w:styleId="CommentReference">
    <w:name w:val="annotation reference"/>
    <w:basedOn w:val="DefaultParagraphFont"/>
    <w:uiPriority w:val="99"/>
    <w:semiHidden/>
    <w:unhideWhenUsed/>
    <w:rsid w:val="00BB4CFE"/>
    <w:rPr>
      <w:sz w:val="16"/>
      <w:szCs w:val="16"/>
    </w:rPr>
  </w:style>
  <w:style w:type="paragraph" w:styleId="CommentText">
    <w:name w:val="annotation text"/>
    <w:basedOn w:val="Normal"/>
    <w:link w:val="CommentTextChar"/>
    <w:uiPriority w:val="99"/>
    <w:unhideWhenUsed/>
    <w:rsid w:val="00BB4CFE"/>
    <w:pPr>
      <w:spacing w:line="240" w:lineRule="auto"/>
    </w:pPr>
    <w:rPr>
      <w:sz w:val="20"/>
      <w:szCs w:val="20"/>
    </w:rPr>
  </w:style>
  <w:style w:type="character" w:customStyle="1" w:styleId="CommentTextChar">
    <w:name w:val="Comment Text Char"/>
    <w:basedOn w:val="DefaultParagraphFont"/>
    <w:link w:val="CommentText"/>
    <w:uiPriority w:val="99"/>
    <w:rsid w:val="00BB4CFE"/>
    <w:rPr>
      <w:sz w:val="20"/>
      <w:szCs w:val="20"/>
    </w:rPr>
  </w:style>
  <w:style w:type="paragraph" w:styleId="CommentSubject">
    <w:name w:val="annotation subject"/>
    <w:basedOn w:val="CommentText"/>
    <w:next w:val="CommentText"/>
    <w:link w:val="CommentSubjectChar"/>
    <w:uiPriority w:val="99"/>
    <w:semiHidden/>
    <w:unhideWhenUsed/>
    <w:rsid w:val="00BB4CFE"/>
    <w:rPr>
      <w:b/>
      <w:bCs/>
    </w:rPr>
  </w:style>
  <w:style w:type="character" w:customStyle="1" w:styleId="CommentSubjectChar">
    <w:name w:val="Comment Subject Char"/>
    <w:basedOn w:val="CommentTextChar"/>
    <w:link w:val="CommentSubject"/>
    <w:uiPriority w:val="99"/>
    <w:semiHidden/>
    <w:rsid w:val="00BB4CFE"/>
    <w:rPr>
      <w:b/>
      <w:bCs/>
      <w:sz w:val="20"/>
      <w:szCs w:val="20"/>
    </w:rPr>
  </w:style>
  <w:style w:type="paragraph" w:styleId="EndnoteText">
    <w:name w:val="endnote text"/>
    <w:basedOn w:val="Normal"/>
    <w:link w:val="EndnoteTextChar"/>
    <w:uiPriority w:val="99"/>
    <w:unhideWhenUsed/>
    <w:rsid w:val="00FD2A19"/>
    <w:pPr>
      <w:spacing w:after="0" w:line="240" w:lineRule="auto"/>
    </w:pPr>
    <w:rPr>
      <w:sz w:val="20"/>
      <w:szCs w:val="20"/>
    </w:rPr>
  </w:style>
  <w:style w:type="character" w:customStyle="1" w:styleId="EndnoteTextChar">
    <w:name w:val="Endnote Text Char"/>
    <w:basedOn w:val="DefaultParagraphFont"/>
    <w:link w:val="EndnoteText"/>
    <w:uiPriority w:val="99"/>
    <w:rsid w:val="00FD2A19"/>
    <w:rPr>
      <w:sz w:val="20"/>
      <w:szCs w:val="20"/>
    </w:rPr>
  </w:style>
  <w:style w:type="character" w:styleId="EndnoteReference">
    <w:name w:val="endnote reference"/>
    <w:basedOn w:val="DefaultParagraphFont"/>
    <w:uiPriority w:val="99"/>
    <w:semiHidden/>
    <w:unhideWhenUsed/>
    <w:rsid w:val="00FD2A19"/>
    <w:rPr>
      <w:vertAlign w:val="superscript"/>
    </w:rPr>
  </w:style>
  <w:style w:type="table" w:styleId="TableGrid">
    <w:name w:val="Table Grid"/>
    <w:basedOn w:val="TableNormal"/>
    <w:uiPriority w:val="59"/>
    <w:rsid w:val="00344291"/>
    <w:pPr>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7B31"/>
    <w:rPr>
      <w:rFonts w:ascii="Times New Roman Bold" w:eastAsiaTheme="majorEastAsia" w:hAnsi="Times New Roman Bold" w:cstheme="majorBidi"/>
      <w:b/>
      <w:bCs/>
      <w:i/>
      <w:smallCaps/>
      <w:sz w:val="28"/>
      <w:szCs w:val="28"/>
    </w:rPr>
  </w:style>
  <w:style w:type="paragraph" w:styleId="TOCHeading">
    <w:name w:val="TOC Heading"/>
    <w:basedOn w:val="Heading1"/>
    <w:next w:val="Normal"/>
    <w:uiPriority w:val="39"/>
    <w:semiHidden/>
    <w:unhideWhenUsed/>
    <w:qFormat/>
    <w:rsid w:val="004F39B2"/>
    <w:pPr>
      <w:outlineLvl w:val="9"/>
    </w:pPr>
    <w:rPr>
      <w:smallCaps w:val="0"/>
      <w:lang w:eastAsia="ja-JP"/>
    </w:rPr>
  </w:style>
  <w:style w:type="paragraph" w:styleId="Subtitle">
    <w:name w:val="Subtitle"/>
    <w:basedOn w:val="Normal"/>
    <w:next w:val="Normal"/>
    <w:link w:val="SubtitleChar"/>
    <w:uiPriority w:val="11"/>
    <w:qFormat/>
    <w:rsid w:val="00F916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16BE"/>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qFormat/>
    <w:rsid w:val="0078191B"/>
    <w:pPr>
      <w:tabs>
        <w:tab w:val="right" w:leader="dot" w:pos="9350"/>
      </w:tabs>
      <w:spacing w:after="100"/>
      <w:ind w:left="432"/>
    </w:pPr>
    <w:rPr>
      <w:rFonts w:ascii="Times New Roman Bold" w:eastAsiaTheme="minorEastAsia" w:hAnsi="Times New Roman Bold"/>
      <w:i/>
      <w:iCs/>
      <w:sz w:val="20"/>
      <w:szCs w:val="20"/>
      <w:lang w:eastAsia="ja-JP"/>
    </w:rPr>
  </w:style>
  <w:style w:type="paragraph" w:styleId="TOC1">
    <w:name w:val="toc 1"/>
    <w:basedOn w:val="Normal"/>
    <w:next w:val="Normal"/>
    <w:autoRedefine/>
    <w:uiPriority w:val="39"/>
    <w:unhideWhenUsed/>
    <w:qFormat/>
    <w:rsid w:val="00FD5032"/>
    <w:pPr>
      <w:tabs>
        <w:tab w:val="left" w:pos="333"/>
        <w:tab w:val="left" w:pos="440"/>
        <w:tab w:val="right" w:leader="dot" w:pos="9350"/>
      </w:tabs>
      <w:spacing w:before="120" w:after="0"/>
      <w:ind w:left="446" w:hanging="446"/>
    </w:pPr>
    <w:rPr>
      <w:rFonts w:ascii="Times New Roman" w:hAnsi="Times New Roman" w:cs="Times New Roman"/>
      <w:b/>
      <w:noProof/>
      <w:sz w:val="24"/>
      <w:szCs w:val="24"/>
    </w:rPr>
  </w:style>
  <w:style w:type="paragraph" w:styleId="TOC3">
    <w:name w:val="toc 3"/>
    <w:basedOn w:val="Normal"/>
    <w:next w:val="Normal"/>
    <w:autoRedefine/>
    <w:uiPriority w:val="39"/>
    <w:unhideWhenUsed/>
    <w:qFormat/>
    <w:rsid w:val="00A36091"/>
    <w:pPr>
      <w:spacing w:after="100"/>
      <w:ind w:left="440"/>
    </w:pPr>
    <w:rPr>
      <w:rFonts w:eastAsiaTheme="minorEastAsia"/>
      <w:lang w:eastAsia="ja-JP"/>
    </w:rPr>
  </w:style>
  <w:style w:type="character" w:styleId="Hyperlink">
    <w:name w:val="Hyperlink"/>
    <w:basedOn w:val="DefaultParagraphFont"/>
    <w:uiPriority w:val="99"/>
    <w:unhideWhenUsed/>
    <w:rsid w:val="00BC6618"/>
    <w:rPr>
      <w:color w:val="0000FF" w:themeColor="hyperlink"/>
      <w:u w:val="single"/>
    </w:rPr>
  </w:style>
  <w:style w:type="character" w:customStyle="1" w:styleId="Heading2Char">
    <w:name w:val="Heading 2 Char"/>
    <w:basedOn w:val="DefaultParagraphFont"/>
    <w:link w:val="Heading2"/>
    <w:uiPriority w:val="9"/>
    <w:rsid w:val="00387028"/>
    <w:rPr>
      <w:rFonts w:ascii="Times New Roman" w:eastAsiaTheme="majorEastAsia" w:hAnsi="Times New Roman" w:cstheme="majorBidi"/>
      <w:bCs/>
      <w:i/>
      <w:sz w:val="28"/>
      <w:szCs w:val="26"/>
    </w:rPr>
  </w:style>
  <w:style w:type="character" w:customStyle="1" w:styleId="ListParagraphChar">
    <w:name w:val="List Paragraph Char"/>
    <w:aliases w:val="List Paragraph (numbered (a)) Char,Bullets Char,References Char,Numbered List Paragraph Char,List Paragraph nowy Char,Liste 1 Char"/>
    <w:basedOn w:val="DefaultParagraphFont"/>
    <w:link w:val="ListParagraph"/>
    <w:uiPriority w:val="34"/>
    <w:locked/>
    <w:rsid w:val="00CA3457"/>
  </w:style>
  <w:style w:type="table" w:customStyle="1" w:styleId="TableGrid1">
    <w:name w:val="Table Grid1"/>
    <w:basedOn w:val="TableNormal"/>
    <w:next w:val="TableGrid"/>
    <w:uiPriority w:val="59"/>
    <w:rsid w:val="00A37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31306"/>
    <w:pPr>
      <w:spacing w:after="0" w:line="240" w:lineRule="auto"/>
    </w:pPr>
    <w:rPr>
      <w:rFonts w:eastAsiaTheme="minorEastAsia"/>
    </w:rPr>
  </w:style>
  <w:style w:type="paragraph" w:customStyle="1" w:styleId="Default">
    <w:name w:val="Default"/>
    <w:rsid w:val="002A11D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A11D4"/>
    <w:pPr>
      <w:spacing w:after="0" w:line="240" w:lineRule="auto"/>
    </w:pPr>
  </w:style>
  <w:style w:type="table" w:customStyle="1" w:styleId="TableGrid2">
    <w:name w:val="Table Grid2"/>
    <w:basedOn w:val="TableNormal"/>
    <w:next w:val="TableGrid"/>
    <w:uiPriority w:val="59"/>
    <w:rsid w:val="00344018"/>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85F1A"/>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C844EE"/>
  </w:style>
  <w:style w:type="paragraph" w:styleId="NormalWeb">
    <w:name w:val="Normal (Web)"/>
    <w:basedOn w:val="Normal"/>
    <w:uiPriority w:val="99"/>
    <w:semiHidden/>
    <w:unhideWhenUsed/>
    <w:rsid w:val="00C844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3">
    <w:name w:val="Table Grid3"/>
    <w:basedOn w:val="TableNormal"/>
    <w:next w:val="TableGrid"/>
    <w:uiPriority w:val="59"/>
    <w:rsid w:val="00C844E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14D5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A4DB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44721"/>
    <w:pPr>
      <w:spacing w:after="0"/>
      <w:ind w:left="432" w:hanging="432"/>
    </w:pPr>
    <w:rPr>
      <w:rFonts w:ascii="Times New Roman" w:hAnsi="Times New Roman"/>
      <w:sz w:val="24"/>
    </w:rPr>
  </w:style>
  <w:style w:type="paragraph" w:styleId="DocumentMap">
    <w:name w:val="Document Map"/>
    <w:basedOn w:val="Normal"/>
    <w:link w:val="DocumentMapChar"/>
    <w:uiPriority w:val="99"/>
    <w:semiHidden/>
    <w:unhideWhenUsed/>
    <w:rsid w:val="00053D7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53D79"/>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627056">
      <w:bodyDiv w:val="1"/>
      <w:marLeft w:val="0"/>
      <w:marRight w:val="0"/>
      <w:marTop w:val="0"/>
      <w:marBottom w:val="0"/>
      <w:divBdr>
        <w:top w:val="none" w:sz="0" w:space="0" w:color="auto"/>
        <w:left w:val="none" w:sz="0" w:space="0" w:color="auto"/>
        <w:bottom w:val="none" w:sz="0" w:space="0" w:color="auto"/>
        <w:right w:val="none" w:sz="0" w:space="0" w:color="auto"/>
      </w:divBdr>
    </w:div>
    <w:div w:id="472480248">
      <w:bodyDiv w:val="1"/>
      <w:marLeft w:val="0"/>
      <w:marRight w:val="0"/>
      <w:marTop w:val="0"/>
      <w:marBottom w:val="0"/>
      <w:divBdr>
        <w:top w:val="none" w:sz="0" w:space="0" w:color="auto"/>
        <w:left w:val="none" w:sz="0" w:space="0" w:color="auto"/>
        <w:bottom w:val="none" w:sz="0" w:space="0" w:color="auto"/>
        <w:right w:val="none" w:sz="0" w:space="0" w:color="auto"/>
      </w:divBdr>
    </w:div>
    <w:div w:id="125227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0.emf"/><Relationship Id="rId26" Type="http://schemas.openxmlformats.org/officeDocument/2006/relationships/footer" Target="footer6.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opendata.go.ke/" TargetMode="External"/><Relationship Id="rId34" Type="http://schemas.openxmlformats.org/officeDocument/2006/relationships/image" Target="media/image7.png"/><Relationship Id="rId42"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opendata.go.ke/" TargetMode="External"/><Relationship Id="rId29" Type="http://schemas.openxmlformats.org/officeDocument/2006/relationships/image" Target="media/image2.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opendata.go.ke/" TargetMode="External"/><Relationship Id="rId32" Type="http://schemas.openxmlformats.org/officeDocument/2006/relationships/image" Target="media/image5.png"/><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opendata.go.ke/" TargetMode="External"/><Relationship Id="rId28" Type="http://schemas.openxmlformats.org/officeDocument/2006/relationships/footer" Target="footer7.xm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opendata.go.ke/" TargetMode="External"/><Relationship Id="rId31" Type="http://schemas.openxmlformats.org/officeDocument/2006/relationships/image" Target="media/image4.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opendata.go.ke/" TargetMode="External"/><Relationship Id="rId27" Type="http://schemas.openxmlformats.org/officeDocument/2006/relationships/header" Target="header5.xm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eb.worldbank.org/WBSITE/EXTERNAL/COUNTRIES/AFRICAEXT/0,,contentMDK:21935594~pagePK:146736~piPK:146830~theSitePK:258644,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970BE-8649-44EC-BF27-34B56E21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32083</Words>
  <Characters>182876</Characters>
  <Application>Microsoft Office Word</Application>
  <DocSecurity>0</DocSecurity>
  <Lines>1523</Lines>
  <Paragraphs>429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214530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O'brien</dc:creator>
  <cp:lastModifiedBy>Jurgita Campbell</cp:lastModifiedBy>
  <cp:revision>2</cp:revision>
  <cp:lastPrinted>2014-07-03T18:52:00Z</cp:lastPrinted>
  <dcterms:created xsi:type="dcterms:W3CDTF">2014-07-03T18:54:00Z</dcterms:created>
  <dcterms:modified xsi:type="dcterms:W3CDTF">2014-07-03T18:54:00Z</dcterms:modified>
</cp:coreProperties>
</file>