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39" w:rsidRPr="00FB1FDE" w:rsidRDefault="00272755" w:rsidP="0084465B">
      <w:pPr>
        <w:pStyle w:val="ListParagraph"/>
        <w:ind w:left="-180"/>
        <w:jc w:val="center"/>
        <w:rPr>
          <w:rFonts w:asciiTheme="minorHAnsi" w:hAnsiTheme="minorHAnsi"/>
          <w:b/>
          <w:u w:val="single"/>
        </w:rPr>
      </w:pPr>
      <w:r w:rsidRPr="00FB1FDE">
        <w:rPr>
          <w:rFonts w:asciiTheme="minorHAnsi" w:hAnsiTheme="minorHAnsi"/>
          <w:b/>
          <w:u w:val="single"/>
        </w:rPr>
        <w:t xml:space="preserve">Report on </w:t>
      </w:r>
      <w:r w:rsidR="00765639" w:rsidRPr="00FB1FDE">
        <w:rPr>
          <w:rFonts w:asciiTheme="minorHAnsi" w:hAnsiTheme="minorHAnsi"/>
          <w:b/>
          <w:u w:val="single"/>
        </w:rPr>
        <w:t>Visit to Power Plants</w:t>
      </w:r>
    </w:p>
    <w:p w:rsidR="00765639" w:rsidRPr="00FB1FDE" w:rsidRDefault="00765639" w:rsidP="0084465B">
      <w:pPr>
        <w:pStyle w:val="ListParagraph"/>
        <w:ind w:left="0" w:right="-154"/>
        <w:jc w:val="both"/>
        <w:rPr>
          <w:rFonts w:asciiTheme="minorHAnsi" w:hAnsiTheme="minorHAnsi"/>
          <w:b/>
        </w:rPr>
      </w:pPr>
    </w:p>
    <w:p w:rsidR="00765639" w:rsidRPr="00FB1FDE" w:rsidRDefault="00765639" w:rsidP="00FB1FD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i/>
        </w:rPr>
      </w:pPr>
      <w:r w:rsidRPr="00FB1FDE">
        <w:rPr>
          <w:rFonts w:asciiTheme="minorHAnsi" w:hAnsiTheme="minorHAnsi"/>
          <w:b/>
        </w:rPr>
        <w:t xml:space="preserve">412 MW Haripur </w:t>
      </w:r>
      <w:r w:rsidR="00623735">
        <w:rPr>
          <w:rFonts w:asciiTheme="minorHAnsi" w:hAnsiTheme="minorHAnsi"/>
          <w:b/>
        </w:rPr>
        <w:t>C</w:t>
      </w:r>
      <w:r w:rsidRPr="00FB1FDE">
        <w:rPr>
          <w:rFonts w:asciiTheme="minorHAnsi" w:hAnsiTheme="minorHAnsi"/>
          <w:b/>
        </w:rPr>
        <w:t xml:space="preserve">ombined </w:t>
      </w:r>
      <w:r w:rsidR="00623735">
        <w:rPr>
          <w:rFonts w:asciiTheme="minorHAnsi" w:hAnsiTheme="minorHAnsi"/>
          <w:b/>
        </w:rPr>
        <w:t>C</w:t>
      </w:r>
      <w:r w:rsidRPr="00FB1FDE">
        <w:rPr>
          <w:rFonts w:asciiTheme="minorHAnsi" w:hAnsiTheme="minorHAnsi"/>
          <w:b/>
        </w:rPr>
        <w:t xml:space="preserve">ycle </w:t>
      </w:r>
      <w:r w:rsidR="00623735">
        <w:rPr>
          <w:rFonts w:asciiTheme="minorHAnsi" w:hAnsiTheme="minorHAnsi"/>
          <w:b/>
        </w:rPr>
        <w:t>P</w:t>
      </w:r>
      <w:r w:rsidRPr="00FB1FDE">
        <w:rPr>
          <w:rFonts w:asciiTheme="minorHAnsi" w:hAnsiTheme="minorHAnsi"/>
          <w:b/>
        </w:rPr>
        <w:t xml:space="preserve">ower </w:t>
      </w:r>
      <w:r w:rsidR="00623735">
        <w:rPr>
          <w:rFonts w:asciiTheme="minorHAnsi" w:hAnsiTheme="minorHAnsi"/>
          <w:b/>
        </w:rPr>
        <w:t>P</w:t>
      </w:r>
      <w:r w:rsidRPr="00FB1FDE">
        <w:rPr>
          <w:rFonts w:asciiTheme="minorHAnsi" w:hAnsiTheme="minorHAnsi"/>
          <w:b/>
        </w:rPr>
        <w:t>lant</w:t>
      </w:r>
      <w:r w:rsidR="00623735">
        <w:rPr>
          <w:rFonts w:asciiTheme="minorHAnsi" w:hAnsiTheme="minorHAnsi"/>
          <w:b/>
        </w:rPr>
        <w:t>/EGCB</w:t>
      </w:r>
      <w:r w:rsidR="00C96F82" w:rsidRPr="00FB1FDE">
        <w:rPr>
          <w:rFonts w:asciiTheme="minorHAnsi" w:hAnsiTheme="minorHAnsi"/>
          <w:b/>
        </w:rPr>
        <w:t>:</w:t>
      </w:r>
      <w:r w:rsidRPr="00FB1FDE">
        <w:rPr>
          <w:rFonts w:asciiTheme="minorHAnsi" w:hAnsiTheme="minorHAnsi"/>
          <w:b/>
        </w:rPr>
        <w:t xml:space="preserve"> </w:t>
      </w:r>
      <w:r w:rsidR="005B0D61" w:rsidRPr="00FB1FDE">
        <w:rPr>
          <w:rFonts w:asciiTheme="minorHAnsi" w:hAnsiTheme="minorHAnsi"/>
          <w:b/>
        </w:rPr>
        <w:t xml:space="preserve"> </w:t>
      </w:r>
      <w:r w:rsidR="005B0D61" w:rsidRPr="00623735">
        <w:rPr>
          <w:rFonts w:asciiTheme="minorHAnsi" w:hAnsiTheme="minorHAnsi"/>
        </w:rPr>
        <w:t>The plant was</w:t>
      </w:r>
      <w:r w:rsidR="005B0D61" w:rsidRPr="00623735">
        <w:rPr>
          <w:rFonts w:asciiTheme="minorHAnsi" w:hAnsiTheme="minorHAnsi"/>
          <w:i/>
        </w:rPr>
        <w:t xml:space="preserve"> c</w:t>
      </w:r>
      <w:r w:rsidRPr="00623735">
        <w:rPr>
          <w:rFonts w:asciiTheme="minorHAnsi" w:hAnsiTheme="minorHAnsi"/>
        </w:rPr>
        <w:t>ommissioned</w:t>
      </w:r>
      <w:r w:rsidRPr="00FB1FDE">
        <w:rPr>
          <w:rFonts w:asciiTheme="minorHAnsi" w:hAnsiTheme="minorHAnsi"/>
        </w:rPr>
        <w:t xml:space="preserve"> in 2011. Its technical specifications are the following: </w:t>
      </w:r>
    </w:p>
    <w:p w:rsidR="00FB1FDE" w:rsidRPr="00FB1FDE" w:rsidRDefault="00FB1FDE" w:rsidP="00FB1FDE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770"/>
      </w:tblGrid>
      <w:tr w:rsidR="00FB1FDE" w:rsidRPr="00FB1FDE" w:rsidTr="00FB1FDE">
        <w:trPr>
          <w:jc w:val="center"/>
        </w:trPr>
        <w:tc>
          <w:tcPr>
            <w:tcW w:w="2515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GT</w:t>
            </w:r>
          </w:p>
        </w:tc>
        <w:tc>
          <w:tcPr>
            <w:tcW w:w="4770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279 MW MHI701F4, MHI, Japan</w:t>
            </w:r>
          </w:p>
        </w:tc>
      </w:tr>
      <w:tr w:rsidR="00FB1FDE" w:rsidRPr="00FB1FDE" w:rsidTr="00FB1FDE">
        <w:trPr>
          <w:jc w:val="center"/>
        </w:trPr>
        <w:tc>
          <w:tcPr>
            <w:tcW w:w="2515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GT Generator</w:t>
            </w:r>
          </w:p>
        </w:tc>
        <w:tc>
          <w:tcPr>
            <w:tcW w:w="4770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412 MVA, MELCO, Japan</w:t>
            </w:r>
          </w:p>
        </w:tc>
      </w:tr>
      <w:tr w:rsidR="00FB1FDE" w:rsidRPr="00FB1FDE" w:rsidTr="00FB1FDE">
        <w:trPr>
          <w:jc w:val="center"/>
        </w:trPr>
        <w:tc>
          <w:tcPr>
            <w:tcW w:w="2515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ST</w:t>
            </w:r>
          </w:p>
        </w:tc>
        <w:tc>
          <w:tcPr>
            <w:tcW w:w="4770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149 MW, Fuji Electric, Japan</w:t>
            </w:r>
          </w:p>
        </w:tc>
      </w:tr>
      <w:tr w:rsidR="00FB1FDE" w:rsidRPr="00FB1FDE" w:rsidTr="00FB1FDE">
        <w:trPr>
          <w:jc w:val="center"/>
        </w:trPr>
        <w:tc>
          <w:tcPr>
            <w:tcW w:w="2515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STG</w:t>
            </w:r>
          </w:p>
        </w:tc>
        <w:tc>
          <w:tcPr>
            <w:tcW w:w="4770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195 MVA, Fuji Electric, Japan</w:t>
            </w:r>
          </w:p>
        </w:tc>
      </w:tr>
      <w:tr w:rsidR="00FB1FDE" w:rsidRPr="00FB1FDE" w:rsidTr="00FB1FDE">
        <w:trPr>
          <w:jc w:val="center"/>
        </w:trPr>
        <w:tc>
          <w:tcPr>
            <w:tcW w:w="2515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GBC</w:t>
            </w:r>
          </w:p>
        </w:tc>
        <w:tc>
          <w:tcPr>
            <w:tcW w:w="4770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MAN-TURBO, Germany</w:t>
            </w:r>
          </w:p>
        </w:tc>
      </w:tr>
      <w:tr w:rsidR="00FB1FDE" w:rsidRPr="00FB1FDE" w:rsidTr="00FB1FDE">
        <w:trPr>
          <w:jc w:val="center"/>
        </w:trPr>
        <w:tc>
          <w:tcPr>
            <w:tcW w:w="2515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HRSG</w:t>
            </w:r>
          </w:p>
        </w:tc>
        <w:tc>
          <w:tcPr>
            <w:tcW w:w="4770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Horizontal type, DOOSAN, South Korea</w:t>
            </w:r>
          </w:p>
        </w:tc>
      </w:tr>
      <w:tr w:rsidR="00FB1FDE" w:rsidRPr="00FB1FDE" w:rsidTr="00FB1FDE">
        <w:trPr>
          <w:jc w:val="center"/>
        </w:trPr>
        <w:tc>
          <w:tcPr>
            <w:tcW w:w="2515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Unit Transformer</w:t>
            </w:r>
          </w:p>
        </w:tc>
        <w:tc>
          <w:tcPr>
            <w:tcW w:w="4770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570 MVA, ABB. India</w:t>
            </w:r>
          </w:p>
        </w:tc>
      </w:tr>
      <w:tr w:rsidR="00FB1FDE" w:rsidRPr="00FB1FDE" w:rsidTr="00FB1FDE">
        <w:trPr>
          <w:jc w:val="center"/>
        </w:trPr>
        <w:tc>
          <w:tcPr>
            <w:tcW w:w="2515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Thermal Efficiency</w:t>
            </w:r>
          </w:p>
        </w:tc>
        <w:tc>
          <w:tcPr>
            <w:tcW w:w="4770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56% (Approximately-Combined Cycle)</w:t>
            </w:r>
          </w:p>
        </w:tc>
      </w:tr>
      <w:tr w:rsidR="00FB1FDE" w:rsidRPr="00FB1FDE" w:rsidTr="00FB1FDE">
        <w:trPr>
          <w:jc w:val="center"/>
        </w:trPr>
        <w:tc>
          <w:tcPr>
            <w:tcW w:w="2515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Ramp Rate</w:t>
            </w:r>
          </w:p>
        </w:tc>
        <w:tc>
          <w:tcPr>
            <w:tcW w:w="4770" w:type="dxa"/>
          </w:tcPr>
          <w:p w:rsidR="00FB1FDE" w:rsidRPr="00623735" w:rsidRDefault="00FB1FDE" w:rsidP="00FB1FDE">
            <w:pPr>
              <w:jc w:val="both"/>
              <w:rPr>
                <w:sz w:val="18"/>
                <w:szCs w:val="18"/>
              </w:rPr>
            </w:pPr>
            <w:r w:rsidRPr="00623735">
              <w:rPr>
                <w:sz w:val="18"/>
                <w:szCs w:val="18"/>
              </w:rPr>
              <w:t>18 MW/Min</w:t>
            </w:r>
          </w:p>
        </w:tc>
      </w:tr>
    </w:tbl>
    <w:p w:rsidR="00623735" w:rsidRDefault="00623735" w:rsidP="00FB1FDE">
      <w:pPr>
        <w:spacing w:after="0" w:line="240" w:lineRule="auto"/>
        <w:ind w:left="360"/>
        <w:jc w:val="both"/>
        <w:rPr>
          <w:rFonts w:eastAsia="Times New Roman" w:cs="Calibri"/>
          <w:u w:val="single"/>
        </w:rPr>
      </w:pPr>
    </w:p>
    <w:p w:rsidR="00765639" w:rsidRPr="00FB1FDE" w:rsidRDefault="00765639" w:rsidP="00FB1FDE">
      <w:pPr>
        <w:spacing w:after="0" w:line="240" w:lineRule="auto"/>
        <w:ind w:left="360"/>
        <w:jc w:val="both"/>
      </w:pPr>
      <w:r w:rsidRPr="00623735">
        <w:rPr>
          <w:rFonts w:eastAsia="Times New Roman" w:cs="Calibri"/>
          <w:u w:val="single"/>
        </w:rPr>
        <w:t xml:space="preserve">The </w:t>
      </w:r>
      <w:r w:rsidR="005B0D61" w:rsidRPr="00623735">
        <w:rPr>
          <w:rFonts w:eastAsia="Times New Roman" w:cs="Calibri"/>
          <w:u w:val="single"/>
        </w:rPr>
        <w:t xml:space="preserve">mission </w:t>
      </w:r>
      <w:r w:rsidRPr="00623735">
        <w:rPr>
          <w:rFonts w:eastAsia="Times New Roman" w:cs="Calibri"/>
          <w:u w:val="single"/>
        </w:rPr>
        <w:t xml:space="preserve">was informed that the discussion with the </w:t>
      </w:r>
      <w:r w:rsidR="005B0D61" w:rsidRPr="00623735">
        <w:rPr>
          <w:rFonts w:eastAsia="Times New Roman" w:cs="Calibri"/>
          <w:u w:val="single"/>
        </w:rPr>
        <w:t>Original Equipment Manufacturer (</w:t>
      </w:r>
      <w:r w:rsidRPr="00623735">
        <w:rPr>
          <w:rFonts w:eastAsia="Times New Roman" w:cs="Calibri"/>
          <w:u w:val="single"/>
        </w:rPr>
        <w:t>OEM</w:t>
      </w:r>
      <w:r w:rsidR="005B0D61" w:rsidRPr="00623735">
        <w:rPr>
          <w:rFonts w:eastAsia="Times New Roman" w:cs="Calibri"/>
          <w:u w:val="single"/>
        </w:rPr>
        <w:t>)</w:t>
      </w:r>
      <w:r w:rsidRPr="00623735">
        <w:rPr>
          <w:rFonts w:eastAsia="Times New Roman" w:cs="Calibri"/>
          <w:u w:val="single"/>
        </w:rPr>
        <w:t xml:space="preserve"> </w:t>
      </w:r>
      <w:r w:rsidR="005B0D61" w:rsidRPr="00623735">
        <w:rPr>
          <w:rFonts w:eastAsia="Times New Roman" w:cs="Calibri"/>
          <w:u w:val="single"/>
        </w:rPr>
        <w:t xml:space="preserve">of the power plant </w:t>
      </w:r>
      <w:r w:rsidRPr="00623735">
        <w:rPr>
          <w:rFonts w:eastAsia="Times New Roman" w:cs="Calibri"/>
          <w:u w:val="single"/>
        </w:rPr>
        <w:t xml:space="preserve">is ongoing to ensure the plant </w:t>
      </w:r>
      <w:r w:rsidR="005B0D61" w:rsidRPr="00623735">
        <w:rPr>
          <w:rFonts w:eastAsia="Times New Roman" w:cs="Calibri"/>
          <w:u w:val="single"/>
        </w:rPr>
        <w:t xml:space="preserve">to </w:t>
      </w:r>
      <w:r w:rsidRPr="00623735">
        <w:rPr>
          <w:rFonts w:eastAsia="Times New Roman" w:cs="Calibri"/>
          <w:u w:val="single"/>
        </w:rPr>
        <w:t>operate in FGMO.</w:t>
      </w:r>
      <w:r w:rsidRPr="00FB1FDE">
        <w:rPr>
          <w:rFonts w:eastAsia="Times New Roman" w:cs="Calibri"/>
        </w:rPr>
        <w:t xml:space="preserve"> </w:t>
      </w:r>
      <w:r w:rsidR="005B0D61" w:rsidRPr="00FB1FDE">
        <w:rPr>
          <w:rFonts w:eastAsia="Times New Roman" w:cs="Calibri"/>
        </w:rPr>
        <w:t>The power plant management has sent a</w:t>
      </w:r>
      <w:r w:rsidRPr="00FB1FDE">
        <w:rPr>
          <w:rFonts w:eastAsia="Times New Roman" w:cs="Calibri"/>
        </w:rPr>
        <w:t xml:space="preserve"> request to the OEM for </w:t>
      </w:r>
      <w:r w:rsidR="00200B4D" w:rsidRPr="00FB1FDE">
        <w:rPr>
          <w:rFonts w:eastAsia="Times New Roman" w:cs="Calibri"/>
        </w:rPr>
        <w:t xml:space="preserve">a </w:t>
      </w:r>
      <w:r w:rsidR="00200B4D" w:rsidRPr="00FB1FDE">
        <w:t>technical</w:t>
      </w:r>
      <w:r w:rsidRPr="00FB1FDE">
        <w:t xml:space="preserve"> and financial proposal</w:t>
      </w:r>
      <w:r w:rsidR="005B0D61" w:rsidRPr="00FB1FDE">
        <w:t xml:space="preserve"> in this regard</w:t>
      </w:r>
      <w:r w:rsidRPr="00FB1FDE">
        <w:t xml:space="preserve">. </w:t>
      </w:r>
    </w:p>
    <w:p w:rsidR="00FB1FDE" w:rsidRPr="00FB1FDE" w:rsidRDefault="00FB1FDE" w:rsidP="00FB1FDE">
      <w:pPr>
        <w:spacing w:after="0" w:line="240" w:lineRule="auto"/>
        <w:ind w:left="360"/>
        <w:jc w:val="both"/>
      </w:pPr>
    </w:p>
    <w:p w:rsidR="00623735" w:rsidRDefault="00765639" w:rsidP="00E0199A">
      <w:pPr>
        <w:pStyle w:val="ListParagraph"/>
        <w:numPr>
          <w:ilvl w:val="0"/>
          <w:numId w:val="5"/>
        </w:numPr>
        <w:jc w:val="both"/>
      </w:pPr>
      <w:proofErr w:type="spellStart"/>
      <w:r w:rsidRPr="00E0199A">
        <w:rPr>
          <w:b/>
        </w:rPr>
        <w:t>Ashuganj</w:t>
      </w:r>
      <w:proofErr w:type="spellEnd"/>
      <w:r w:rsidRPr="00E0199A">
        <w:rPr>
          <w:b/>
        </w:rPr>
        <w:t xml:space="preserve"> Power Station Company Ltd. </w:t>
      </w:r>
      <w:r w:rsidR="00623735" w:rsidRPr="00E0199A">
        <w:rPr>
          <w:b/>
        </w:rPr>
        <w:t xml:space="preserve">(APSCL) </w:t>
      </w:r>
      <w:r w:rsidR="0084465B">
        <w:rPr>
          <w:b/>
        </w:rPr>
        <w:t>P</w:t>
      </w:r>
      <w:r w:rsidRPr="00E0199A">
        <w:rPr>
          <w:b/>
        </w:rPr>
        <w:t xml:space="preserve">ower </w:t>
      </w:r>
      <w:r w:rsidR="0084465B">
        <w:rPr>
          <w:b/>
        </w:rPr>
        <w:t>P</w:t>
      </w:r>
      <w:r w:rsidRPr="00E0199A">
        <w:rPr>
          <w:b/>
        </w:rPr>
        <w:t>lants</w:t>
      </w:r>
      <w:r w:rsidR="00C96F82" w:rsidRPr="00E0199A">
        <w:rPr>
          <w:i/>
          <w:u w:val="single"/>
        </w:rPr>
        <w:t>:</w:t>
      </w:r>
      <w:r w:rsidRPr="00FB1FDE">
        <w:t xml:space="preserve"> </w:t>
      </w:r>
      <w:r w:rsidR="005B0D61" w:rsidRPr="00FB1FDE">
        <w:t xml:space="preserve"> Detail</w:t>
      </w:r>
      <w:r w:rsidR="00623735">
        <w:t xml:space="preserve">s of all the plants of </w:t>
      </w:r>
      <w:proofErr w:type="spellStart"/>
      <w:r w:rsidR="00623735">
        <w:t>Ashuganj</w:t>
      </w:r>
      <w:proofErr w:type="spellEnd"/>
      <w:r w:rsidR="00623735">
        <w:t xml:space="preserve"> </w:t>
      </w:r>
      <w:r w:rsidR="005B0D61" w:rsidRPr="00FB1FDE">
        <w:t xml:space="preserve">are given below. However, APSCL management has considered </w:t>
      </w:r>
      <w:r w:rsidR="00623735">
        <w:t xml:space="preserve">two </w:t>
      </w:r>
      <w:r w:rsidR="005B0D61" w:rsidRPr="00FB1FDE">
        <w:t>new power plants</w:t>
      </w:r>
      <w:r w:rsidR="00623735">
        <w:t xml:space="preserve"> (</w:t>
      </w:r>
      <w:proofErr w:type="spellStart"/>
      <w:r w:rsidR="00623735">
        <w:t>Ashuganj</w:t>
      </w:r>
      <w:proofErr w:type="spellEnd"/>
      <w:r w:rsidR="00623735">
        <w:t xml:space="preserve"> North and </w:t>
      </w:r>
      <w:proofErr w:type="spellStart"/>
      <w:r w:rsidR="00623735">
        <w:t>Ashuganj</w:t>
      </w:r>
      <w:proofErr w:type="spellEnd"/>
      <w:r w:rsidR="00623735">
        <w:t xml:space="preserve"> South) </w:t>
      </w:r>
      <w:r w:rsidR="005B0D61" w:rsidRPr="00FB1FDE">
        <w:t xml:space="preserve">to participate in FGMO. </w:t>
      </w:r>
      <w:r w:rsidR="00623735" w:rsidRPr="00E0199A">
        <w:rPr>
          <w:u w:val="single"/>
        </w:rPr>
        <w:t>The</w:t>
      </w:r>
      <w:r w:rsidR="00623735" w:rsidRPr="00E0199A">
        <w:rPr>
          <w:u w:val="single"/>
        </w:rPr>
        <w:t xml:space="preserve">se </w:t>
      </w:r>
      <w:r w:rsidR="00623735" w:rsidRPr="00E0199A">
        <w:rPr>
          <w:u w:val="single"/>
        </w:rPr>
        <w:t>new units are ready for FGMO. However, the calibration and tuning of the control equipment could be necessary.</w:t>
      </w:r>
      <w:r w:rsidR="00623735" w:rsidRPr="00FB1FDE">
        <w:t xml:space="preserve"> The issue of operating in FGMO has been raised with the respective </w:t>
      </w:r>
      <w:r w:rsidR="002769DA">
        <w:t>EPCs/</w:t>
      </w:r>
      <w:r w:rsidR="00623735" w:rsidRPr="00FB1FDE">
        <w:t xml:space="preserve">OEMs but no reply </w:t>
      </w:r>
      <w:r w:rsidR="0084465B">
        <w:t xml:space="preserve">is </w:t>
      </w:r>
      <w:r w:rsidR="00623735" w:rsidRPr="00FB1FDE">
        <w:t>received so far</w:t>
      </w:r>
      <w:r w:rsidR="0084465B">
        <w:t xml:space="preserve">. </w:t>
      </w:r>
    </w:p>
    <w:p w:rsidR="00E0199A" w:rsidRPr="00FB1FDE" w:rsidRDefault="00E0199A" w:rsidP="00E0199A">
      <w:pPr>
        <w:pStyle w:val="ListParagraph"/>
        <w:ind w:left="360"/>
        <w:jc w:val="both"/>
      </w:pPr>
    </w:p>
    <w:tbl>
      <w:tblPr>
        <w:tblStyle w:val="TableGrid"/>
        <w:tblW w:w="9270" w:type="dxa"/>
        <w:tblInd w:w="355" w:type="dxa"/>
        <w:tblLook w:val="04A0" w:firstRow="1" w:lastRow="0" w:firstColumn="1" w:lastColumn="0" w:noHBand="0" w:noVBand="1"/>
      </w:tblPr>
      <w:tblGrid>
        <w:gridCol w:w="1354"/>
        <w:gridCol w:w="607"/>
        <w:gridCol w:w="607"/>
        <w:gridCol w:w="607"/>
        <w:gridCol w:w="606"/>
        <w:gridCol w:w="606"/>
        <w:gridCol w:w="606"/>
        <w:gridCol w:w="606"/>
        <w:gridCol w:w="606"/>
        <w:gridCol w:w="889"/>
        <w:gridCol w:w="606"/>
        <w:gridCol w:w="983"/>
        <w:gridCol w:w="587"/>
      </w:tblGrid>
      <w:tr w:rsidR="00623735" w:rsidRPr="00E0199A" w:rsidTr="0084465B">
        <w:tc>
          <w:tcPr>
            <w:tcW w:w="1354" w:type="dxa"/>
            <w:vAlign w:val="center"/>
          </w:tcPr>
          <w:p w:rsidR="00EF4EEA" w:rsidRPr="00E0199A" w:rsidRDefault="00EF4EEA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b/>
                <w:bCs/>
                <w:sz w:val="18"/>
                <w:szCs w:val="18"/>
              </w:rPr>
              <w:t>Date of Commissioning</w:t>
            </w:r>
          </w:p>
        </w:tc>
        <w:tc>
          <w:tcPr>
            <w:tcW w:w="607" w:type="dxa"/>
            <w:vAlign w:val="center"/>
          </w:tcPr>
          <w:p w:rsidR="00EF4EEA" w:rsidRPr="00E0199A" w:rsidRDefault="00EF4EEA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Jul 17, 1970</w:t>
            </w:r>
          </w:p>
        </w:tc>
        <w:tc>
          <w:tcPr>
            <w:tcW w:w="607" w:type="dxa"/>
            <w:vAlign w:val="center"/>
          </w:tcPr>
          <w:p w:rsidR="00EF4EEA" w:rsidRPr="00E0199A" w:rsidRDefault="00EF4EEA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Jul 08, 1970</w:t>
            </w:r>
          </w:p>
        </w:tc>
        <w:tc>
          <w:tcPr>
            <w:tcW w:w="607" w:type="dxa"/>
            <w:vAlign w:val="center"/>
          </w:tcPr>
          <w:p w:rsidR="00EF4EEA" w:rsidRPr="00E0199A" w:rsidRDefault="00EF4EEA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Dec 17, 1986</w:t>
            </w:r>
          </w:p>
        </w:tc>
        <w:tc>
          <w:tcPr>
            <w:tcW w:w="606" w:type="dxa"/>
            <w:vAlign w:val="center"/>
          </w:tcPr>
          <w:p w:rsidR="00EF4EEA" w:rsidRPr="00E0199A" w:rsidRDefault="00EF4EEA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May 4, 1987</w:t>
            </w:r>
          </w:p>
        </w:tc>
        <w:tc>
          <w:tcPr>
            <w:tcW w:w="606" w:type="dxa"/>
            <w:vAlign w:val="center"/>
          </w:tcPr>
          <w:p w:rsidR="00EF4EEA" w:rsidRPr="00E0199A" w:rsidRDefault="00EF4EEA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Mar 21, 1988</w:t>
            </w:r>
          </w:p>
        </w:tc>
        <w:tc>
          <w:tcPr>
            <w:tcW w:w="606" w:type="dxa"/>
            <w:vAlign w:val="center"/>
          </w:tcPr>
          <w:p w:rsidR="00EF4EEA" w:rsidRPr="00E0199A" w:rsidRDefault="00EF4EEA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Mar 23, 1986</w:t>
            </w:r>
          </w:p>
        </w:tc>
        <w:tc>
          <w:tcPr>
            <w:tcW w:w="606" w:type="dxa"/>
            <w:vAlign w:val="center"/>
          </w:tcPr>
          <w:p w:rsidR="00EF4EEA" w:rsidRPr="00E0199A" w:rsidRDefault="00EF4EEA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Mar 2, 2011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EF4EEA" w:rsidRPr="00E0199A" w:rsidRDefault="00EF4EEA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Apr 20, 2015</w:t>
            </w:r>
          </w:p>
        </w:tc>
        <w:tc>
          <w:tcPr>
            <w:tcW w:w="889" w:type="dxa"/>
            <w:shd w:val="clear" w:color="auto" w:fill="BFBFBF" w:themeFill="background1" w:themeFillShade="BF"/>
            <w:vAlign w:val="center"/>
          </w:tcPr>
          <w:p w:rsidR="00EF4EEA" w:rsidRPr="00E0199A" w:rsidRDefault="00EF4EEA" w:rsidP="00623735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May 8, 2016</w:t>
            </w:r>
            <w:r w:rsidR="00623735" w:rsidRPr="00E019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623735" w:rsidRPr="00E0199A">
              <w:rPr>
                <w:rFonts w:eastAsia="Times New Roman" w:cstheme="minorHAnsi"/>
                <w:sz w:val="18"/>
                <w:szCs w:val="18"/>
              </w:rPr>
              <w:t>Ashuganj</w:t>
            </w:r>
            <w:proofErr w:type="spellEnd"/>
            <w:r w:rsidR="00623735" w:rsidRPr="00E0199A">
              <w:rPr>
                <w:rFonts w:eastAsia="Times New Roman" w:cstheme="minorHAnsi"/>
                <w:sz w:val="18"/>
                <w:szCs w:val="18"/>
              </w:rPr>
              <w:t xml:space="preserve"> North 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EF4EEA" w:rsidRPr="00E0199A" w:rsidRDefault="00EF4EEA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May 8, 2016</w:t>
            </w:r>
          </w:p>
        </w:tc>
        <w:tc>
          <w:tcPr>
            <w:tcW w:w="983" w:type="dxa"/>
            <w:shd w:val="clear" w:color="auto" w:fill="BFBFBF" w:themeFill="background1" w:themeFillShade="BF"/>
            <w:vAlign w:val="center"/>
          </w:tcPr>
          <w:p w:rsidR="00EF4EEA" w:rsidRPr="00E0199A" w:rsidRDefault="00EF4EEA" w:rsidP="0084465B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Feb.14, 2017</w:t>
            </w:r>
            <w:r w:rsidR="00623735" w:rsidRPr="00E019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623735" w:rsidRPr="00E0199A">
              <w:rPr>
                <w:rFonts w:eastAsia="Times New Roman" w:cstheme="minorHAnsi"/>
                <w:sz w:val="18"/>
                <w:szCs w:val="18"/>
              </w:rPr>
              <w:t>Ashuganj</w:t>
            </w:r>
            <w:proofErr w:type="spellEnd"/>
            <w:r w:rsidR="00623735" w:rsidRPr="00E0199A">
              <w:rPr>
                <w:rFonts w:eastAsia="Times New Roman" w:cstheme="minorHAnsi"/>
                <w:sz w:val="18"/>
                <w:szCs w:val="18"/>
              </w:rPr>
              <w:t xml:space="preserve"> South</w:t>
            </w:r>
          </w:p>
        </w:tc>
        <w:tc>
          <w:tcPr>
            <w:tcW w:w="587" w:type="dxa"/>
          </w:tcPr>
          <w:p w:rsidR="00EF4EEA" w:rsidRPr="00E0199A" w:rsidRDefault="00623735" w:rsidP="00FB1FDE">
            <w:pPr>
              <w:rPr>
                <w:rFonts w:cs="Arial"/>
                <w:sz w:val="18"/>
                <w:szCs w:val="18"/>
              </w:rPr>
            </w:pPr>
            <w:r w:rsidRPr="00E0199A">
              <w:rPr>
                <w:rFonts w:cs="Arial"/>
                <w:sz w:val="18"/>
                <w:szCs w:val="18"/>
              </w:rPr>
              <w:t>Total MW</w:t>
            </w:r>
          </w:p>
        </w:tc>
      </w:tr>
      <w:tr w:rsidR="00623735" w:rsidRPr="00E0199A" w:rsidTr="0084465B">
        <w:tc>
          <w:tcPr>
            <w:tcW w:w="1354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b/>
                <w:bCs/>
                <w:sz w:val="18"/>
                <w:szCs w:val="18"/>
              </w:rPr>
              <w:t>Installed Capacity (MW)</w:t>
            </w:r>
          </w:p>
        </w:tc>
        <w:tc>
          <w:tcPr>
            <w:tcW w:w="607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64</w:t>
            </w:r>
          </w:p>
        </w:tc>
        <w:tc>
          <w:tcPr>
            <w:tcW w:w="607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64</w:t>
            </w:r>
          </w:p>
        </w:tc>
        <w:tc>
          <w:tcPr>
            <w:tcW w:w="607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150</w:t>
            </w:r>
          </w:p>
        </w:tc>
        <w:tc>
          <w:tcPr>
            <w:tcW w:w="606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150</w:t>
            </w:r>
          </w:p>
        </w:tc>
        <w:tc>
          <w:tcPr>
            <w:tcW w:w="606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150</w:t>
            </w:r>
          </w:p>
        </w:tc>
        <w:tc>
          <w:tcPr>
            <w:tcW w:w="606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  <w:tc>
          <w:tcPr>
            <w:tcW w:w="606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225</w:t>
            </w:r>
          </w:p>
        </w:tc>
        <w:tc>
          <w:tcPr>
            <w:tcW w:w="889" w:type="dxa"/>
            <w:shd w:val="clear" w:color="auto" w:fill="BFBFBF" w:themeFill="background1" w:themeFillShade="BF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383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195</w:t>
            </w:r>
          </w:p>
        </w:tc>
        <w:tc>
          <w:tcPr>
            <w:tcW w:w="983" w:type="dxa"/>
            <w:shd w:val="clear" w:color="auto" w:fill="BFBFBF" w:themeFill="background1" w:themeFillShade="BF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244</w:t>
            </w:r>
          </w:p>
        </w:tc>
        <w:tc>
          <w:tcPr>
            <w:tcW w:w="587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1734</w:t>
            </w:r>
          </w:p>
        </w:tc>
      </w:tr>
      <w:tr w:rsidR="00623735" w:rsidRPr="00E0199A" w:rsidTr="0084465B">
        <w:tc>
          <w:tcPr>
            <w:tcW w:w="1354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b/>
                <w:bCs/>
                <w:sz w:val="18"/>
                <w:szCs w:val="18"/>
              </w:rPr>
              <w:t>Present/De-rated Capacity (MW)</w:t>
            </w:r>
          </w:p>
        </w:tc>
        <w:tc>
          <w:tcPr>
            <w:tcW w:w="607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  <w:tc>
          <w:tcPr>
            <w:tcW w:w="607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607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140</w:t>
            </w:r>
          </w:p>
        </w:tc>
        <w:tc>
          <w:tcPr>
            <w:tcW w:w="606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150</w:t>
            </w:r>
          </w:p>
        </w:tc>
        <w:tc>
          <w:tcPr>
            <w:tcW w:w="606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140</w:t>
            </w:r>
          </w:p>
        </w:tc>
        <w:tc>
          <w:tcPr>
            <w:tcW w:w="606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606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225</w:t>
            </w:r>
          </w:p>
        </w:tc>
        <w:tc>
          <w:tcPr>
            <w:tcW w:w="889" w:type="dxa"/>
            <w:shd w:val="clear" w:color="auto" w:fill="BFBFBF" w:themeFill="background1" w:themeFillShade="BF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383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195</w:t>
            </w:r>
          </w:p>
        </w:tc>
        <w:tc>
          <w:tcPr>
            <w:tcW w:w="983" w:type="dxa"/>
            <w:shd w:val="clear" w:color="auto" w:fill="BFBFBF" w:themeFill="background1" w:themeFillShade="BF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244</w:t>
            </w:r>
          </w:p>
        </w:tc>
        <w:tc>
          <w:tcPr>
            <w:tcW w:w="587" w:type="dxa"/>
            <w:vAlign w:val="center"/>
          </w:tcPr>
          <w:p w:rsidR="00FB1FDE" w:rsidRPr="00E0199A" w:rsidRDefault="00FB1FDE" w:rsidP="00FB1FDE">
            <w:pPr>
              <w:rPr>
                <w:rFonts w:eastAsia="Times New Roman" w:cstheme="minorHAnsi"/>
                <w:sz w:val="18"/>
                <w:szCs w:val="18"/>
              </w:rPr>
            </w:pPr>
            <w:r w:rsidRPr="00E0199A">
              <w:rPr>
                <w:rFonts w:eastAsia="Times New Roman" w:cstheme="minorHAnsi"/>
                <w:sz w:val="18"/>
                <w:szCs w:val="18"/>
              </w:rPr>
              <w:t>1672</w:t>
            </w:r>
          </w:p>
        </w:tc>
      </w:tr>
    </w:tbl>
    <w:p w:rsidR="00EF4EEA" w:rsidRPr="00FB1FDE" w:rsidRDefault="00EF4EEA" w:rsidP="00FB1FDE">
      <w:pPr>
        <w:spacing w:after="0" w:line="240" w:lineRule="auto"/>
        <w:jc w:val="both"/>
        <w:rPr>
          <w:rFonts w:cs="Arial"/>
        </w:rPr>
      </w:pPr>
    </w:p>
    <w:p w:rsidR="00765639" w:rsidRPr="0084465B" w:rsidRDefault="00765639" w:rsidP="0084465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17E3E">
        <w:rPr>
          <w:rFonts w:asciiTheme="minorHAnsi" w:hAnsiTheme="minorHAnsi" w:cstheme="minorHAnsi"/>
          <w:b/>
          <w:sz w:val="22"/>
          <w:szCs w:val="22"/>
        </w:rPr>
        <w:t xml:space="preserve">BPDB Sylhet </w:t>
      </w:r>
      <w:r w:rsidR="0063736F" w:rsidRPr="00F17E3E">
        <w:rPr>
          <w:rFonts w:asciiTheme="minorHAnsi" w:hAnsiTheme="minorHAnsi" w:cstheme="minorHAnsi"/>
          <w:b/>
          <w:sz w:val="22"/>
          <w:szCs w:val="22"/>
        </w:rPr>
        <w:t>P</w:t>
      </w:r>
      <w:r w:rsidRPr="00F17E3E">
        <w:rPr>
          <w:rFonts w:asciiTheme="minorHAnsi" w:hAnsiTheme="minorHAnsi" w:cstheme="minorHAnsi"/>
          <w:b/>
          <w:sz w:val="22"/>
          <w:szCs w:val="22"/>
        </w:rPr>
        <w:t xml:space="preserve">ower </w:t>
      </w:r>
      <w:r w:rsidR="0063736F" w:rsidRPr="00F17E3E">
        <w:rPr>
          <w:rFonts w:asciiTheme="minorHAnsi" w:hAnsiTheme="minorHAnsi" w:cstheme="minorHAnsi"/>
          <w:b/>
          <w:sz w:val="22"/>
          <w:szCs w:val="22"/>
        </w:rPr>
        <w:t>P</w:t>
      </w:r>
      <w:r w:rsidRPr="00F17E3E">
        <w:rPr>
          <w:rFonts w:asciiTheme="minorHAnsi" w:hAnsiTheme="minorHAnsi" w:cstheme="minorHAnsi"/>
          <w:b/>
          <w:sz w:val="22"/>
          <w:szCs w:val="22"/>
        </w:rPr>
        <w:t>lant (GT 150 MW)</w:t>
      </w:r>
      <w:r w:rsidR="00C96F82" w:rsidRPr="00F17E3E">
        <w:rPr>
          <w:rFonts w:asciiTheme="minorHAnsi" w:hAnsiTheme="minorHAnsi" w:cstheme="minorHAnsi"/>
          <w:b/>
          <w:sz w:val="22"/>
          <w:szCs w:val="22"/>
        </w:rPr>
        <w:t>:</w:t>
      </w:r>
      <w:r w:rsidRPr="00F17E3E">
        <w:rPr>
          <w:rFonts w:asciiTheme="minorHAnsi" w:hAnsiTheme="minorHAnsi" w:cstheme="minorHAnsi"/>
          <w:sz w:val="22"/>
          <w:szCs w:val="22"/>
        </w:rPr>
        <w:t xml:space="preserve"> </w:t>
      </w:r>
      <w:r w:rsidRPr="00E0199A">
        <w:rPr>
          <w:rFonts w:asciiTheme="minorHAnsi" w:hAnsiTheme="minorHAnsi" w:cstheme="minorHAnsi"/>
          <w:sz w:val="22"/>
          <w:szCs w:val="22"/>
        </w:rPr>
        <w:t xml:space="preserve">The ST is not yet commissioned. </w:t>
      </w:r>
      <w:r w:rsidRPr="0084465B">
        <w:rPr>
          <w:rFonts w:asciiTheme="minorHAnsi" w:hAnsiTheme="minorHAnsi" w:cstheme="minorHAnsi"/>
          <w:sz w:val="22"/>
          <w:szCs w:val="22"/>
        </w:rPr>
        <w:t xml:space="preserve">The manufacturer of the GT is </w:t>
      </w:r>
      <w:proofErr w:type="spellStart"/>
      <w:r w:rsidRPr="0084465B">
        <w:rPr>
          <w:rFonts w:asciiTheme="minorHAnsi" w:hAnsiTheme="minorHAnsi" w:cstheme="minorHAnsi"/>
          <w:sz w:val="22"/>
          <w:szCs w:val="22"/>
        </w:rPr>
        <w:t>Ansaldo</w:t>
      </w:r>
      <w:proofErr w:type="spellEnd"/>
      <w:r w:rsidRPr="008446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465B">
        <w:rPr>
          <w:rFonts w:asciiTheme="minorHAnsi" w:hAnsiTheme="minorHAnsi" w:cstheme="minorHAnsi"/>
          <w:sz w:val="22"/>
          <w:szCs w:val="22"/>
        </w:rPr>
        <w:t>Energia</w:t>
      </w:r>
      <w:proofErr w:type="spellEnd"/>
      <w:r w:rsidRPr="0084465B">
        <w:rPr>
          <w:rFonts w:asciiTheme="minorHAnsi" w:hAnsiTheme="minorHAnsi" w:cstheme="minorHAnsi"/>
          <w:sz w:val="22"/>
          <w:szCs w:val="22"/>
        </w:rPr>
        <w:t xml:space="preserve"> and the EPC Contractor is Shanghai Electric Company (SEC). The ramp rate for each unit is 11MW/min for normal loading and 30MW/min for fast loading. The unit has the speed/load/temp control modes. </w:t>
      </w:r>
      <w:r w:rsidRPr="0084465B">
        <w:rPr>
          <w:rFonts w:asciiTheme="minorHAnsi" w:hAnsiTheme="minorHAnsi" w:cstheme="minorHAnsi"/>
          <w:sz w:val="22"/>
          <w:szCs w:val="22"/>
          <w:u w:val="single"/>
        </w:rPr>
        <w:t xml:space="preserve">The Plant engineer couldn’t confirm </w:t>
      </w:r>
      <w:r w:rsidR="0084465B">
        <w:rPr>
          <w:rFonts w:asciiTheme="minorHAnsi" w:hAnsiTheme="minorHAnsi" w:cstheme="minorHAnsi"/>
          <w:sz w:val="22"/>
          <w:szCs w:val="22"/>
          <w:u w:val="single"/>
        </w:rPr>
        <w:t xml:space="preserve">its </w:t>
      </w:r>
      <w:r w:rsidRPr="0084465B">
        <w:rPr>
          <w:rFonts w:asciiTheme="minorHAnsi" w:hAnsiTheme="minorHAnsi" w:cstheme="minorHAnsi"/>
          <w:sz w:val="22"/>
          <w:szCs w:val="22"/>
          <w:u w:val="single"/>
        </w:rPr>
        <w:t xml:space="preserve">readiness </w:t>
      </w:r>
      <w:r w:rsidR="009C1F7B">
        <w:rPr>
          <w:rFonts w:asciiTheme="minorHAnsi" w:hAnsiTheme="minorHAnsi" w:cstheme="minorHAnsi"/>
          <w:sz w:val="22"/>
          <w:szCs w:val="22"/>
          <w:u w:val="single"/>
        </w:rPr>
        <w:t>for</w:t>
      </w:r>
      <w:r w:rsidRPr="0084465B">
        <w:rPr>
          <w:rFonts w:asciiTheme="minorHAnsi" w:hAnsiTheme="minorHAnsi" w:cstheme="minorHAnsi"/>
          <w:sz w:val="22"/>
          <w:szCs w:val="22"/>
          <w:u w:val="single"/>
        </w:rPr>
        <w:t xml:space="preserve"> operating in FGMO</w:t>
      </w:r>
      <w:r w:rsidR="0084465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Pr="0084465B">
        <w:rPr>
          <w:rFonts w:asciiTheme="minorHAnsi" w:hAnsiTheme="minorHAnsi" w:cstheme="minorHAnsi"/>
          <w:sz w:val="22"/>
          <w:szCs w:val="22"/>
        </w:rPr>
        <w:t xml:space="preserve">They wrote to </w:t>
      </w:r>
      <w:proofErr w:type="spellStart"/>
      <w:r w:rsidRPr="0084465B">
        <w:rPr>
          <w:rFonts w:asciiTheme="minorHAnsi" w:hAnsiTheme="minorHAnsi" w:cstheme="minorHAnsi"/>
          <w:sz w:val="22"/>
          <w:szCs w:val="22"/>
        </w:rPr>
        <w:t>Ansaldo</w:t>
      </w:r>
      <w:proofErr w:type="spellEnd"/>
      <w:r w:rsidRPr="0084465B">
        <w:rPr>
          <w:rFonts w:asciiTheme="minorHAnsi" w:hAnsiTheme="minorHAnsi" w:cstheme="minorHAnsi"/>
          <w:sz w:val="22"/>
          <w:szCs w:val="22"/>
        </w:rPr>
        <w:t xml:space="preserve"> and SEC but no reply was received</w:t>
      </w:r>
      <w:r w:rsidR="009C1F7B">
        <w:rPr>
          <w:rFonts w:asciiTheme="minorHAnsi" w:hAnsiTheme="minorHAnsi" w:cstheme="minorHAnsi"/>
          <w:sz w:val="22"/>
          <w:szCs w:val="22"/>
        </w:rPr>
        <w:t xml:space="preserve">. </w:t>
      </w:r>
      <w:r w:rsidRPr="0084465B">
        <w:rPr>
          <w:rFonts w:asciiTheme="minorHAnsi" w:hAnsiTheme="minorHAnsi" w:cstheme="minorHAnsi"/>
          <w:sz w:val="22"/>
          <w:szCs w:val="22"/>
        </w:rPr>
        <w:t xml:space="preserve"> The Plant engineers also mentioned that </w:t>
      </w:r>
      <w:r w:rsidR="009C1F7B">
        <w:rPr>
          <w:rFonts w:asciiTheme="minorHAnsi" w:hAnsiTheme="minorHAnsi" w:cstheme="minorHAnsi"/>
          <w:sz w:val="22"/>
          <w:szCs w:val="22"/>
        </w:rPr>
        <w:t xml:space="preserve">the </w:t>
      </w:r>
      <w:r w:rsidRPr="0084465B">
        <w:rPr>
          <w:rFonts w:asciiTheme="minorHAnsi" w:hAnsiTheme="minorHAnsi" w:cstheme="minorHAnsi"/>
          <w:sz w:val="22"/>
          <w:szCs w:val="22"/>
        </w:rPr>
        <w:t>ST of this plant will be installed and process of contract award was going on</w:t>
      </w:r>
      <w:r w:rsidR="009C1F7B">
        <w:rPr>
          <w:rFonts w:asciiTheme="minorHAnsi" w:hAnsiTheme="minorHAnsi" w:cstheme="minorHAnsi"/>
          <w:sz w:val="22"/>
          <w:szCs w:val="22"/>
        </w:rPr>
        <w:t xml:space="preserve">. The </w:t>
      </w:r>
      <w:r w:rsidRPr="0084465B">
        <w:rPr>
          <w:rFonts w:asciiTheme="minorHAnsi" w:hAnsiTheme="minorHAnsi" w:cstheme="minorHAnsi"/>
          <w:sz w:val="22"/>
          <w:szCs w:val="22"/>
        </w:rPr>
        <w:t xml:space="preserve">FGMO commissioning could be done during that time. </w:t>
      </w:r>
    </w:p>
    <w:p w:rsidR="00765639" w:rsidRPr="00FB1FDE" w:rsidRDefault="00765639" w:rsidP="00FB1FDE">
      <w:pPr>
        <w:pStyle w:val="Default"/>
        <w:rPr>
          <w:rFonts w:asciiTheme="minorHAnsi" w:hAnsiTheme="minorHAnsi"/>
          <w:sz w:val="22"/>
          <w:szCs w:val="22"/>
        </w:rPr>
      </w:pPr>
    </w:p>
    <w:p w:rsidR="00765639" w:rsidRPr="00F17E3E" w:rsidRDefault="00765639" w:rsidP="00F17E3E">
      <w:pPr>
        <w:pStyle w:val="Defaul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F17E3E">
        <w:rPr>
          <w:rFonts w:asciiTheme="minorHAnsi" w:hAnsiTheme="minorHAnsi"/>
          <w:b/>
          <w:sz w:val="22"/>
          <w:szCs w:val="22"/>
        </w:rPr>
        <w:t xml:space="preserve">BPDB </w:t>
      </w:r>
      <w:proofErr w:type="spellStart"/>
      <w:r w:rsidRPr="00F17E3E">
        <w:rPr>
          <w:rFonts w:asciiTheme="minorHAnsi" w:hAnsiTheme="minorHAnsi"/>
          <w:b/>
          <w:sz w:val="22"/>
          <w:szCs w:val="22"/>
        </w:rPr>
        <w:t>Fenchuganj</w:t>
      </w:r>
      <w:proofErr w:type="spellEnd"/>
      <w:r w:rsidRPr="00F17E3E">
        <w:rPr>
          <w:rFonts w:asciiTheme="minorHAnsi" w:hAnsiTheme="minorHAnsi"/>
          <w:b/>
          <w:sz w:val="22"/>
          <w:szCs w:val="22"/>
        </w:rPr>
        <w:t xml:space="preserve"> </w:t>
      </w:r>
      <w:r w:rsidR="0084465B">
        <w:rPr>
          <w:rFonts w:asciiTheme="minorHAnsi" w:hAnsiTheme="minorHAnsi"/>
          <w:b/>
          <w:sz w:val="22"/>
          <w:szCs w:val="22"/>
        </w:rPr>
        <w:t>C</w:t>
      </w:r>
      <w:r w:rsidRPr="00F17E3E">
        <w:rPr>
          <w:rFonts w:asciiTheme="minorHAnsi" w:hAnsiTheme="minorHAnsi"/>
          <w:b/>
          <w:sz w:val="22"/>
          <w:szCs w:val="22"/>
        </w:rPr>
        <w:t xml:space="preserve">ombined </w:t>
      </w:r>
      <w:r w:rsidR="0084465B">
        <w:rPr>
          <w:rFonts w:asciiTheme="minorHAnsi" w:hAnsiTheme="minorHAnsi"/>
          <w:b/>
          <w:sz w:val="22"/>
          <w:szCs w:val="22"/>
        </w:rPr>
        <w:t>C</w:t>
      </w:r>
      <w:r w:rsidRPr="00F17E3E">
        <w:rPr>
          <w:rFonts w:asciiTheme="minorHAnsi" w:hAnsiTheme="minorHAnsi"/>
          <w:b/>
          <w:sz w:val="22"/>
          <w:szCs w:val="22"/>
        </w:rPr>
        <w:t xml:space="preserve">ycle </w:t>
      </w:r>
      <w:r w:rsidR="0084465B">
        <w:rPr>
          <w:rFonts w:asciiTheme="minorHAnsi" w:hAnsiTheme="minorHAnsi"/>
          <w:b/>
          <w:sz w:val="22"/>
          <w:szCs w:val="22"/>
        </w:rPr>
        <w:t>P</w:t>
      </w:r>
      <w:r w:rsidRPr="00F17E3E">
        <w:rPr>
          <w:rFonts w:asciiTheme="minorHAnsi" w:hAnsiTheme="minorHAnsi"/>
          <w:b/>
          <w:sz w:val="22"/>
          <w:szCs w:val="22"/>
        </w:rPr>
        <w:t xml:space="preserve">ower </w:t>
      </w:r>
      <w:r w:rsidR="0084465B">
        <w:rPr>
          <w:rFonts w:asciiTheme="minorHAnsi" w:hAnsiTheme="minorHAnsi"/>
          <w:b/>
          <w:sz w:val="22"/>
          <w:szCs w:val="22"/>
        </w:rPr>
        <w:t>P</w:t>
      </w:r>
      <w:r w:rsidRPr="00F17E3E">
        <w:rPr>
          <w:rFonts w:asciiTheme="minorHAnsi" w:hAnsiTheme="minorHAnsi"/>
          <w:b/>
          <w:sz w:val="22"/>
          <w:szCs w:val="22"/>
        </w:rPr>
        <w:t>lant:</w:t>
      </w:r>
    </w:p>
    <w:p w:rsidR="00765639" w:rsidRPr="00FB1FDE" w:rsidRDefault="00765639" w:rsidP="00F17E3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F17E3E">
        <w:rPr>
          <w:rFonts w:asciiTheme="minorHAnsi" w:hAnsiTheme="minorHAnsi"/>
          <w:b/>
        </w:rPr>
        <w:t>Unit-1</w:t>
      </w:r>
      <w:r w:rsidRPr="00FB1FDE">
        <w:rPr>
          <w:rFonts w:asciiTheme="minorHAnsi" w:hAnsiTheme="minorHAnsi"/>
        </w:rPr>
        <w:t xml:space="preserve"> (2 x GT 30 MW and ST 30 MW).  Made by Hitachi, Japan. Ramp Rate – 5 MW/ Min, Droop setting - ±4%. The power plant was built in 1994 and the capacity of the plant to operate in FGMO should be further assessed.</w:t>
      </w:r>
    </w:p>
    <w:p w:rsidR="00765639" w:rsidRPr="009C1F7B" w:rsidRDefault="00765639" w:rsidP="00F17E3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17E3E">
        <w:rPr>
          <w:rFonts w:asciiTheme="minorHAnsi" w:hAnsiTheme="minorHAnsi"/>
          <w:b/>
        </w:rPr>
        <w:t>Unit-2</w:t>
      </w:r>
      <w:r w:rsidRPr="00FB1FDE">
        <w:rPr>
          <w:rFonts w:asciiTheme="minorHAnsi" w:hAnsiTheme="minorHAnsi"/>
          <w:b/>
          <w:i/>
        </w:rPr>
        <w:t xml:space="preserve"> </w:t>
      </w:r>
      <w:r w:rsidRPr="00FB1FDE">
        <w:rPr>
          <w:rFonts w:asciiTheme="minorHAnsi" w:hAnsiTheme="minorHAnsi"/>
        </w:rPr>
        <w:t xml:space="preserve">(2 x GT 30 MW and ST 30 MW). </w:t>
      </w:r>
      <w:proofErr w:type="spellStart"/>
      <w:r w:rsidRPr="00FB1FDE">
        <w:rPr>
          <w:rFonts w:asciiTheme="minorHAnsi" w:hAnsiTheme="minorHAnsi"/>
        </w:rPr>
        <w:t>Manf</w:t>
      </w:r>
      <w:proofErr w:type="spellEnd"/>
      <w:r w:rsidRPr="00FB1FDE">
        <w:rPr>
          <w:rFonts w:asciiTheme="minorHAnsi" w:hAnsiTheme="minorHAnsi"/>
        </w:rPr>
        <w:t xml:space="preserve">. of GT – General Electric, ST – Nanjing, China. Ramp Rate – 5 MW/ Min, Droop setting - ±4%. </w:t>
      </w:r>
      <w:r w:rsidRPr="009C1F7B">
        <w:rPr>
          <w:rFonts w:asciiTheme="minorHAnsi" w:hAnsiTheme="minorHAnsi"/>
          <w:u w:val="single"/>
        </w:rPr>
        <w:t>The capacity of the plant to operate in FGMO should be further assessed.</w:t>
      </w:r>
    </w:p>
    <w:p w:rsidR="00F17E3E" w:rsidRPr="00F17E3E" w:rsidRDefault="00F17E3E" w:rsidP="00F17E3E">
      <w:pPr>
        <w:spacing w:after="0" w:line="240" w:lineRule="auto"/>
        <w:jc w:val="both"/>
      </w:pPr>
    </w:p>
    <w:p w:rsidR="00765639" w:rsidRPr="00F17E3E" w:rsidRDefault="00765639" w:rsidP="00F17E3E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17E3E">
        <w:rPr>
          <w:rFonts w:asciiTheme="minorHAnsi" w:hAnsiTheme="minorHAnsi"/>
          <w:b/>
          <w:sz w:val="22"/>
          <w:szCs w:val="22"/>
        </w:rPr>
        <w:t xml:space="preserve">BPDB </w:t>
      </w:r>
      <w:proofErr w:type="spellStart"/>
      <w:r w:rsidRPr="00F17E3E">
        <w:rPr>
          <w:rFonts w:asciiTheme="minorHAnsi" w:hAnsiTheme="minorHAnsi"/>
          <w:b/>
          <w:sz w:val="22"/>
          <w:szCs w:val="22"/>
        </w:rPr>
        <w:t>Shajibazar</w:t>
      </w:r>
      <w:proofErr w:type="spellEnd"/>
      <w:r w:rsidRPr="00F17E3E">
        <w:rPr>
          <w:rFonts w:asciiTheme="minorHAnsi" w:hAnsiTheme="minorHAnsi"/>
          <w:b/>
          <w:sz w:val="22"/>
          <w:szCs w:val="22"/>
        </w:rPr>
        <w:t xml:space="preserve"> 330 MW </w:t>
      </w:r>
      <w:r w:rsidR="0084465B">
        <w:rPr>
          <w:rFonts w:asciiTheme="minorHAnsi" w:hAnsiTheme="minorHAnsi"/>
          <w:b/>
          <w:sz w:val="22"/>
          <w:szCs w:val="22"/>
        </w:rPr>
        <w:t>P</w:t>
      </w:r>
      <w:r w:rsidRPr="00F17E3E">
        <w:rPr>
          <w:rFonts w:asciiTheme="minorHAnsi" w:hAnsiTheme="minorHAnsi"/>
          <w:b/>
          <w:sz w:val="22"/>
          <w:szCs w:val="22"/>
        </w:rPr>
        <w:t xml:space="preserve">ower </w:t>
      </w:r>
      <w:r w:rsidR="0084465B">
        <w:rPr>
          <w:rFonts w:asciiTheme="minorHAnsi" w:hAnsiTheme="minorHAnsi"/>
          <w:b/>
          <w:sz w:val="22"/>
          <w:szCs w:val="22"/>
        </w:rPr>
        <w:t>P</w:t>
      </w:r>
      <w:r w:rsidRPr="00F17E3E">
        <w:rPr>
          <w:rFonts w:asciiTheme="minorHAnsi" w:hAnsiTheme="minorHAnsi"/>
          <w:b/>
          <w:sz w:val="22"/>
          <w:szCs w:val="22"/>
        </w:rPr>
        <w:t>lant</w:t>
      </w:r>
      <w:r w:rsidR="00C96F82" w:rsidRPr="00F17E3E">
        <w:rPr>
          <w:rFonts w:asciiTheme="minorHAnsi" w:hAnsiTheme="minorHAnsi"/>
          <w:b/>
          <w:sz w:val="22"/>
          <w:szCs w:val="22"/>
        </w:rPr>
        <w:t>:</w:t>
      </w:r>
      <w:r w:rsidRPr="00F17E3E">
        <w:rPr>
          <w:rFonts w:asciiTheme="minorHAnsi" w:hAnsiTheme="minorHAnsi"/>
          <w:sz w:val="22"/>
          <w:szCs w:val="22"/>
        </w:rPr>
        <w:t xml:space="preserve"> </w:t>
      </w:r>
    </w:p>
    <w:p w:rsidR="00765639" w:rsidRPr="00FB1FDE" w:rsidRDefault="00765639" w:rsidP="00F17E3E">
      <w:pPr>
        <w:pStyle w:val="ListParagraph"/>
        <w:jc w:val="both"/>
        <w:rPr>
          <w:rFonts w:asciiTheme="minorHAnsi" w:hAnsiTheme="minorHAnsi"/>
        </w:rPr>
      </w:pPr>
    </w:p>
    <w:p w:rsidR="00765639" w:rsidRPr="00FB1FDE" w:rsidRDefault="0063736F" w:rsidP="00F17E3E">
      <w:pPr>
        <w:pStyle w:val="ListParagraph"/>
        <w:ind w:left="360"/>
        <w:jc w:val="both"/>
        <w:rPr>
          <w:rFonts w:asciiTheme="minorHAnsi" w:hAnsiTheme="minorHAnsi"/>
        </w:rPr>
      </w:pPr>
      <w:r w:rsidRPr="00FB1FDE">
        <w:rPr>
          <w:rFonts w:asciiTheme="minorHAnsi" w:hAnsiTheme="minorHAnsi"/>
        </w:rPr>
        <w:t xml:space="preserve">The plant is comprised of </w:t>
      </w:r>
      <w:r w:rsidR="00765639" w:rsidRPr="00FB1FDE">
        <w:rPr>
          <w:rFonts w:asciiTheme="minorHAnsi" w:hAnsiTheme="minorHAnsi"/>
        </w:rPr>
        <w:t xml:space="preserve">2 </w:t>
      </w:r>
      <w:r w:rsidRPr="00FB1FDE">
        <w:rPr>
          <w:rFonts w:asciiTheme="minorHAnsi" w:hAnsiTheme="minorHAnsi"/>
        </w:rPr>
        <w:t xml:space="preserve">Gas Turbines each </w:t>
      </w:r>
      <w:r w:rsidR="00765639" w:rsidRPr="00FB1FDE">
        <w:rPr>
          <w:rFonts w:asciiTheme="minorHAnsi" w:hAnsiTheme="minorHAnsi"/>
        </w:rPr>
        <w:t xml:space="preserve">110 MW </w:t>
      </w:r>
      <w:r w:rsidRPr="00FB1FDE">
        <w:rPr>
          <w:rFonts w:asciiTheme="minorHAnsi" w:hAnsiTheme="minorHAnsi"/>
        </w:rPr>
        <w:t xml:space="preserve">and one </w:t>
      </w:r>
      <w:r w:rsidR="00765639" w:rsidRPr="00FB1FDE">
        <w:rPr>
          <w:rFonts w:asciiTheme="minorHAnsi" w:hAnsiTheme="minorHAnsi"/>
        </w:rPr>
        <w:t>ST</w:t>
      </w:r>
      <w:r w:rsidRPr="00FB1FDE">
        <w:rPr>
          <w:rFonts w:asciiTheme="minorHAnsi" w:hAnsiTheme="minorHAnsi"/>
        </w:rPr>
        <w:t xml:space="preserve"> with </w:t>
      </w:r>
      <w:r w:rsidR="00765639" w:rsidRPr="00FB1FDE">
        <w:rPr>
          <w:rFonts w:asciiTheme="minorHAnsi" w:hAnsiTheme="minorHAnsi"/>
        </w:rPr>
        <w:t>11O MW</w:t>
      </w:r>
      <w:r w:rsidR="0084465B">
        <w:rPr>
          <w:rFonts w:asciiTheme="minorHAnsi" w:hAnsiTheme="minorHAnsi"/>
        </w:rPr>
        <w:t>.</w:t>
      </w:r>
      <w:r w:rsidR="00765639" w:rsidRPr="00FB1FDE">
        <w:rPr>
          <w:rFonts w:asciiTheme="minorHAnsi" w:hAnsiTheme="minorHAnsi"/>
        </w:rPr>
        <w:t xml:space="preserve"> </w:t>
      </w:r>
      <w:r w:rsidR="00765639" w:rsidRPr="0084465B">
        <w:rPr>
          <w:rFonts w:asciiTheme="minorHAnsi" w:hAnsiTheme="minorHAnsi"/>
          <w:u w:val="single"/>
        </w:rPr>
        <w:t>The plant is new and has FGMO capabilities.</w:t>
      </w:r>
      <w:r w:rsidR="00765639" w:rsidRPr="00FB1FDE">
        <w:rPr>
          <w:rFonts w:asciiTheme="minorHAnsi" w:hAnsiTheme="minorHAnsi"/>
        </w:rPr>
        <w:t xml:space="preserve"> The warranty period is not yet over and this is the time that FGMO mode can be made functional by the Contractor</w:t>
      </w:r>
      <w:r w:rsidR="009C1F7B">
        <w:rPr>
          <w:rFonts w:asciiTheme="minorHAnsi" w:hAnsiTheme="minorHAnsi"/>
        </w:rPr>
        <w:t xml:space="preserve">. </w:t>
      </w:r>
      <w:r w:rsidRPr="00FB1FDE">
        <w:rPr>
          <w:rFonts w:asciiTheme="minorHAnsi" w:hAnsiTheme="minorHAnsi"/>
        </w:rPr>
        <w:t xml:space="preserve">BPDB </w:t>
      </w:r>
      <w:r w:rsidR="009C1F7B">
        <w:rPr>
          <w:rFonts w:asciiTheme="minorHAnsi" w:hAnsiTheme="minorHAnsi"/>
        </w:rPr>
        <w:t xml:space="preserve">is </w:t>
      </w:r>
      <w:bookmarkStart w:id="0" w:name="_GoBack"/>
      <w:bookmarkEnd w:id="0"/>
      <w:r w:rsidRPr="00FB1FDE">
        <w:rPr>
          <w:rFonts w:asciiTheme="minorHAnsi" w:hAnsiTheme="minorHAnsi"/>
        </w:rPr>
        <w:t>to take necessary steps in this regard.</w:t>
      </w:r>
    </w:p>
    <w:p w:rsidR="00F9285B" w:rsidRPr="00FB1FDE" w:rsidRDefault="00F9285B" w:rsidP="00F17E3E">
      <w:pPr>
        <w:spacing w:after="0" w:line="240" w:lineRule="auto"/>
      </w:pPr>
    </w:p>
    <w:sectPr w:rsidR="00F9285B" w:rsidRPr="00FB1FDE" w:rsidSect="0084465B">
      <w:headerReference w:type="default" r:id="rId8"/>
      <w:pgSz w:w="11906" w:h="16838" w:code="9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44" w:rsidRDefault="005C6B44" w:rsidP="00765639">
      <w:pPr>
        <w:spacing w:after="0" w:line="240" w:lineRule="auto"/>
      </w:pPr>
      <w:r>
        <w:separator/>
      </w:r>
    </w:p>
  </w:endnote>
  <w:endnote w:type="continuationSeparator" w:id="0">
    <w:p w:rsidR="005C6B44" w:rsidRDefault="005C6B44" w:rsidP="0076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44" w:rsidRDefault="005C6B44" w:rsidP="00765639">
      <w:pPr>
        <w:spacing w:after="0" w:line="240" w:lineRule="auto"/>
      </w:pPr>
      <w:r>
        <w:separator/>
      </w:r>
    </w:p>
  </w:footnote>
  <w:footnote w:type="continuationSeparator" w:id="0">
    <w:p w:rsidR="005C6B44" w:rsidRDefault="005C6B44" w:rsidP="0076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39" w:rsidRPr="00765639" w:rsidRDefault="00765639" w:rsidP="00EF4EEA">
    <w:pPr>
      <w:pStyle w:val="Header"/>
      <w:tabs>
        <w:tab w:val="clear" w:pos="4513"/>
        <w:tab w:val="clear" w:pos="9026"/>
      </w:tabs>
      <w:ind w:left="7200"/>
      <w:rPr>
        <w:sz w:val="24"/>
        <w:szCs w:val="24"/>
        <w:u w:val="single"/>
      </w:rPr>
    </w:pPr>
  </w:p>
  <w:p w:rsidR="00765639" w:rsidRDefault="00765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10E4"/>
    <w:multiLevelType w:val="hybridMultilevel"/>
    <w:tmpl w:val="3626C0A8"/>
    <w:lvl w:ilvl="0" w:tplc="D1DA39C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22D77"/>
    <w:multiLevelType w:val="hybridMultilevel"/>
    <w:tmpl w:val="62F0FC80"/>
    <w:lvl w:ilvl="0" w:tplc="3D60D6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B7166"/>
    <w:multiLevelType w:val="hybridMultilevel"/>
    <w:tmpl w:val="316E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7839"/>
    <w:multiLevelType w:val="hybridMultilevel"/>
    <w:tmpl w:val="23B64EF8"/>
    <w:lvl w:ilvl="0" w:tplc="562C5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55833"/>
    <w:multiLevelType w:val="hybridMultilevel"/>
    <w:tmpl w:val="3626C0A8"/>
    <w:lvl w:ilvl="0" w:tplc="D1DA39C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39"/>
    <w:rsid w:val="00130BAA"/>
    <w:rsid w:val="00195FB3"/>
    <w:rsid w:val="001B2745"/>
    <w:rsid w:val="00200B4D"/>
    <w:rsid w:val="00272755"/>
    <w:rsid w:val="002769DA"/>
    <w:rsid w:val="00496C2A"/>
    <w:rsid w:val="005B0D61"/>
    <w:rsid w:val="005C6B44"/>
    <w:rsid w:val="00623735"/>
    <w:rsid w:val="0063736F"/>
    <w:rsid w:val="006B12AD"/>
    <w:rsid w:val="00765639"/>
    <w:rsid w:val="0084465B"/>
    <w:rsid w:val="00957437"/>
    <w:rsid w:val="009C1F7B"/>
    <w:rsid w:val="00BC7A55"/>
    <w:rsid w:val="00C96F82"/>
    <w:rsid w:val="00CF2753"/>
    <w:rsid w:val="00E0199A"/>
    <w:rsid w:val="00EF4EEA"/>
    <w:rsid w:val="00F17E3E"/>
    <w:rsid w:val="00F9285B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722A"/>
  <w15:docId w15:val="{25837182-D2BE-4056-BD6C-0FE9F33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1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639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NoSpacing">
    <w:name w:val="No Spacing"/>
    <w:uiPriority w:val="1"/>
    <w:qFormat/>
    <w:rsid w:val="0076563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76563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5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39"/>
  </w:style>
  <w:style w:type="paragraph" w:styleId="Footer">
    <w:name w:val="footer"/>
    <w:basedOn w:val="Normal"/>
    <w:link w:val="FooterChar"/>
    <w:uiPriority w:val="99"/>
    <w:unhideWhenUsed/>
    <w:rsid w:val="00765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39"/>
  </w:style>
  <w:style w:type="paragraph" w:styleId="BalloonText">
    <w:name w:val="Balloon Text"/>
    <w:basedOn w:val="Normal"/>
    <w:link w:val="BalloonTextChar"/>
    <w:uiPriority w:val="99"/>
    <w:semiHidden/>
    <w:unhideWhenUsed/>
    <w:rsid w:val="0076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OpsProjectDoc" ma:contentTypeID="0x01010054E0FEF4951F9D49A6F48A35419983C70078A73B6D5A98AF47BAD93826BAA903DF" ma:contentTypeVersion="48" ma:contentTypeDescription="" ma:contentTypeScope="" ma:versionID="97595bcfd6aab1cc407caffae166fd23">
  <xsd:schema xmlns:xsd="http://www.w3.org/2001/XMLSchema" xmlns:xs="http://www.w3.org/2001/XMLSchema" xmlns:p="http://schemas.microsoft.com/office/2006/metadata/properties" xmlns:ns2="b99a068c-3844-4a16-badd-77233eea0529" targetNamespace="http://schemas.microsoft.com/office/2006/metadata/properties" ma:root="true" ma:fieldsID="63aafc430761f3491fc541dd8ea3c65c" ns2:_="">
    <xsd:import namespace="b99a068c-3844-4a16-badd-77233eea0529"/>
    <xsd:element name="properties">
      <xsd:complexType>
        <xsd:sequence>
          <xsd:element name="documentManagement">
            <xsd:complexType>
              <xsd:all>
                <xsd:element ref="ns2:ProjectID" minOccurs="0"/>
                <xsd:element ref="ns2:Stage" minOccurs="0"/>
                <xsd:element ref="ns2:Package" minOccurs="0"/>
                <xsd:element ref="ns2:DocumentType" minOccurs="0"/>
                <xsd:element ref="ns2:SortOrder" minOccurs="0"/>
                <xsd:element ref="ns2:AttachmentType" minOccurs="0"/>
                <xsd:element ref="ns2:Abstract" minOccurs="0"/>
                <xsd:element ref="ns2:SecurityClassification" minOccurs="0"/>
                <xsd:element ref="ns2:Cordis_x0020_ID" minOccurs="0"/>
                <xsd:element ref="ns2:Task_x0020_ID" minOccurs="0"/>
                <xsd:element ref="ns2:DependentDoc" minOccurs="0"/>
                <xsd:element ref="ns2:DeliverableID" minOccurs="0"/>
                <xsd:element ref="ns2:RefreshDate" minOccurs="0"/>
                <xsd:element ref="ns2:DocStatus" minOccurs="0"/>
                <xsd:element ref="ns2:ApprovedVersion" minOccurs="0"/>
                <xsd:element ref="ns2:DisclosedVersion" minOccurs="0"/>
                <xsd:element ref="ns2:HasUserUploaded" minOccurs="0"/>
                <xsd:element ref="ns2:IsMandatory" minOccurs="0"/>
                <xsd:element ref="ns2:IsTemplate" minOccurs="0"/>
                <xsd:element ref="ns2:SAPStage" minOccurs="0"/>
                <xsd:element ref="ns2:Authors" minOccurs="0"/>
                <xsd:element ref="ns2:DocAuthors" minOccurs="0"/>
                <xsd:element ref="ns2:DocumentDate" minOccurs="0"/>
                <xsd:element ref="ns2:PolicyExceptions" minOccurs="0"/>
                <xsd:element ref="ns2:WBDocType" minOccurs="0"/>
                <xsd:element ref="ns2:LockStatus" minOccurs="0"/>
                <xsd:element ref="ns2:DocumentAction" minOccurs="0"/>
                <xsd:element ref="ns2:IsHidden" minOccurs="0"/>
                <xsd:element ref="ns2:TemplateDocVersion" minOccurs="0"/>
                <xsd:element ref="ns2:Sequence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a068c-3844-4a16-badd-77233eea0529" elementFormDefault="qualified">
    <xsd:import namespace="http://schemas.microsoft.com/office/2006/documentManagement/types"/>
    <xsd:import namespace="http://schemas.microsoft.com/office/infopath/2007/PartnerControls"/>
    <xsd:element name="ProjectID" ma:index="8" nillable="true" ma:displayName="ProjectID" ma:internalName="ProjectID">
      <xsd:simpleType>
        <xsd:restriction base="dms:Text">
          <xsd:maxLength value="255"/>
        </xsd:restriction>
      </xsd:simpleType>
    </xsd:element>
    <xsd:element name="Stage" ma:index="9" nillable="true" ma:displayName="Stage" ma:internalName="Stage">
      <xsd:simpleType>
        <xsd:restriction base="dms:Text">
          <xsd:maxLength value="255"/>
        </xsd:restriction>
      </xsd:simpleType>
    </xsd:element>
    <xsd:element name="Package" ma:index="10" nillable="true" ma:displayName="Package" ma:default="1" ma:internalName="Package">
      <xsd:simpleType>
        <xsd:restriction base="dms:Boolean"/>
      </xsd:simpleType>
    </xsd:element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  <xsd:element name="SortOrder" ma:index="12" nillable="true" ma:displayName="SortOrder" ma:internalName="SortOrder">
      <xsd:simpleType>
        <xsd:restriction base="dms:Number"/>
      </xsd:simpleType>
    </xsd:element>
    <xsd:element name="AttachmentType" ma:index="13" nillable="true" ma:displayName="AttachmentType" ma:internalName="AttachmentType">
      <xsd:simpleType>
        <xsd:restriction base="dms:Text">
          <xsd:maxLength value="255"/>
        </xsd:restriction>
      </xsd:simpleType>
    </xsd:element>
    <xsd:element name="Abstract" ma:index="14" nillable="true" ma:displayName="Abstract" ma:internalName="Abstract">
      <xsd:simpleType>
        <xsd:restriction base="dms:Note"/>
      </xsd:simpleType>
    </xsd:element>
    <xsd:element name="SecurityClassification" ma:index="15" nillable="true" ma:displayName="SecurityClassification" ma:format="Dropdown" ma:internalName="SecurityClassification">
      <xsd:simpleType>
        <xsd:restriction base="dms:Choice">
          <xsd:enumeration value="Official use only"/>
          <xsd:enumeration value="Public"/>
        </xsd:restriction>
      </xsd:simpleType>
    </xsd:element>
    <xsd:element name="Cordis_x0020_ID" ma:index="16" nillable="true" ma:displayName="Cordis ID" ma:internalName="Cordis_x0020_ID">
      <xsd:simpleType>
        <xsd:restriction base="dms:Note"/>
      </xsd:simpleType>
    </xsd:element>
    <xsd:element name="Task_x0020_ID" ma:index="17" nillable="true" ma:displayName="Task ID" ma:internalName="Task_x0020_ID">
      <xsd:simpleType>
        <xsd:restriction base="dms:Note"/>
      </xsd:simpleType>
    </xsd:element>
    <xsd:element name="DependentDoc" ma:index="18" nillable="true" ma:displayName="DependentDoc" ma:internalName="DependentDoc">
      <xsd:simpleType>
        <xsd:restriction base="dms:Note"/>
      </xsd:simpleType>
    </xsd:element>
    <xsd:element name="DeliverableID" ma:index="19" nillable="true" ma:displayName="DeliverableID" ma:internalName="DeliverableID">
      <xsd:simpleType>
        <xsd:restriction base="dms:Note"/>
      </xsd:simpleType>
    </xsd:element>
    <xsd:element name="RefreshDate" ma:index="20" nillable="true" ma:displayName="RefreshDate" ma:format="DateTime" ma:internalName="RefreshDate">
      <xsd:simpleType>
        <xsd:restriction base="dms:DateTime"/>
      </xsd:simpleType>
    </xsd:element>
    <xsd:element name="DocStatus" ma:index="21" nillable="true" ma:displayName="DocStatus" ma:internalName="DocStatus">
      <xsd:simpleType>
        <xsd:restriction base="dms:Text">
          <xsd:maxLength value="255"/>
        </xsd:restriction>
      </xsd:simpleType>
    </xsd:element>
    <xsd:element name="ApprovedVersion" ma:index="22" nillable="true" ma:displayName="ApprovedVersion" ma:internalName="ApprovedVersion">
      <xsd:simpleType>
        <xsd:restriction base="dms:Text">
          <xsd:maxLength value="255"/>
        </xsd:restriction>
      </xsd:simpleType>
    </xsd:element>
    <xsd:element name="DisclosedVersion" ma:index="23" nillable="true" ma:displayName="DisclosedVersion" ma:internalName="DisclosedVersion">
      <xsd:simpleType>
        <xsd:restriction base="dms:Note"/>
      </xsd:simpleType>
    </xsd:element>
    <xsd:element name="HasUserUploaded" ma:index="24" nillable="true" ma:displayName="HasUserUploaded" ma:default="0" ma:internalName="HasUserUploaded">
      <xsd:simpleType>
        <xsd:restriction base="dms:Boolean"/>
      </xsd:simpleType>
    </xsd:element>
    <xsd:element name="IsMandatory" ma:index="25" nillable="true" ma:displayName="IsMandatory" ma:default="0" ma:internalName="IsMandatory">
      <xsd:simpleType>
        <xsd:restriction base="dms:Boolean"/>
      </xsd:simpleType>
    </xsd:element>
    <xsd:element name="IsTemplate" ma:index="26" nillable="true" ma:displayName="IsTemplate" ma:default="0" ma:internalName="IsTemplate">
      <xsd:simpleType>
        <xsd:restriction base="dms:Boolean"/>
      </xsd:simpleType>
    </xsd:element>
    <xsd:element name="SAPStage" ma:index="27" nillable="true" ma:displayName="SAPStage" ma:internalName="SAPStage">
      <xsd:simpleType>
        <xsd:restriction base="dms:Text">
          <xsd:maxLength value="255"/>
        </xsd:restriction>
      </xsd:simpleType>
    </xsd:element>
    <xsd:element name="Authors" ma:index="28" nillable="true" ma:displayName="Authors" ma:list="UserInfo" ma:SharePointGroup="0" ma:internalName="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Authors" ma:index="29" nillable="true" ma:displayName="DocAuthors" ma:internalName="DocAuthors">
      <xsd:simpleType>
        <xsd:restriction base="dms:Note">
          <xsd:maxLength value="255"/>
        </xsd:restriction>
      </xsd:simpleType>
    </xsd:element>
    <xsd:element name="DocumentDate" ma:index="30" nillable="true" ma:displayName="DocumentDate" ma:format="DateOnly" ma:internalName="DocumentDate">
      <xsd:simpleType>
        <xsd:restriction base="dms:DateTime"/>
      </xsd:simpleType>
    </xsd:element>
    <xsd:element name="PolicyExceptions" ma:index="31" nillable="true" ma:displayName="PolicyExceptions" ma:internalName="PolicyExceptions">
      <xsd:simpleType>
        <xsd:restriction base="dms:Note">
          <xsd:maxLength value="255"/>
        </xsd:restriction>
      </xsd:simpleType>
    </xsd:element>
    <xsd:element name="WBDocType" ma:index="32" nillable="true" ma:displayName="WBDocType" ma:internalName="WBDocType">
      <xsd:simpleType>
        <xsd:restriction base="dms:Text">
          <xsd:maxLength value="255"/>
        </xsd:restriction>
      </xsd:simpleType>
    </xsd:element>
    <xsd:element name="LockStatus" ma:index="33" nillable="true" ma:displayName="LockStatus" ma:internalName="LockStatus">
      <xsd:simpleType>
        <xsd:restriction base="dms:Text">
          <xsd:maxLength value="255"/>
        </xsd:restriction>
      </xsd:simpleType>
    </xsd:element>
    <xsd:element name="DocumentAction" ma:index="34" nillable="true" ma:displayName="DocumentAction" ma:internalName="DocumentAction">
      <xsd:simpleType>
        <xsd:restriction base="dms:Text">
          <xsd:maxLength value="255"/>
        </xsd:restriction>
      </xsd:simpleType>
    </xsd:element>
    <xsd:element name="IsHidden" ma:index="35" nillable="true" ma:displayName="IsHidden" ma:default="0" ma:internalName="IsHidden" ma:readOnly="false">
      <xsd:simpleType>
        <xsd:restriction base="dms:Boolean"/>
      </xsd:simpleType>
    </xsd:element>
    <xsd:element name="TemplateDocVersion" ma:index="36" nillable="true" ma:displayName="TemplateDocVersion" ma:internalName="TemplateDocVersion">
      <xsd:simpleType>
        <xsd:restriction base="dms:Text">
          <xsd:maxLength value="255"/>
        </xsd:restriction>
      </xsd:simpleType>
    </xsd:element>
    <xsd:element name="SequenceNum" ma:index="37" nillable="true" ma:displayName="SequenceNum" ma:internalName="SequenceNu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Authors xmlns="b99a068c-3844-4a16-badd-77233eea0529">000163352:M. Iqbal:miqbal@worldbank.org;</DocAuthors>
    <Authors xmlns="b99a068c-3844-4a16-badd-77233eea0529">
      <UserInfo>
        <DisplayName>i:0#.w|wb\wb163352</DisplayName>
        <AccountId>575</AccountId>
        <AccountType/>
      </UserInfo>
      <UserInfo>
        <DisplayName/>
        <AccountId xsi:nil="true"/>
        <AccountType/>
      </UserInfo>
    </Authors>
    <Cordis_x0020_ID xmlns="b99a068c-3844-4a16-badd-77233eea0529">ITM00267</Cordis_x0020_ID>
    <Stage xmlns="b99a068c-3844-4a16-badd-77233eea0529">IMP</Stage>
    <PolicyExceptions xmlns="b99a068c-3844-4a16-badd-77233eea0529" xsi:nil="true"/>
    <IsTemplate xmlns="b99a068c-3844-4a16-badd-77233eea0529">false</IsTemplate>
    <HasUserUploaded xmlns="b99a068c-3844-4a16-badd-77233eea0529">true</HasUserUploaded>
    <DocumentDate xmlns="b99a068c-3844-4a16-badd-77233eea0529">2017-07-20T04:00:00+00:00</DocumentDate>
    <WBDocType xmlns="b99a068c-3844-4a16-badd-77233eea0529">Aide Memoire</WBDocType>
    <SecurityClassification xmlns="b99a068c-3844-4a16-badd-77233eea0529">Public</SecurityClassification>
    <DeliverableID xmlns="b99a068c-3844-4a16-badd-77233eea0529" xsi:nil="true"/>
    <ProjectID xmlns="b99a068c-3844-4a16-badd-77233eea0529">P159807</ProjectID>
    <Task_x0020_ID xmlns="b99a068c-3844-4a16-badd-77233eea0529">TSK5862583</Task_x0020_ID>
    <Package xmlns="b99a068c-3844-4a16-badd-77233eea0529">true</Package>
    <TemplateDocVersion xmlns="b99a068c-3844-4a16-badd-77233eea0529" xsi:nil="true"/>
    <SequenceNum xmlns="b99a068c-3844-4a16-badd-77233eea0529" xsi:nil="true"/>
    <RefreshDate xmlns="b99a068c-3844-4a16-badd-77233eea0529" xsi:nil="true"/>
    <IsMandatory xmlns="b99a068c-3844-4a16-badd-77233eea0529">false</IsMandatory>
    <SortOrder xmlns="b99a068c-3844-4a16-badd-77233eea0529" xsi:nil="true"/>
    <IsHidden xmlns="b99a068c-3844-4a16-badd-77233eea0529">false</IsHidden>
    <AttachmentType xmlns="b99a068c-3844-4a16-badd-77233eea0529" xsi:nil="true"/>
    <DisclosedVersion xmlns="b99a068c-3844-4a16-badd-77233eea0529" xsi:nil="true"/>
    <DocumentType xmlns="b99a068c-3844-4a16-badd-77233eea0529" xsi:nil="true"/>
    <ApprovedVersion xmlns="b99a068c-3844-4a16-badd-77233eea0529" xsi:nil="true"/>
    <DocStatus xmlns="b99a068c-3844-4a16-badd-77233eea0529" xsi:nil="true"/>
    <DependentDoc xmlns="b99a068c-3844-4a16-badd-77233eea0529" xsi:nil="true"/>
    <SAPStage xmlns="b99a068c-3844-4a16-badd-77233eea0529" xsi:nil="true"/>
    <LockStatus xmlns="b99a068c-3844-4a16-badd-77233eea0529" xsi:nil="true"/>
    <Abstract xmlns="b99a068c-3844-4a16-badd-77233eea0529" xsi:nil="true"/>
    <DocumentAction xmlns="b99a068c-3844-4a16-badd-77233eea0529" xsi:nil="true"/>
  </documentManagement>
</p:properties>
</file>

<file path=customXml/item5.xml><?xml version="1.0" encoding="utf-8"?>
<?mso-contentType ?>
<SharedContentType xmlns="Microsoft.SharePoint.Taxonomy.ContentTypeSync" SourceId="a4117c50-33ca-4e49-9a5c-4b51d291b3ff" ContentTypeId="0x01010054E0FEF4951F9D49A6F48A35419983C7" PreviousValue="false"/>
</file>

<file path=customXml/itemProps1.xml><?xml version="1.0" encoding="utf-8"?>
<ds:datastoreItem xmlns:ds="http://schemas.openxmlformats.org/officeDocument/2006/customXml" ds:itemID="{BDC32E23-CFE8-4DB7-91E8-E03F9C579DA6}"/>
</file>

<file path=customXml/itemProps2.xml><?xml version="1.0" encoding="utf-8"?>
<ds:datastoreItem xmlns:ds="http://schemas.openxmlformats.org/officeDocument/2006/customXml" ds:itemID="{2AB16E59-1E7F-4BAD-BE18-4726AD69178A}"/>
</file>

<file path=customXml/itemProps3.xml><?xml version="1.0" encoding="utf-8"?>
<ds:datastoreItem xmlns:ds="http://schemas.openxmlformats.org/officeDocument/2006/customXml" ds:itemID="{2F53FFB1-0DB0-48C2-9865-1209A8433194}"/>
</file>

<file path=customXml/itemProps4.xml><?xml version="1.0" encoding="utf-8"?>
<ds:datastoreItem xmlns:ds="http://schemas.openxmlformats.org/officeDocument/2006/customXml" ds:itemID="{E9A94856-698E-4FCA-B465-DC35D7724EF5}"/>
</file>

<file path=customXml/itemProps5.xml><?xml version="1.0" encoding="utf-8"?>
<ds:datastoreItem xmlns:ds="http://schemas.openxmlformats.org/officeDocument/2006/customXml" ds:itemID="{5CB26BCA-3ED5-4758-A327-41F8FC702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to Power Plants May 18 </dc:title>
  <dc:subject/>
  <dc:creator>p_k_r</dc:creator>
  <cp:keywords/>
  <dc:description/>
  <cp:lastModifiedBy>M. Iqbal</cp:lastModifiedBy>
  <cp:revision>3</cp:revision>
  <dcterms:created xsi:type="dcterms:W3CDTF">2017-06-04T09:32:00Z</dcterms:created>
  <dcterms:modified xsi:type="dcterms:W3CDTF">2017-06-04T09:36:00Z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0x01010054E0FEF4951F9D49A6F48A35419983C70078A73B6D5A98AF47BAD93826BAA903DF</vt:lpwstr>
  </property>
  <property fmtid="{D5CDD505-2E9C-101B-9397-08002B2CF9AE}" pid="5" name="RatedBy">
    <vt:lpwstr/>
  </property>
  <property fmtid="{D5CDD505-2E9C-101B-9397-08002B2CF9AE}" pid="7" name="LikedBy">
    <vt:lpwstr/>
  </property>
</Properties>
</file>