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85A" w:rsidRDefault="00A1042F" w:rsidP="004B2CBD">
      <w:pPr>
        <w:ind w:left="-240" w:right="-245"/>
      </w:pPr>
      <w:r>
        <w:rPr>
          <w:noProof/>
          <w:sz w:val="32"/>
          <w:szCs w:val="32"/>
        </w:rPr>
        <w:drawing>
          <wp:inline distT="0" distB="0" distL="0" distR="0">
            <wp:extent cx="7772400" cy="10058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772400" cy="10058400"/>
                    </a:xfrm>
                    <a:prstGeom prst="rect">
                      <a:avLst/>
                    </a:prstGeom>
                    <a:noFill/>
                    <a:ln w="9525">
                      <a:noFill/>
                      <a:miter lim="800000"/>
                      <a:headEnd/>
                      <a:tailEnd/>
                    </a:ln>
                  </pic:spPr>
                </pic:pic>
              </a:graphicData>
            </a:graphic>
          </wp:inline>
        </w:drawing>
      </w:r>
    </w:p>
    <w:p w:rsidR="0060585A" w:rsidRDefault="0060585A">
      <w:pPr>
        <w:spacing w:after="200" w:line="276" w:lineRule="auto"/>
        <w:jc w:val="left"/>
        <w:rPr>
          <w:rFonts w:ascii="Batang" w:eastAsia="Batang" w:hAnsi="Batang"/>
          <w:b/>
          <w:smallCaps/>
          <w:color w:val="000000"/>
          <w:sz w:val="48"/>
          <w:szCs w:val="72"/>
        </w:rPr>
      </w:pPr>
      <w:r>
        <w:rPr>
          <w:rFonts w:ascii="Batang" w:eastAsia="Batang" w:hAnsi="Batang"/>
          <w:b/>
          <w:smallCaps/>
          <w:color w:val="000000"/>
          <w:sz w:val="48"/>
          <w:szCs w:val="72"/>
        </w:rPr>
        <w:lastRenderedPageBreak/>
        <w:br w:type="page"/>
      </w:r>
    </w:p>
    <w:p w:rsidR="0060585A" w:rsidRDefault="0060585A">
      <w:pPr>
        <w:spacing w:after="200" w:line="276" w:lineRule="auto"/>
        <w:jc w:val="left"/>
        <w:rPr>
          <w:rFonts w:ascii="Batang" w:eastAsia="Batang" w:hAnsi="Batang"/>
          <w:b/>
          <w:smallCaps/>
          <w:color w:val="000000"/>
          <w:sz w:val="48"/>
          <w:szCs w:val="72"/>
        </w:rPr>
      </w:pPr>
    </w:p>
    <w:p w:rsidR="0060585A" w:rsidRPr="00D10DF0" w:rsidRDefault="0060585A" w:rsidP="00A666F8">
      <w:pPr>
        <w:pStyle w:val="NoSpacing"/>
        <w:ind w:left="720"/>
        <w:jc w:val="center"/>
        <w:rPr>
          <w:rFonts w:ascii="Batang" w:eastAsia="Batang" w:hAnsi="Batang"/>
          <w:b/>
          <w:smallCaps/>
          <w:color w:val="1F497D" w:themeColor="text2"/>
          <w:sz w:val="48"/>
          <w:szCs w:val="72"/>
        </w:rPr>
      </w:pPr>
      <w:r w:rsidRPr="00D10DF0">
        <w:rPr>
          <w:rFonts w:ascii="Batang" w:eastAsia="Batang" w:hAnsi="Batang"/>
          <w:b/>
          <w:smallCaps/>
          <w:color w:val="1F497D" w:themeColor="text2"/>
          <w:sz w:val="48"/>
          <w:szCs w:val="72"/>
        </w:rPr>
        <w:t xml:space="preserve">EU11 Regular Economic Report: </w:t>
      </w:r>
    </w:p>
    <w:p w:rsidR="0060585A" w:rsidRDefault="0060585A" w:rsidP="00A666F8">
      <w:pPr>
        <w:pStyle w:val="NoSpacing"/>
        <w:ind w:left="720"/>
        <w:jc w:val="center"/>
        <w:rPr>
          <w:rFonts w:ascii="Batang" w:eastAsia="Batang" w:hAnsi="Batang"/>
          <w:b/>
          <w:smallCaps/>
          <w:color w:val="000000"/>
          <w:sz w:val="48"/>
          <w:szCs w:val="72"/>
        </w:rPr>
      </w:pPr>
    </w:p>
    <w:p w:rsidR="0060585A" w:rsidRPr="00D10DF0" w:rsidRDefault="0060585A" w:rsidP="00A666F8">
      <w:pPr>
        <w:pStyle w:val="NoSpacing"/>
        <w:ind w:left="720"/>
        <w:jc w:val="center"/>
        <w:rPr>
          <w:rFonts w:ascii="Batang" w:eastAsia="Batang" w:hAnsi="Batang"/>
          <w:b/>
          <w:smallCaps/>
          <w:color w:val="FFC000"/>
          <w:sz w:val="48"/>
          <w:szCs w:val="72"/>
        </w:rPr>
      </w:pPr>
      <w:r w:rsidRPr="00D10DF0">
        <w:rPr>
          <w:rFonts w:ascii="Batang" w:eastAsia="Batang" w:hAnsi="Batang"/>
          <w:b/>
          <w:smallCaps/>
          <w:color w:val="FFC000"/>
          <w:sz w:val="48"/>
          <w:szCs w:val="72"/>
        </w:rPr>
        <w:t>Coping with External Headwinds</w:t>
      </w:r>
    </w:p>
    <w:p w:rsidR="0060585A" w:rsidRDefault="0060585A" w:rsidP="00A666F8">
      <w:pPr>
        <w:pStyle w:val="NoSpacing"/>
        <w:ind w:left="720"/>
        <w:jc w:val="center"/>
        <w:rPr>
          <w:rFonts w:ascii="Batang" w:eastAsia="Batang" w:hAnsi="Batang"/>
          <w:b/>
          <w:smallCaps/>
          <w:color w:val="000000"/>
          <w:sz w:val="48"/>
          <w:szCs w:val="72"/>
        </w:rPr>
      </w:pPr>
    </w:p>
    <w:p w:rsidR="0060585A" w:rsidRDefault="0060585A" w:rsidP="00A666F8">
      <w:pPr>
        <w:pStyle w:val="NoSpacing"/>
        <w:ind w:left="720"/>
        <w:jc w:val="center"/>
        <w:rPr>
          <w:rFonts w:ascii="Batang" w:eastAsia="Batang" w:hAnsi="Batang"/>
          <w:b/>
          <w:smallCaps/>
          <w:color w:val="000000"/>
          <w:sz w:val="48"/>
          <w:szCs w:val="72"/>
        </w:rPr>
      </w:pPr>
    </w:p>
    <w:p w:rsidR="0060585A" w:rsidRPr="00D10DF0" w:rsidRDefault="0060585A" w:rsidP="00A666F8">
      <w:pPr>
        <w:pStyle w:val="NoSpacing"/>
        <w:jc w:val="center"/>
        <w:rPr>
          <w:rFonts w:ascii="Batang" w:eastAsia="Batang" w:hAnsi="Batang"/>
          <w:b/>
          <w:smallCaps/>
          <w:color w:val="1F497D" w:themeColor="text2"/>
          <w:sz w:val="48"/>
          <w:szCs w:val="72"/>
        </w:rPr>
      </w:pPr>
      <w:r w:rsidRPr="00D10DF0">
        <w:rPr>
          <w:rFonts w:ascii="Batang" w:eastAsia="Batang" w:hAnsi="Batang"/>
          <w:b/>
          <w:smallCaps/>
          <w:color w:val="1F497D" w:themeColor="text2"/>
          <w:sz w:val="48"/>
          <w:szCs w:val="72"/>
        </w:rPr>
        <w:t>Special Topic:</w:t>
      </w:r>
    </w:p>
    <w:p w:rsidR="0060585A" w:rsidRDefault="0060585A" w:rsidP="00A666F8">
      <w:pPr>
        <w:pStyle w:val="NoSpacing"/>
        <w:jc w:val="center"/>
        <w:rPr>
          <w:rFonts w:ascii="Batang" w:eastAsia="Batang" w:hAnsi="Batang"/>
          <w:b/>
          <w:smallCaps/>
          <w:color w:val="000000"/>
          <w:sz w:val="48"/>
          <w:szCs w:val="72"/>
        </w:rPr>
      </w:pPr>
    </w:p>
    <w:p w:rsidR="0060585A" w:rsidRPr="00D10DF0" w:rsidRDefault="0060585A" w:rsidP="00A666F8">
      <w:pPr>
        <w:pStyle w:val="NoSpacing"/>
        <w:jc w:val="center"/>
        <w:rPr>
          <w:rFonts w:ascii="Trebuchet MS" w:hAnsi="Trebuchet MS"/>
          <w:b/>
          <w:color w:val="FFC000"/>
          <w:sz w:val="40"/>
          <w:szCs w:val="72"/>
        </w:rPr>
      </w:pPr>
      <w:r w:rsidRPr="00D10DF0">
        <w:rPr>
          <w:rFonts w:ascii="Batang" w:eastAsia="Batang" w:hAnsi="Batang"/>
          <w:b/>
          <w:smallCaps/>
          <w:color w:val="FFC000"/>
          <w:sz w:val="48"/>
          <w:szCs w:val="72"/>
        </w:rPr>
        <w:t>Drivers of Convergence in EU11</w:t>
      </w:r>
    </w:p>
    <w:p w:rsidR="0060585A" w:rsidRPr="00A666F8" w:rsidRDefault="0060585A" w:rsidP="002A4C0C">
      <w:pPr>
        <w:pStyle w:val="NoSpacing"/>
        <w:ind w:left="240"/>
        <w:rPr>
          <w:rFonts w:ascii="Agency FB" w:hAnsi="Agency FB"/>
          <w:b/>
          <w:color w:val="000000"/>
          <w:sz w:val="48"/>
          <w:szCs w:val="48"/>
        </w:rPr>
      </w:pPr>
    </w:p>
    <w:p w:rsidR="0060585A" w:rsidRDefault="0060585A" w:rsidP="00C4465F">
      <w:pPr>
        <w:rPr>
          <w:sz w:val="32"/>
          <w:szCs w:val="32"/>
        </w:rPr>
      </w:pPr>
    </w:p>
    <w:p w:rsidR="0060585A" w:rsidRPr="00150212" w:rsidRDefault="0060585A" w:rsidP="00C4465F">
      <w:pPr>
        <w:rPr>
          <w:sz w:val="32"/>
          <w:szCs w:val="32"/>
        </w:rPr>
      </w:pPr>
    </w:p>
    <w:p w:rsidR="0060585A" w:rsidRPr="00D3276B" w:rsidRDefault="0060585A" w:rsidP="002A4C0C">
      <w:pPr>
        <w:pBdr>
          <w:top w:val="single" w:sz="4" w:space="6" w:color="auto"/>
          <w:left w:val="single" w:sz="4" w:space="0" w:color="auto"/>
          <w:bottom w:val="single" w:sz="4" w:space="1" w:color="auto"/>
          <w:right w:val="single" w:sz="4" w:space="4" w:color="auto"/>
        </w:pBdr>
        <w:spacing w:before="20" w:after="20"/>
        <w:ind w:left="840" w:right="864"/>
        <w:rPr>
          <w:sz w:val="20"/>
          <w:szCs w:val="16"/>
        </w:rPr>
      </w:pPr>
      <w:r w:rsidRPr="00D3276B">
        <w:rPr>
          <w:sz w:val="20"/>
          <w:szCs w:val="16"/>
        </w:rPr>
        <w:t xml:space="preserve">This Regular Economic Report (RER) is a </w:t>
      </w:r>
      <w:r w:rsidR="00D10DF0">
        <w:rPr>
          <w:sz w:val="20"/>
          <w:szCs w:val="16"/>
        </w:rPr>
        <w:t>semi</w:t>
      </w:r>
      <w:r w:rsidRPr="00D3276B">
        <w:rPr>
          <w:sz w:val="20"/>
          <w:szCs w:val="16"/>
        </w:rPr>
        <w:t>annual publication of the Europe and Central Asia Region, Poverty Reduction and Economic Management Department (ECA PREM)</w:t>
      </w:r>
      <w:r>
        <w:rPr>
          <w:sz w:val="20"/>
          <w:szCs w:val="16"/>
        </w:rPr>
        <w:t>,</w:t>
      </w:r>
      <w:r w:rsidRPr="00D3276B">
        <w:rPr>
          <w:sz w:val="20"/>
          <w:szCs w:val="16"/>
        </w:rPr>
        <w:t xml:space="preserve"> World Bank. </w:t>
      </w:r>
      <w:r>
        <w:rPr>
          <w:sz w:val="20"/>
          <w:szCs w:val="16"/>
        </w:rPr>
        <w:t xml:space="preserve">It </w:t>
      </w:r>
      <w:r w:rsidRPr="00D3276B">
        <w:rPr>
          <w:sz w:val="20"/>
          <w:szCs w:val="16"/>
        </w:rPr>
        <w:t>covers economic developments, prospects</w:t>
      </w:r>
      <w:r>
        <w:rPr>
          <w:sz w:val="20"/>
          <w:szCs w:val="16"/>
        </w:rPr>
        <w:t>,</w:t>
      </w:r>
      <w:r w:rsidRPr="00D3276B">
        <w:rPr>
          <w:sz w:val="20"/>
          <w:szCs w:val="16"/>
        </w:rPr>
        <w:t xml:space="preserve"> and policies in </w:t>
      </w:r>
      <w:r>
        <w:rPr>
          <w:sz w:val="20"/>
          <w:szCs w:val="16"/>
        </w:rPr>
        <w:t xml:space="preserve">10 </w:t>
      </w:r>
      <w:r w:rsidRPr="00D3276B">
        <w:rPr>
          <w:sz w:val="20"/>
          <w:szCs w:val="16"/>
        </w:rPr>
        <w:t>European Union (EU)</w:t>
      </w:r>
      <w:r>
        <w:rPr>
          <w:sz w:val="20"/>
          <w:szCs w:val="16"/>
        </w:rPr>
        <w:t xml:space="preserve"> member states—</w:t>
      </w:r>
      <w:r w:rsidRPr="00D3276B">
        <w:rPr>
          <w:sz w:val="20"/>
          <w:szCs w:val="16"/>
        </w:rPr>
        <w:t xml:space="preserve"> Bulgaria, the Czech Republic, Estonia, Hungary, Latvia, Lithuania, Poland, Romania, the Slovak Republic, and Slovenia</w:t>
      </w:r>
      <w:r>
        <w:rPr>
          <w:sz w:val="20"/>
          <w:szCs w:val="16"/>
        </w:rPr>
        <w:t xml:space="preserve">—and </w:t>
      </w:r>
      <w:r w:rsidRPr="00D3276B">
        <w:rPr>
          <w:sz w:val="20"/>
          <w:szCs w:val="16"/>
        </w:rPr>
        <w:t>one prospective member</w:t>
      </w:r>
      <w:r>
        <w:rPr>
          <w:sz w:val="20"/>
          <w:szCs w:val="16"/>
        </w:rPr>
        <w:t>,</w:t>
      </w:r>
      <w:r w:rsidRPr="00D3276B">
        <w:rPr>
          <w:sz w:val="20"/>
          <w:szCs w:val="16"/>
        </w:rPr>
        <w:t xml:space="preserve"> Croatia. For the first time in this </w:t>
      </w:r>
      <w:r>
        <w:rPr>
          <w:sz w:val="20"/>
          <w:szCs w:val="16"/>
        </w:rPr>
        <w:t>RER series</w:t>
      </w:r>
      <w:r w:rsidRPr="00D3276B">
        <w:rPr>
          <w:sz w:val="20"/>
          <w:szCs w:val="16"/>
        </w:rPr>
        <w:t xml:space="preserve">, </w:t>
      </w:r>
      <w:smartTag w:uri="urn:schemas-microsoft-com:office:smarttags" w:element="country-region">
        <w:smartTag w:uri="urn:schemas-microsoft-com:office:smarttags" w:element="place">
          <w:r w:rsidRPr="00D3276B">
            <w:rPr>
              <w:sz w:val="20"/>
              <w:szCs w:val="16"/>
            </w:rPr>
            <w:t>Croatia</w:t>
          </w:r>
        </w:smartTag>
      </w:smartTag>
      <w:r w:rsidRPr="00D3276B">
        <w:rPr>
          <w:sz w:val="20"/>
          <w:szCs w:val="16"/>
        </w:rPr>
        <w:t xml:space="preserve"> is </w:t>
      </w:r>
      <w:r>
        <w:rPr>
          <w:sz w:val="20"/>
          <w:szCs w:val="16"/>
        </w:rPr>
        <w:t xml:space="preserve">included because of its expected EU entry </w:t>
      </w:r>
      <w:r w:rsidRPr="00D3276B">
        <w:rPr>
          <w:sz w:val="20"/>
          <w:szCs w:val="16"/>
        </w:rPr>
        <w:t xml:space="preserve">in July 2013. </w:t>
      </w:r>
      <w:r>
        <w:rPr>
          <w:sz w:val="20"/>
          <w:szCs w:val="16"/>
        </w:rPr>
        <w:t>Throughout the RER, for simplicity, we refer to this group of eleven countries as EU11.</w:t>
      </w:r>
    </w:p>
    <w:p w:rsidR="0060585A" w:rsidRPr="00D3276B" w:rsidRDefault="0060585A" w:rsidP="002A4C0C">
      <w:pPr>
        <w:pBdr>
          <w:top w:val="single" w:sz="4" w:space="6" w:color="auto"/>
          <w:left w:val="single" w:sz="4" w:space="0" w:color="auto"/>
          <w:bottom w:val="single" w:sz="4" w:space="1" w:color="auto"/>
          <w:right w:val="single" w:sz="4" w:space="4" w:color="auto"/>
        </w:pBdr>
        <w:spacing w:before="20" w:after="20"/>
        <w:ind w:left="840" w:right="864"/>
        <w:rPr>
          <w:sz w:val="20"/>
          <w:szCs w:val="16"/>
        </w:rPr>
      </w:pPr>
    </w:p>
    <w:p w:rsidR="0060585A" w:rsidRPr="002C0861" w:rsidRDefault="0060585A" w:rsidP="002A4C0C">
      <w:pPr>
        <w:pBdr>
          <w:top w:val="single" w:sz="4" w:space="6" w:color="auto"/>
          <w:left w:val="single" w:sz="4" w:space="0" w:color="auto"/>
          <w:bottom w:val="single" w:sz="4" w:space="1" w:color="auto"/>
          <w:right w:val="single" w:sz="4" w:space="4" w:color="auto"/>
        </w:pBdr>
        <w:spacing w:before="20" w:after="20"/>
        <w:ind w:left="840" w:right="864"/>
        <w:rPr>
          <w:sz w:val="20"/>
          <w:szCs w:val="16"/>
        </w:rPr>
      </w:pPr>
      <w:r w:rsidRPr="00D3276B">
        <w:rPr>
          <w:sz w:val="20"/>
          <w:szCs w:val="16"/>
        </w:rPr>
        <w:t xml:space="preserve">The RER is prepared by a team </w:t>
      </w:r>
      <w:r>
        <w:rPr>
          <w:sz w:val="20"/>
          <w:szCs w:val="16"/>
        </w:rPr>
        <w:t xml:space="preserve">consisting of </w:t>
      </w:r>
      <w:r w:rsidRPr="00371115">
        <w:rPr>
          <w:sz w:val="20"/>
          <w:szCs w:val="16"/>
        </w:rPr>
        <w:t>Simon Davies, Stella Ilieva, Ewa Korczyc</w:t>
      </w:r>
      <w:r>
        <w:rPr>
          <w:sz w:val="20"/>
          <w:szCs w:val="16"/>
        </w:rPr>
        <w:t xml:space="preserve"> (lead author)</w:t>
      </w:r>
      <w:r w:rsidRPr="00371115">
        <w:rPr>
          <w:sz w:val="20"/>
          <w:szCs w:val="16"/>
        </w:rPr>
        <w:t>, Matija Laco, Sanja Madzarevic-Sujster, Catalin Pauna, Emilia Skrok, and Gallina A Vincelette</w:t>
      </w:r>
      <w:r>
        <w:rPr>
          <w:sz w:val="20"/>
          <w:szCs w:val="16"/>
        </w:rPr>
        <w:t xml:space="preserve"> (lead author and team lead)</w:t>
      </w:r>
      <w:r w:rsidRPr="00371115">
        <w:rPr>
          <w:sz w:val="20"/>
          <w:szCs w:val="16"/>
        </w:rPr>
        <w:t xml:space="preserve">. The World Bank Global Prospect Group, coordinated by Dilek Aykut, provided excellent insights for the global prospects section. </w:t>
      </w:r>
      <w:r w:rsidRPr="007920BC">
        <w:rPr>
          <w:sz w:val="20"/>
          <w:szCs w:val="16"/>
        </w:rPr>
        <w:t xml:space="preserve">The special topic note of this issue “Drivers of Convergence in EU11” was </w:t>
      </w:r>
      <w:r>
        <w:rPr>
          <w:sz w:val="20"/>
          <w:szCs w:val="16"/>
        </w:rPr>
        <w:t xml:space="preserve">coauthored </w:t>
      </w:r>
      <w:r w:rsidRPr="007920BC">
        <w:rPr>
          <w:sz w:val="20"/>
          <w:szCs w:val="16"/>
        </w:rPr>
        <w:t xml:space="preserve">by Jesus Crespo Cuaresma, Harald Oberhofer, Karlis Smits, and Gallina A Vincelette. </w:t>
      </w:r>
      <w:r w:rsidRPr="002C0861">
        <w:rPr>
          <w:sz w:val="20"/>
          <w:szCs w:val="16"/>
        </w:rPr>
        <w:t>Ewa Korczyc, Emilia Skrok, and Sebastian Eckardt provided valuable inputs to the note.</w:t>
      </w:r>
    </w:p>
    <w:p w:rsidR="0060585A" w:rsidRPr="002C0861" w:rsidRDefault="0060585A" w:rsidP="002A4C0C">
      <w:pPr>
        <w:pBdr>
          <w:top w:val="single" w:sz="4" w:space="6" w:color="auto"/>
          <w:left w:val="single" w:sz="4" w:space="0" w:color="auto"/>
          <w:bottom w:val="single" w:sz="4" w:space="1" w:color="auto"/>
          <w:right w:val="single" w:sz="4" w:space="4" w:color="auto"/>
        </w:pBdr>
        <w:spacing w:before="20" w:after="20"/>
        <w:ind w:left="840" w:right="864"/>
        <w:rPr>
          <w:sz w:val="20"/>
          <w:szCs w:val="16"/>
        </w:rPr>
      </w:pPr>
    </w:p>
    <w:p w:rsidR="0060585A" w:rsidRPr="002C0861" w:rsidRDefault="0060585A" w:rsidP="002A4C0C">
      <w:pPr>
        <w:pBdr>
          <w:top w:val="single" w:sz="4" w:space="6" w:color="auto"/>
          <w:left w:val="single" w:sz="4" w:space="0" w:color="auto"/>
          <w:bottom w:val="single" w:sz="4" w:space="1" w:color="auto"/>
          <w:right w:val="single" w:sz="4" w:space="4" w:color="auto"/>
        </w:pBdr>
        <w:ind w:left="840" w:right="864"/>
        <w:rPr>
          <w:sz w:val="20"/>
          <w:szCs w:val="16"/>
        </w:rPr>
      </w:pPr>
      <w:r w:rsidRPr="002C0861">
        <w:rPr>
          <w:sz w:val="20"/>
          <w:szCs w:val="16"/>
        </w:rPr>
        <w:t>The team is grateful to Satu Kahkonen</w:t>
      </w:r>
      <w:r>
        <w:rPr>
          <w:sz w:val="20"/>
          <w:szCs w:val="16"/>
        </w:rPr>
        <w:t xml:space="preserve"> (Sector Manager, ECA PREM)</w:t>
      </w:r>
      <w:r w:rsidRPr="002C0861">
        <w:rPr>
          <w:sz w:val="20"/>
          <w:szCs w:val="16"/>
        </w:rPr>
        <w:t>, Yvonne M. Tsikata</w:t>
      </w:r>
      <w:r>
        <w:rPr>
          <w:sz w:val="20"/>
          <w:szCs w:val="16"/>
        </w:rPr>
        <w:t xml:space="preserve"> (</w:t>
      </w:r>
      <w:r w:rsidRPr="00AE416D">
        <w:rPr>
          <w:sz w:val="20"/>
          <w:szCs w:val="16"/>
        </w:rPr>
        <w:t>Director, ECA PREM)</w:t>
      </w:r>
      <w:r w:rsidRPr="002C0861">
        <w:rPr>
          <w:sz w:val="20"/>
          <w:szCs w:val="16"/>
        </w:rPr>
        <w:t xml:space="preserve">, </w:t>
      </w:r>
      <w:r>
        <w:rPr>
          <w:sz w:val="20"/>
          <w:szCs w:val="16"/>
        </w:rPr>
        <w:t xml:space="preserve">and </w:t>
      </w:r>
      <w:r w:rsidRPr="002C0861">
        <w:rPr>
          <w:sz w:val="20"/>
          <w:szCs w:val="16"/>
        </w:rPr>
        <w:t xml:space="preserve">Peter C. Harrold </w:t>
      </w:r>
      <w:r>
        <w:rPr>
          <w:sz w:val="20"/>
          <w:szCs w:val="16"/>
        </w:rPr>
        <w:t xml:space="preserve">(Country Director, ECCU5) </w:t>
      </w:r>
      <w:r w:rsidRPr="002C0861">
        <w:rPr>
          <w:sz w:val="20"/>
          <w:szCs w:val="16"/>
        </w:rPr>
        <w:t>for their guidance in the preparation of this report.</w:t>
      </w:r>
      <w:r>
        <w:rPr>
          <w:sz w:val="20"/>
          <w:szCs w:val="16"/>
        </w:rPr>
        <w:t xml:space="preserve"> T</w:t>
      </w:r>
      <w:r w:rsidRPr="0002217B">
        <w:rPr>
          <w:sz w:val="20"/>
          <w:szCs w:val="16"/>
        </w:rPr>
        <w:t xml:space="preserve">he team is </w:t>
      </w:r>
      <w:r>
        <w:rPr>
          <w:sz w:val="20"/>
          <w:szCs w:val="16"/>
        </w:rPr>
        <w:t xml:space="preserve">thankful for </w:t>
      </w:r>
      <w:r w:rsidRPr="0002217B">
        <w:rPr>
          <w:sz w:val="20"/>
          <w:szCs w:val="16"/>
        </w:rPr>
        <w:t xml:space="preserve">comments </w:t>
      </w:r>
      <w:r>
        <w:rPr>
          <w:sz w:val="20"/>
          <w:szCs w:val="16"/>
        </w:rPr>
        <w:t xml:space="preserve">on earlier drafts of this report </w:t>
      </w:r>
      <w:r w:rsidRPr="0002217B">
        <w:rPr>
          <w:sz w:val="20"/>
          <w:szCs w:val="16"/>
        </w:rPr>
        <w:t>received from colleagues from the W</w:t>
      </w:r>
      <w:r>
        <w:rPr>
          <w:sz w:val="20"/>
          <w:szCs w:val="16"/>
        </w:rPr>
        <w:t xml:space="preserve">orld </w:t>
      </w:r>
      <w:r w:rsidRPr="0002217B">
        <w:rPr>
          <w:sz w:val="20"/>
          <w:szCs w:val="16"/>
        </w:rPr>
        <w:t>B</w:t>
      </w:r>
      <w:r>
        <w:rPr>
          <w:sz w:val="20"/>
          <w:szCs w:val="16"/>
        </w:rPr>
        <w:t>ank</w:t>
      </w:r>
      <w:r w:rsidRPr="0002217B">
        <w:rPr>
          <w:sz w:val="20"/>
          <w:szCs w:val="16"/>
        </w:rPr>
        <w:t xml:space="preserve">, </w:t>
      </w:r>
      <w:r>
        <w:rPr>
          <w:sz w:val="20"/>
          <w:szCs w:val="16"/>
        </w:rPr>
        <w:t xml:space="preserve">the </w:t>
      </w:r>
      <w:r w:rsidRPr="0002217B">
        <w:rPr>
          <w:sz w:val="20"/>
          <w:szCs w:val="16"/>
        </w:rPr>
        <w:t>I</w:t>
      </w:r>
      <w:r>
        <w:rPr>
          <w:sz w:val="20"/>
          <w:szCs w:val="16"/>
        </w:rPr>
        <w:t xml:space="preserve">nternational </w:t>
      </w:r>
      <w:r w:rsidRPr="0002217B">
        <w:rPr>
          <w:sz w:val="20"/>
          <w:szCs w:val="16"/>
        </w:rPr>
        <w:t>M</w:t>
      </w:r>
      <w:r>
        <w:rPr>
          <w:sz w:val="20"/>
          <w:szCs w:val="16"/>
        </w:rPr>
        <w:t xml:space="preserve">onetary </w:t>
      </w:r>
      <w:r w:rsidRPr="0002217B">
        <w:rPr>
          <w:sz w:val="20"/>
          <w:szCs w:val="16"/>
        </w:rPr>
        <w:t>F</w:t>
      </w:r>
      <w:r>
        <w:rPr>
          <w:sz w:val="20"/>
          <w:szCs w:val="16"/>
        </w:rPr>
        <w:t>und</w:t>
      </w:r>
      <w:r w:rsidRPr="0002217B">
        <w:rPr>
          <w:sz w:val="20"/>
          <w:szCs w:val="16"/>
        </w:rPr>
        <w:t xml:space="preserve">, </w:t>
      </w:r>
      <w:r>
        <w:rPr>
          <w:sz w:val="20"/>
          <w:szCs w:val="16"/>
        </w:rPr>
        <w:t xml:space="preserve">the </w:t>
      </w:r>
      <w:r w:rsidRPr="0002217B">
        <w:rPr>
          <w:sz w:val="20"/>
          <w:szCs w:val="16"/>
        </w:rPr>
        <w:t>E</w:t>
      </w:r>
      <w:r>
        <w:rPr>
          <w:sz w:val="20"/>
          <w:szCs w:val="16"/>
        </w:rPr>
        <w:t xml:space="preserve">uropean </w:t>
      </w:r>
      <w:r w:rsidRPr="0002217B">
        <w:rPr>
          <w:sz w:val="20"/>
          <w:szCs w:val="16"/>
        </w:rPr>
        <w:t>C</w:t>
      </w:r>
      <w:r>
        <w:rPr>
          <w:sz w:val="20"/>
          <w:szCs w:val="16"/>
        </w:rPr>
        <w:t>ommission</w:t>
      </w:r>
      <w:r w:rsidRPr="0002217B">
        <w:rPr>
          <w:sz w:val="20"/>
          <w:szCs w:val="16"/>
        </w:rPr>
        <w:t>, and</w:t>
      </w:r>
      <w:r>
        <w:rPr>
          <w:sz w:val="20"/>
          <w:szCs w:val="16"/>
        </w:rPr>
        <w:t xml:space="preserve"> several </w:t>
      </w:r>
      <w:r w:rsidRPr="0002217B">
        <w:rPr>
          <w:sz w:val="20"/>
          <w:szCs w:val="16"/>
        </w:rPr>
        <w:t>EU11 central banks and ministries</w:t>
      </w:r>
      <w:r>
        <w:rPr>
          <w:sz w:val="20"/>
          <w:szCs w:val="16"/>
        </w:rPr>
        <w:t>.</w:t>
      </w:r>
    </w:p>
    <w:p w:rsidR="0060585A" w:rsidRDefault="0060585A" w:rsidP="002A4C0C">
      <w:pPr>
        <w:pBdr>
          <w:top w:val="single" w:sz="4" w:space="6" w:color="auto"/>
          <w:left w:val="single" w:sz="4" w:space="0" w:color="auto"/>
          <w:bottom w:val="single" w:sz="4" w:space="1" w:color="auto"/>
          <w:right w:val="single" w:sz="4" w:space="4" w:color="auto"/>
        </w:pBdr>
        <w:ind w:left="840" w:right="864"/>
        <w:rPr>
          <w:sz w:val="20"/>
          <w:szCs w:val="16"/>
          <w:highlight w:val="yellow"/>
        </w:rPr>
      </w:pPr>
    </w:p>
    <w:p w:rsidR="0060585A" w:rsidRDefault="0060585A" w:rsidP="00C4465F">
      <w:pPr>
        <w:pBdr>
          <w:top w:val="single" w:sz="4" w:space="2" w:color="auto"/>
          <w:left w:val="single" w:sz="4" w:space="0" w:color="auto"/>
          <w:bottom w:val="single" w:sz="4" w:space="1" w:color="auto"/>
          <w:right w:val="single" w:sz="4" w:space="4" w:color="auto"/>
        </w:pBdr>
        <w:rPr>
          <w:sz w:val="20"/>
          <w:szCs w:val="16"/>
          <w:highlight w:val="yellow"/>
        </w:rPr>
        <w:sectPr w:rsidR="0060585A" w:rsidSect="004B2CBD">
          <w:footerReference w:type="default" r:id="rId8"/>
          <w:pgSz w:w="12240" w:h="15840"/>
          <w:pgMar w:top="0" w:right="245" w:bottom="27" w:left="245" w:header="0" w:footer="0" w:gutter="0"/>
          <w:cols w:space="720"/>
          <w:titlePg/>
          <w:rtlGutter/>
          <w:docGrid w:linePitch="360"/>
        </w:sectPr>
      </w:pPr>
    </w:p>
    <w:p w:rsidR="0060585A" w:rsidRDefault="0060585A" w:rsidP="00861DDB">
      <w:pPr>
        <w:pStyle w:val="TOC1"/>
      </w:pPr>
    </w:p>
    <w:p w:rsidR="0060585A" w:rsidRDefault="0060585A" w:rsidP="00861DDB">
      <w:pPr>
        <w:pStyle w:val="TOC1"/>
      </w:pPr>
      <w:r>
        <w:br w:type="page"/>
      </w:r>
    </w:p>
    <w:p w:rsidR="0060585A" w:rsidRDefault="0060585A" w:rsidP="00861DDB">
      <w:pPr>
        <w:pStyle w:val="TOC1"/>
      </w:pPr>
    </w:p>
    <w:p w:rsidR="0060585A" w:rsidRPr="00D07BB5" w:rsidRDefault="0060585A" w:rsidP="00D07BB5">
      <w:pPr>
        <w:pStyle w:val="Caption"/>
        <w:jc w:val="center"/>
        <w:rPr>
          <w:smallCaps/>
          <w:sz w:val="32"/>
        </w:rPr>
      </w:pPr>
      <w:r w:rsidRPr="00D07BB5">
        <w:rPr>
          <w:smallCaps/>
          <w:sz w:val="32"/>
        </w:rPr>
        <w:t>TABLE OF CONTENTS</w:t>
      </w:r>
    </w:p>
    <w:p w:rsidR="0060585A" w:rsidRDefault="0060585A" w:rsidP="00861DDB">
      <w:pPr>
        <w:pStyle w:val="TOC1"/>
      </w:pPr>
    </w:p>
    <w:p w:rsidR="0060585A" w:rsidRDefault="00185C05">
      <w:pPr>
        <w:pStyle w:val="TOC2"/>
        <w:tabs>
          <w:tab w:val="right" w:leader="dot" w:pos="8630"/>
        </w:tabs>
        <w:rPr>
          <w:smallCaps w:val="0"/>
          <w:noProof/>
          <w:sz w:val="22"/>
          <w:szCs w:val="22"/>
        </w:rPr>
      </w:pPr>
      <w:r w:rsidRPr="00185C05">
        <w:rPr>
          <w:sz w:val="40"/>
          <w:szCs w:val="40"/>
        </w:rPr>
        <w:fldChar w:fldCharType="begin"/>
      </w:r>
      <w:r w:rsidR="0060585A">
        <w:rPr>
          <w:sz w:val="40"/>
          <w:szCs w:val="40"/>
        </w:rPr>
        <w:instrText xml:space="preserve"> TOC \h \z \t "Chapter Title,2,Title,1" </w:instrText>
      </w:r>
      <w:r w:rsidRPr="00185C05">
        <w:rPr>
          <w:sz w:val="40"/>
          <w:szCs w:val="40"/>
        </w:rPr>
        <w:fldChar w:fldCharType="separate"/>
      </w:r>
    </w:p>
    <w:p w:rsidR="0060585A" w:rsidRDefault="00185C05">
      <w:pPr>
        <w:pStyle w:val="TOC1"/>
        <w:rPr>
          <w:b w:val="0"/>
          <w:bCs w:val="0"/>
          <w:caps w:val="0"/>
          <w:noProof/>
          <w:sz w:val="22"/>
          <w:szCs w:val="22"/>
        </w:rPr>
      </w:pPr>
      <w:hyperlink w:anchor="_Toc328295589" w:history="1">
        <w:r w:rsidR="0060585A" w:rsidRPr="00EA6E1E">
          <w:rPr>
            <w:rStyle w:val="Hyperlink"/>
            <w:smallCaps/>
            <w:shadow/>
            <w:noProof/>
          </w:rPr>
          <w:t>EU11 Regular Economic Report: Coping with External Headwinds</w:t>
        </w:r>
        <w:r w:rsidR="0060585A">
          <w:rPr>
            <w:noProof/>
            <w:webHidden/>
          </w:rPr>
          <w:tab/>
          <w:t>1</w:t>
        </w:r>
      </w:hyperlink>
    </w:p>
    <w:p w:rsidR="0060585A" w:rsidRDefault="00185C05">
      <w:pPr>
        <w:pStyle w:val="TOC2"/>
        <w:tabs>
          <w:tab w:val="right" w:leader="dot" w:pos="8630"/>
        </w:tabs>
        <w:rPr>
          <w:smallCaps w:val="0"/>
          <w:noProof/>
          <w:sz w:val="22"/>
          <w:szCs w:val="22"/>
        </w:rPr>
      </w:pPr>
      <w:hyperlink w:anchor="_Toc328295590" w:history="1">
        <w:r w:rsidR="0060585A" w:rsidRPr="00EA6E1E">
          <w:rPr>
            <w:rStyle w:val="Hyperlink"/>
            <w:noProof/>
          </w:rPr>
          <w:t>Global Trends</w:t>
        </w:r>
        <w:r w:rsidR="0060585A">
          <w:rPr>
            <w:noProof/>
            <w:webHidden/>
          </w:rPr>
          <w:tab/>
          <w:t>3</w:t>
        </w:r>
      </w:hyperlink>
    </w:p>
    <w:p w:rsidR="0060585A" w:rsidRDefault="00185C05">
      <w:pPr>
        <w:pStyle w:val="TOC2"/>
        <w:tabs>
          <w:tab w:val="right" w:leader="dot" w:pos="8630"/>
        </w:tabs>
        <w:rPr>
          <w:smallCaps w:val="0"/>
          <w:noProof/>
          <w:sz w:val="22"/>
          <w:szCs w:val="22"/>
        </w:rPr>
      </w:pPr>
      <w:hyperlink w:anchor="_Toc328295591" w:history="1">
        <w:r w:rsidR="0060585A" w:rsidRPr="00EA6E1E">
          <w:rPr>
            <w:rStyle w:val="Hyperlink"/>
            <w:noProof/>
          </w:rPr>
          <w:t>Recent Developments in the EU11</w:t>
        </w:r>
        <w:r w:rsidR="0060585A">
          <w:rPr>
            <w:noProof/>
            <w:webHidden/>
          </w:rPr>
          <w:tab/>
          <w:t>6</w:t>
        </w:r>
      </w:hyperlink>
    </w:p>
    <w:p w:rsidR="0060585A" w:rsidRDefault="00185C05">
      <w:pPr>
        <w:pStyle w:val="TOC2"/>
        <w:tabs>
          <w:tab w:val="right" w:leader="dot" w:pos="8630"/>
        </w:tabs>
        <w:rPr>
          <w:smallCaps w:val="0"/>
          <w:noProof/>
          <w:sz w:val="22"/>
          <w:szCs w:val="22"/>
        </w:rPr>
      </w:pPr>
      <w:hyperlink w:anchor="_Toc328295592" w:history="1">
        <w:r w:rsidR="0060585A" w:rsidRPr="00EA6E1E">
          <w:rPr>
            <w:rStyle w:val="Hyperlink"/>
            <w:noProof/>
          </w:rPr>
          <w:t>EU11 Economic Outlook, Economic Policies and Risks for 2012–2013</w:t>
        </w:r>
        <w:r w:rsidR="0060585A">
          <w:rPr>
            <w:noProof/>
            <w:webHidden/>
          </w:rPr>
          <w:tab/>
          <w:t>30</w:t>
        </w:r>
      </w:hyperlink>
    </w:p>
    <w:p w:rsidR="0060585A" w:rsidRDefault="00185C05">
      <w:pPr>
        <w:pStyle w:val="TOC2"/>
        <w:tabs>
          <w:tab w:val="right" w:leader="dot" w:pos="8630"/>
        </w:tabs>
        <w:rPr>
          <w:smallCaps w:val="0"/>
          <w:noProof/>
          <w:sz w:val="22"/>
          <w:szCs w:val="22"/>
        </w:rPr>
      </w:pPr>
      <w:hyperlink w:anchor="_Toc328295593" w:history="1">
        <w:r w:rsidR="0060585A" w:rsidRPr="00EA6E1E">
          <w:rPr>
            <w:rStyle w:val="Hyperlink"/>
            <w:noProof/>
          </w:rPr>
          <w:t>The EU11 Medium-term Structural Policies Agenda for Growth</w:t>
        </w:r>
        <w:r w:rsidR="0060585A">
          <w:rPr>
            <w:noProof/>
            <w:webHidden/>
          </w:rPr>
          <w:tab/>
          <w:t>37</w:t>
        </w:r>
      </w:hyperlink>
    </w:p>
    <w:p w:rsidR="0060585A" w:rsidRDefault="00185C05">
      <w:pPr>
        <w:pStyle w:val="TOC2"/>
        <w:tabs>
          <w:tab w:val="right" w:leader="dot" w:pos="8630"/>
        </w:tabs>
        <w:rPr>
          <w:smallCaps w:val="0"/>
          <w:noProof/>
          <w:sz w:val="22"/>
          <w:szCs w:val="22"/>
        </w:rPr>
      </w:pPr>
      <w:hyperlink w:anchor="_Toc328295594" w:history="1">
        <w:r w:rsidR="0060585A" w:rsidRPr="00EA6E1E">
          <w:rPr>
            <w:rStyle w:val="Hyperlink"/>
            <w:noProof/>
          </w:rPr>
          <w:t>Annex 1</w:t>
        </w:r>
        <w:r w:rsidR="0060585A">
          <w:rPr>
            <w:noProof/>
            <w:webHidden/>
          </w:rPr>
          <w:tab/>
          <w:t>40</w:t>
        </w:r>
      </w:hyperlink>
    </w:p>
    <w:p w:rsidR="0060585A" w:rsidRDefault="00185C05">
      <w:pPr>
        <w:pStyle w:val="TOC2"/>
        <w:tabs>
          <w:tab w:val="right" w:leader="dot" w:pos="8630"/>
        </w:tabs>
        <w:rPr>
          <w:smallCaps w:val="0"/>
          <w:noProof/>
          <w:sz w:val="22"/>
          <w:szCs w:val="22"/>
        </w:rPr>
      </w:pPr>
      <w:hyperlink w:anchor="_Toc328295595" w:history="1">
        <w:r w:rsidR="0060585A" w:rsidRPr="00EA6E1E">
          <w:rPr>
            <w:rStyle w:val="Hyperlink"/>
            <w:noProof/>
          </w:rPr>
          <w:t>Annex 2</w:t>
        </w:r>
        <w:r w:rsidR="0060585A">
          <w:rPr>
            <w:noProof/>
            <w:webHidden/>
          </w:rPr>
          <w:tab/>
          <w:t>45</w:t>
        </w:r>
      </w:hyperlink>
    </w:p>
    <w:p w:rsidR="0060585A" w:rsidRDefault="00185C05">
      <w:pPr>
        <w:pStyle w:val="TOC1"/>
        <w:rPr>
          <w:b w:val="0"/>
          <w:bCs w:val="0"/>
          <w:caps w:val="0"/>
          <w:noProof/>
          <w:sz w:val="22"/>
          <w:szCs w:val="22"/>
        </w:rPr>
      </w:pPr>
      <w:hyperlink w:anchor="_Toc328295596" w:history="1">
        <w:r w:rsidR="0060585A" w:rsidRPr="00EA6E1E">
          <w:rPr>
            <w:rStyle w:val="Hyperlink"/>
            <w:smallCaps/>
            <w:shadow/>
            <w:noProof/>
          </w:rPr>
          <w:t>Special Topic: Drivers of Convergence in EU11</w:t>
        </w:r>
        <w:r w:rsidR="0060585A">
          <w:rPr>
            <w:noProof/>
            <w:webHidden/>
          </w:rPr>
          <w:tab/>
          <w:t>47</w:t>
        </w:r>
      </w:hyperlink>
    </w:p>
    <w:p w:rsidR="0060585A" w:rsidRDefault="00185C05">
      <w:pPr>
        <w:pStyle w:val="TOC2"/>
        <w:tabs>
          <w:tab w:val="right" w:leader="dot" w:pos="8630"/>
        </w:tabs>
        <w:rPr>
          <w:smallCaps w:val="0"/>
          <w:noProof/>
          <w:sz w:val="22"/>
          <w:szCs w:val="22"/>
        </w:rPr>
      </w:pPr>
      <w:hyperlink w:anchor="_Toc328295597" w:history="1">
        <w:r w:rsidR="0060585A" w:rsidRPr="00EA6E1E">
          <w:rPr>
            <w:rStyle w:val="Hyperlink"/>
            <w:noProof/>
          </w:rPr>
          <w:t>Introduction</w:t>
        </w:r>
        <w:r w:rsidR="0060585A">
          <w:rPr>
            <w:noProof/>
            <w:webHidden/>
          </w:rPr>
          <w:tab/>
          <w:t>48</w:t>
        </w:r>
      </w:hyperlink>
    </w:p>
    <w:p w:rsidR="0060585A" w:rsidRDefault="00185C05">
      <w:pPr>
        <w:pStyle w:val="TOC2"/>
        <w:tabs>
          <w:tab w:val="right" w:leader="dot" w:pos="8630"/>
        </w:tabs>
        <w:rPr>
          <w:smallCaps w:val="0"/>
          <w:noProof/>
          <w:sz w:val="22"/>
          <w:szCs w:val="22"/>
        </w:rPr>
      </w:pPr>
      <w:hyperlink w:anchor="_Toc328295598" w:history="1">
        <w:r w:rsidR="0060585A" w:rsidRPr="00EA6E1E">
          <w:rPr>
            <w:rStyle w:val="Hyperlink"/>
            <w:noProof/>
          </w:rPr>
          <w:t>Income Convergence and Post-Crisis Prospects for EU11</w:t>
        </w:r>
        <w:r w:rsidR="0060585A">
          <w:rPr>
            <w:noProof/>
            <w:webHidden/>
          </w:rPr>
          <w:tab/>
          <w:t>49</w:t>
        </w:r>
      </w:hyperlink>
    </w:p>
    <w:p w:rsidR="0060585A" w:rsidRDefault="00185C05">
      <w:pPr>
        <w:pStyle w:val="TOC2"/>
        <w:tabs>
          <w:tab w:val="right" w:leader="dot" w:pos="8630"/>
        </w:tabs>
        <w:rPr>
          <w:smallCaps w:val="0"/>
          <w:noProof/>
          <w:sz w:val="22"/>
          <w:szCs w:val="22"/>
        </w:rPr>
      </w:pPr>
      <w:hyperlink w:anchor="_Toc328295599" w:history="1">
        <w:r w:rsidR="0060585A" w:rsidRPr="00EA6E1E">
          <w:rPr>
            <w:rStyle w:val="Hyperlink"/>
            <w:noProof/>
          </w:rPr>
          <w:t>Trade and Finance: Fuelling Economic Growth, Increasing Vulnerability</w:t>
        </w:r>
        <w:r w:rsidR="0060585A">
          <w:rPr>
            <w:noProof/>
            <w:webHidden/>
          </w:rPr>
          <w:tab/>
          <w:t>52</w:t>
        </w:r>
      </w:hyperlink>
    </w:p>
    <w:p w:rsidR="0060585A" w:rsidRDefault="00185C05">
      <w:pPr>
        <w:pStyle w:val="TOC2"/>
        <w:tabs>
          <w:tab w:val="right" w:leader="dot" w:pos="8630"/>
        </w:tabs>
        <w:rPr>
          <w:smallCaps w:val="0"/>
          <w:noProof/>
          <w:sz w:val="22"/>
          <w:szCs w:val="22"/>
        </w:rPr>
      </w:pPr>
      <w:hyperlink w:anchor="_Toc328295600" w:history="1">
        <w:r w:rsidR="0060585A" w:rsidRPr="00EA6E1E">
          <w:rPr>
            <w:rStyle w:val="Hyperlink"/>
            <w:noProof/>
          </w:rPr>
          <w:t>Enterprise and Innovation: Closing the Productivity Gap</w:t>
        </w:r>
        <w:r w:rsidR="0060585A">
          <w:rPr>
            <w:noProof/>
            <w:webHidden/>
          </w:rPr>
          <w:tab/>
          <w:t>57</w:t>
        </w:r>
      </w:hyperlink>
    </w:p>
    <w:p w:rsidR="0060585A" w:rsidRDefault="00185C05">
      <w:pPr>
        <w:pStyle w:val="TOC2"/>
        <w:tabs>
          <w:tab w:val="right" w:leader="dot" w:pos="8630"/>
        </w:tabs>
        <w:rPr>
          <w:smallCaps w:val="0"/>
          <w:noProof/>
          <w:sz w:val="22"/>
          <w:szCs w:val="22"/>
        </w:rPr>
      </w:pPr>
      <w:hyperlink w:anchor="_Toc328295601" w:history="1">
        <w:r w:rsidR="0060585A" w:rsidRPr="00EA6E1E">
          <w:rPr>
            <w:rStyle w:val="Hyperlink"/>
            <w:noProof/>
          </w:rPr>
          <w:t>Labor: Overwhelming Demographic Challenges</w:t>
        </w:r>
        <w:r w:rsidR="0060585A">
          <w:rPr>
            <w:noProof/>
            <w:webHidden/>
          </w:rPr>
          <w:tab/>
          <w:t>61</w:t>
        </w:r>
      </w:hyperlink>
    </w:p>
    <w:p w:rsidR="0060585A" w:rsidRDefault="00185C05">
      <w:pPr>
        <w:pStyle w:val="TOC2"/>
        <w:tabs>
          <w:tab w:val="right" w:leader="dot" w:pos="8630"/>
        </w:tabs>
        <w:rPr>
          <w:smallCaps w:val="0"/>
          <w:noProof/>
          <w:sz w:val="22"/>
          <w:szCs w:val="22"/>
        </w:rPr>
      </w:pPr>
      <w:hyperlink w:anchor="_Toc328295602" w:history="1">
        <w:r w:rsidR="0060585A" w:rsidRPr="00EA6E1E">
          <w:rPr>
            <w:rStyle w:val="Hyperlink"/>
            <w:noProof/>
          </w:rPr>
          <w:t>Government: Institutions Converge, Differences Remain</w:t>
        </w:r>
        <w:r w:rsidR="0060585A">
          <w:rPr>
            <w:noProof/>
            <w:webHidden/>
          </w:rPr>
          <w:tab/>
          <w:t>66</w:t>
        </w:r>
      </w:hyperlink>
    </w:p>
    <w:p w:rsidR="0060585A" w:rsidRDefault="00185C05">
      <w:pPr>
        <w:pStyle w:val="TOC2"/>
        <w:tabs>
          <w:tab w:val="right" w:leader="dot" w:pos="8630"/>
        </w:tabs>
        <w:rPr>
          <w:smallCaps w:val="0"/>
          <w:noProof/>
          <w:sz w:val="22"/>
          <w:szCs w:val="22"/>
        </w:rPr>
      </w:pPr>
      <w:hyperlink w:anchor="_Toc328295603" w:history="1">
        <w:r w:rsidR="0060585A" w:rsidRPr="00EA6E1E">
          <w:rPr>
            <w:rStyle w:val="Hyperlink"/>
            <w:noProof/>
          </w:rPr>
          <w:t>How to Sustain Medium-term Growth in EU11?</w:t>
        </w:r>
        <w:r w:rsidR="0060585A">
          <w:rPr>
            <w:noProof/>
            <w:webHidden/>
          </w:rPr>
          <w:tab/>
          <w:t>69</w:t>
        </w:r>
      </w:hyperlink>
    </w:p>
    <w:p w:rsidR="0060585A" w:rsidRDefault="00185C05">
      <w:pPr>
        <w:pStyle w:val="TOC2"/>
        <w:tabs>
          <w:tab w:val="right" w:leader="dot" w:pos="8630"/>
        </w:tabs>
        <w:rPr>
          <w:smallCaps w:val="0"/>
          <w:noProof/>
          <w:sz w:val="22"/>
          <w:szCs w:val="22"/>
        </w:rPr>
      </w:pPr>
      <w:hyperlink w:anchor="_Toc328295604" w:history="1">
        <w:r w:rsidR="0060585A" w:rsidRPr="00EA6E1E">
          <w:rPr>
            <w:rStyle w:val="Hyperlink"/>
            <w:noProof/>
          </w:rPr>
          <w:t>References</w:t>
        </w:r>
        <w:r w:rsidR="0060585A">
          <w:rPr>
            <w:noProof/>
            <w:webHidden/>
          </w:rPr>
          <w:tab/>
          <w:t>70</w:t>
        </w:r>
      </w:hyperlink>
    </w:p>
    <w:p w:rsidR="0060585A" w:rsidRDefault="00185C05">
      <w:pPr>
        <w:pStyle w:val="TOC2"/>
        <w:tabs>
          <w:tab w:val="right" w:leader="dot" w:pos="8630"/>
        </w:tabs>
        <w:rPr>
          <w:smallCaps w:val="0"/>
          <w:noProof/>
          <w:sz w:val="22"/>
          <w:szCs w:val="22"/>
        </w:rPr>
      </w:pPr>
      <w:hyperlink w:anchor="_Toc328295605" w:history="1">
        <w:r w:rsidR="0060585A" w:rsidRPr="00EA6E1E">
          <w:rPr>
            <w:rStyle w:val="Hyperlink"/>
            <w:noProof/>
          </w:rPr>
          <w:t>Annex 1</w:t>
        </w:r>
        <w:r w:rsidR="0060585A">
          <w:rPr>
            <w:noProof/>
            <w:webHidden/>
          </w:rPr>
          <w:tab/>
          <w:t>72</w:t>
        </w:r>
      </w:hyperlink>
    </w:p>
    <w:p w:rsidR="0060585A" w:rsidRDefault="00185C05">
      <w:pPr>
        <w:pStyle w:val="TOC2"/>
        <w:tabs>
          <w:tab w:val="right" w:leader="dot" w:pos="8630"/>
        </w:tabs>
        <w:rPr>
          <w:smallCaps w:val="0"/>
          <w:noProof/>
          <w:sz w:val="22"/>
          <w:szCs w:val="22"/>
        </w:rPr>
      </w:pPr>
      <w:hyperlink w:anchor="_Toc328295606" w:history="1">
        <w:r w:rsidR="0060585A" w:rsidRPr="00EA6E1E">
          <w:rPr>
            <w:rStyle w:val="Hyperlink"/>
            <w:noProof/>
          </w:rPr>
          <w:t>Annex 2</w:t>
        </w:r>
        <w:r w:rsidR="0060585A">
          <w:rPr>
            <w:noProof/>
            <w:webHidden/>
          </w:rPr>
          <w:tab/>
          <w:t>73</w:t>
        </w:r>
      </w:hyperlink>
    </w:p>
    <w:p w:rsidR="0060585A" w:rsidRDefault="00185C05" w:rsidP="002B4460">
      <w:pPr>
        <w:pStyle w:val="Heading1"/>
        <w:rPr>
          <w:rFonts w:ascii="Calibri" w:hAnsi="Calibri"/>
          <w:b w:val="0"/>
          <w:caps/>
          <w:color w:val="auto"/>
          <w:sz w:val="40"/>
          <w:szCs w:val="40"/>
        </w:rPr>
      </w:pPr>
      <w:r>
        <w:rPr>
          <w:sz w:val="40"/>
          <w:szCs w:val="40"/>
        </w:rPr>
        <w:fldChar w:fldCharType="end"/>
      </w:r>
    </w:p>
    <w:p w:rsidR="0060585A" w:rsidRDefault="0060585A" w:rsidP="00EC10B3"/>
    <w:p w:rsidR="0060585A" w:rsidRDefault="0060585A" w:rsidP="00EC10B3"/>
    <w:p w:rsidR="0060585A" w:rsidRPr="00EC10B3" w:rsidRDefault="0060585A" w:rsidP="00555E45">
      <w:pPr>
        <w:spacing w:after="200" w:line="276" w:lineRule="auto"/>
        <w:jc w:val="left"/>
        <w:sectPr w:rsidR="0060585A" w:rsidRPr="00EC10B3" w:rsidSect="00BE7D3E">
          <w:headerReference w:type="default" r:id="rId9"/>
          <w:footerReference w:type="default" r:id="rId10"/>
          <w:pgSz w:w="12240" w:h="15840"/>
          <w:pgMar w:top="1440" w:right="1800" w:bottom="1440" w:left="1800" w:header="720" w:footer="720" w:gutter="0"/>
          <w:cols w:space="720"/>
          <w:docGrid w:linePitch="360"/>
        </w:sectPr>
      </w:pPr>
    </w:p>
    <w:tbl>
      <w:tblPr>
        <w:tblpPr w:leftFromText="180" w:rightFromText="180" w:horzAnchor="margin" w:tblpXSpec="center" w:tblpY="-360"/>
        <w:tblW w:w="8309" w:type="dxa"/>
        <w:tblLook w:val="01E0"/>
      </w:tblPr>
      <w:tblGrid>
        <w:gridCol w:w="8309"/>
      </w:tblGrid>
      <w:tr w:rsidR="0060585A" w:rsidRPr="00321D31" w:rsidTr="00B634E4">
        <w:trPr>
          <w:trHeight w:hRule="exact" w:val="559"/>
        </w:trPr>
        <w:tc>
          <w:tcPr>
            <w:tcW w:w="8309" w:type="dxa"/>
            <w:vAlign w:val="center"/>
          </w:tcPr>
          <w:p w:rsidR="0060585A" w:rsidRPr="00321D31" w:rsidRDefault="0060585A" w:rsidP="00B834E6">
            <w:pPr>
              <w:pStyle w:val="ChapterTitle"/>
            </w:pPr>
            <w:bookmarkStart w:id="0" w:name="_Toc257243894"/>
            <w:bookmarkStart w:id="1" w:name="_Toc328295588"/>
            <w:r w:rsidRPr="00321D31">
              <w:lastRenderedPageBreak/>
              <w:t>Summary</w:t>
            </w:r>
            <w:bookmarkEnd w:id="0"/>
            <w:bookmarkEnd w:id="1"/>
          </w:p>
          <w:p w:rsidR="0060585A" w:rsidRPr="00321D31" w:rsidRDefault="0060585A" w:rsidP="00B834E6">
            <w:pPr>
              <w:pStyle w:val="ChapterTitle"/>
            </w:pPr>
          </w:p>
          <w:p w:rsidR="0060585A" w:rsidRPr="00321D31" w:rsidRDefault="0060585A" w:rsidP="00B834E6">
            <w:pPr>
              <w:pStyle w:val="ChapterTitle"/>
            </w:pPr>
          </w:p>
          <w:p w:rsidR="0060585A" w:rsidRPr="00321D31" w:rsidRDefault="0060585A" w:rsidP="00B634E4"/>
          <w:p w:rsidR="0060585A" w:rsidRPr="00321D31" w:rsidRDefault="0060585A" w:rsidP="00B634E4"/>
        </w:tc>
      </w:tr>
    </w:tbl>
    <w:p w:rsidR="00D10DF0" w:rsidRDefault="00D10DF0" w:rsidP="007319BD">
      <w:pPr>
        <w:pStyle w:val="Heading2"/>
        <w:keepNext w:val="0"/>
        <w:widowControl w:val="0"/>
        <w:spacing w:before="100" w:beforeAutospacing="1" w:after="100" w:afterAutospacing="1"/>
        <w:rPr>
          <w:rFonts w:ascii="Cambria" w:hAnsi="Cambria"/>
          <w:b w:val="0"/>
          <w:sz w:val="24"/>
          <w:szCs w:val="24"/>
          <w:lang w:val="en-US"/>
        </w:rPr>
      </w:pPr>
    </w:p>
    <w:p w:rsidR="0060585A" w:rsidRPr="00D10DF0" w:rsidRDefault="0060585A" w:rsidP="00D10DF0">
      <w:pPr>
        <w:pStyle w:val="Heading2"/>
        <w:keepNext w:val="0"/>
        <w:widowControl w:val="0"/>
        <w:spacing w:before="100" w:beforeAutospacing="1" w:after="100" w:afterAutospacing="1"/>
        <w:rPr>
          <w:rFonts w:ascii="Cambria" w:hAnsi="Cambria"/>
          <w:b w:val="0"/>
          <w:sz w:val="24"/>
          <w:szCs w:val="24"/>
          <w:lang w:val="en-US"/>
        </w:rPr>
      </w:pPr>
      <w:r w:rsidRPr="00D10DF0">
        <w:rPr>
          <w:rFonts w:ascii="Cambria" w:hAnsi="Cambria"/>
          <w:b w:val="0"/>
          <w:sz w:val="24"/>
          <w:szCs w:val="24"/>
          <w:lang w:val="en-US"/>
        </w:rPr>
        <w:t xml:space="preserve">Despite the challenging external environment, EU11 countries did well in 2011.  First, economic growth strengthened to above 3 percent (from around 2 percent in 2010) and the region fully recovered its output losses from the global financial crisis.  Second, fiscal measures delivered reduction of around 3 percent of GDP in the EU11 average fiscal deficit.  Third, the financial sector remained resilient to renewed concerns about negative feedback loops between insecure sovereign debtors and fragile financial markets.  </w:t>
      </w:r>
    </w:p>
    <w:p w:rsidR="0060585A" w:rsidRPr="00D10DF0" w:rsidRDefault="0060585A" w:rsidP="007319BD">
      <w:pPr>
        <w:widowControl w:val="0"/>
        <w:spacing w:before="100" w:beforeAutospacing="1" w:after="100" w:afterAutospacing="1"/>
        <w:rPr>
          <w:rFonts w:cs="Arial"/>
          <w:bCs/>
          <w:i/>
          <w:iCs/>
          <w:lang w:eastAsia="pl-PL"/>
        </w:rPr>
      </w:pPr>
      <w:r w:rsidRPr="00D10DF0">
        <w:rPr>
          <w:rFonts w:cs="Arial"/>
          <w:bCs/>
          <w:i/>
          <w:iCs/>
          <w:lang w:eastAsia="pl-PL"/>
        </w:rPr>
        <w:t xml:space="preserve">However, the good performance conceals important shifts in economic sentiment that occurred during the year.  While the growth momentum was still strong in the first half of 2011, it slowed toward the end of the year, as the region started to feel the impact of lingering concerns about European sovereign-debt markets, creeping oil prices, and the global slowdown. With the downward trend in economic activity, labor markets remained slack.  Unemployment rates hovered around those recorded in the midst of the global financial crisis with sluggish employment growth. </w:t>
      </w:r>
    </w:p>
    <w:p w:rsidR="00D10DF0" w:rsidRDefault="0060585A" w:rsidP="00D10DF0">
      <w:pPr>
        <w:pStyle w:val="Heading2"/>
        <w:keepNext w:val="0"/>
        <w:widowControl w:val="0"/>
        <w:spacing w:before="100" w:beforeAutospacing="1" w:after="100" w:afterAutospacing="1"/>
        <w:rPr>
          <w:rFonts w:ascii="Cambria" w:hAnsi="Cambria"/>
          <w:b w:val="0"/>
          <w:sz w:val="24"/>
          <w:szCs w:val="24"/>
          <w:lang w:val="en-US"/>
        </w:rPr>
      </w:pPr>
      <w:r w:rsidRPr="00D10DF0">
        <w:rPr>
          <w:rFonts w:ascii="Cambria" w:hAnsi="Cambria"/>
          <w:b w:val="0"/>
          <w:sz w:val="24"/>
          <w:szCs w:val="24"/>
          <w:lang w:val="en-US"/>
        </w:rPr>
        <w:t>In mid-2012, three and a half years after the global financial crisis broke, EU11 counties are yet again faced with serious external shocks. With the economic slowdown in Europe, the prospects for EU11 countries look now weaker than six months ago. Since then a number of downside risks have materialized</w:t>
      </w:r>
      <w:r w:rsidR="00D10DF0">
        <w:rPr>
          <w:rFonts w:ascii="Cambria" w:hAnsi="Cambria"/>
          <w:b w:val="0"/>
          <w:sz w:val="24"/>
          <w:szCs w:val="24"/>
          <w:lang w:val="en-US"/>
        </w:rPr>
        <w:t xml:space="preserve">. </w:t>
      </w:r>
    </w:p>
    <w:p w:rsidR="00D10DF0" w:rsidRDefault="00D10DF0" w:rsidP="00D10DF0">
      <w:pPr>
        <w:pStyle w:val="Heading2"/>
        <w:keepNext w:val="0"/>
        <w:widowControl w:val="0"/>
        <w:spacing w:before="100" w:beforeAutospacing="1" w:after="100" w:afterAutospacing="1"/>
        <w:rPr>
          <w:rFonts w:ascii="Cambria" w:hAnsi="Cambria"/>
          <w:b w:val="0"/>
          <w:sz w:val="24"/>
          <w:szCs w:val="24"/>
          <w:lang w:val="en-US"/>
        </w:rPr>
      </w:pPr>
      <w:r>
        <w:rPr>
          <w:rFonts w:ascii="Cambria" w:hAnsi="Cambria"/>
          <w:b w:val="0"/>
          <w:sz w:val="24"/>
          <w:szCs w:val="24"/>
          <w:lang w:val="en-US"/>
        </w:rPr>
        <w:br w:type="column"/>
      </w:r>
    </w:p>
    <w:p w:rsidR="0060585A" w:rsidRPr="00D10DF0" w:rsidRDefault="00D10DF0" w:rsidP="00D10DF0">
      <w:pPr>
        <w:pStyle w:val="Heading2"/>
        <w:keepNext w:val="0"/>
        <w:widowControl w:val="0"/>
        <w:spacing w:before="100" w:beforeAutospacing="1" w:after="100" w:afterAutospacing="1"/>
        <w:rPr>
          <w:rFonts w:ascii="Cambria" w:hAnsi="Cambria"/>
          <w:b w:val="0"/>
          <w:sz w:val="24"/>
          <w:szCs w:val="24"/>
          <w:lang w:val="en-US"/>
        </w:rPr>
      </w:pPr>
      <w:r>
        <w:rPr>
          <w:rFonts w:ascii="Cambria" w:hAnsi="Cambria"/>
          <w:b w:val="0"/>
          <w:sz w:val="24"/>
          <w:szCs w:val="24"/>
          <w:lang w:val="en-US"/>
        </w:rPr>
        <w:t>F</w:t>
      </w:r>
      <w:r w:rsidR="0060585A" w:rsidRPr="00D10DF0">
        <w:rPr>
          <w:rFonts w:ascii="Cambria" w:hAnsi="Cambria"/>
          <w:b w:val="0"/>
          <w:sz w:val="24"/>
          <w:szCs w:val="24"/>
          <w:lang w:val="en-US"/>
        </w:rPr>
        <w:t xml:space="preserve">irst, the slowdown in economic activity in EU15 has been worse than expected and raised doubts about the prospects for economic recovery in Europe; second, the impact of bold economic policy interventions in late 2011 and early 2012 was short-lived and financial markets have remained fragile; third, the uncertainty and volatility in financial markets has further undermined the confidence of both investors and households. </w:t>
      </w:r>
    </w:p>
    <w:p w:rsidR="0060585A" w:rsidRPr="00D10DF0" w:rsidRDefault="0060585A" w:rsidP="00D10DF0">
      <w:pPr>
        <w:widowControl w:val="0"/>
        <w:spacing w:before="100" w:beforeAutospacing="1" w:after="100" w:afterAutospacing="1"/>
        <w:rPr>
          <w:rFonts w:cs="Arial"/>
          <w:bCs/>
          <w:i/>
          <w:iCs/>
          <w:lang w:eastAsia="pl-PL"/>
        </w:rPr>
      </w:pPr>
      <w:r w:rsidRPr="00D10DF0">
        <w:rPr>
          <w:rFonts w:cs="Arial"/>
          <w:bCs/>
          <w:i/>
          <w:iCs/>
          <w:lang w:eastAsia="pl-PL"/>
        </w:rPr>
        <w:t>In this volatile environment, economic growth in EU11 countries is set to decrease from 2011 levels to 1.5 percent in 2012, with all EU11 countries growing slower than a year before and three countries slipping into recession. However, given the heightened uncertainty, even this projected modest growth assumes that policies will be adopted in the Euro area to successfully avoid a serious deterioration in international financial market conditions. The near-term labor market outlook also remains unfavorable with unemployment at stubbornly high rates.  With the weakening of economic activity and real wage growth below productivity growth, price pressures are expected to subside. Deliberate exchange rate flexibility and accommodative monetary policy in some EU11 countries are likely to continue to help the economies respond to the Euro area volatility. Banks’ funding pressures may intensify if the deleveraging process advances further.</w:t>
      </w:r>
    </w:p>
    <w:p w:rsidR="0060585A" w:rsidRPr="00D10DF0" w:rsidRDefault="00D10DF0" w:rsidP="007319BD">
      <w:pPr>
        <w:pStyle w:val="Heading2"/>
        <w:keepNext w:val="0"/>
        <w:widowControl w:val="0"/>
        <w:spacing w:before="120"/>
        <w:rPr>
          <w:rFonts w:ascii="Cambria" w:hAnsi="Cambria"/>
          <w:b w:val="0"/>
          <w:sz w:val="24"/>
          <w:szCs w:val="24"/>
          <w:lang w:val="en-US"/>
        </w:rPr>
      </w:pPr>
      <w:r>
        <w:rPr>
          <w:rFonts w:ascii="Cambria" w:hAnsi="Cambria"/>
          <w:b w:val="0"/>
          <w:sz w:val="24"/>
          <w:szCs w:val="24"/>
          <w:lang w:val="en-US"/>
        </w:rPr>
        <w:br w:type="column"/>
      </w:r>
      <w:r w:rsidR="0060585A" w:rsidRPr="00D10DF0">
        <w:rPr>
          <w:rFonts w:ascii="Cambria" w:hAnsi="Cambria"/>
          <w:b w:val="0"/>
          <w:sz w:val="24"/>
          <w:szCs w:val="24"/>
          <w:lang w:val="en-US"/>
        </w:rPr>
        <w:lastRenderedPageBreak/>
        <w:t>A weak and uncertain economic outlook means that strong, three-pronged policy action is essential.  First, central banks and financial supervisory authorities across the EU have to shore up confidence of financial markets.  Monetary policy should continue to be accommodative in order to buffer EU11 against external shocks and help the economy defend against euro area volatility.  Polic</w:t>
      </w:r>
      <w:r>
        <w:rPr>
          <w:rFonts w:ascii="Cambria" w:hAnsi="Cambria"/>
          <w:b w:val="0"/>
          <w:sz w:val="24"/>
          <w:szCs w:val="24"/>
          <w:lang w:val="en-US"/>
        </w:rPr>
        <w:t>i</w:t>
      </w:r>
      <w:r w:rsidR="0060585A" w:rsidRPr="00D10DF0">
        <w:rPr>
          <w:rFonts w:ascii="Cambria" w:hAnsi="Cambria"/>
          <w:b w:val="0"/>
          <w:sz w:val="24"/>
          <w:szCs w:val="24"/>
          <w:lang w:val="en-US"/>
        </w:rPr>
        <w:t xml:space="preserve">es should be in place to ensure access to credit for viable borrowers despite banks' balance sheet pressures and ongoing deleveraging. Second, with heightened uncertainty and market pressures on the one hand and decelerating economic growth on the other, the EU11 governments must decide how much, how fast, and in what ways they want to consolidate public finances, so that their fiscal positions do not become the source for financial market volatility. While the EU11 countries have specified numerical fiscal targets, they still need to spell out the measures to achieve the envisioned adjustments. In designing the composition of fiscal consolidation, governments should take into account the fragility of the economic outlook and try to limit the negative impact of fiscal consolidation on growth.  Finally, structural policies in support of growth can help to overcome the financial, labor and fiscal challenges.  Europe 2020 -- the EU strategy for jobs and growth -- sets ambitious targets to tackle not only the ongoing financial and macroeconomic challenges, but also the structural obstacles to sustainable growth in Europe. </w:t>
      </w:r>
      <w:r>
        <w:rPr>
          <w:rFonts w:ascii="Cambria" w:hAnsi="Cambria"/>
          <w:b w:val="0"/>
          <w:sz w:val="24"/>
          <w:szCs w:val="24"/>
          <w:lang w:val="en-US"/>
        </w:rPr>
        <w:br w:type="column"/>
      </w:r>
      <w:r w:rsidR="0060585A" w:rsidRPr="00D10DF0">
        <w:rPr>
          <w:rFonts w:ascii="Cambria" w:hAnsi="Cambria"/>
          <w:b w:val="0"/>
          <w:sz w:val="24"/>
          <w:szCs w:val="24"/>
          <w:lang w:val="en-US"/>
        </w:rPr>
        <w:lastRenderedPageBreak/>
        <w:t>By removing barriers to growth in product and labor markets, the EU11 countries can increase their potential economic gains in the medium term. Closing the existing institutional and structural gaps with the rest of the EU will soften the constraints imposed by demographic threats and produce sizable returns in income convergence with EU15. Providing incentives for labor mobility, making public finances more sustainable, adapting social security systems to demographic developments and harmonizing regulation across borders are key reform priorities for EU11.</w:t>
      </w:r>
    </w:p>
    <w:p w:rsidR="0060585A" w:rsidRPr="0048623F" w:rsidRDefault="0060585A" w:rsidP="0048623F">
      <w:pPr>
        <w:rPr>
          <w:lang w:eastAsia="pl-PL"/>
        </w:rPr>
      </w:pPr>
    </w:p>
    <w:tbl>
      <w:tblPr>
        <w:tblW w:w="4453" w:type="dxa"/>
        <w:jc w:val="center"/>
        <w:tblLook w:val="00A0"/>
      </w:tblPr>
      <w:tblGrid>
        <w:gridCol w:w="4468"/>
      </w:tblGrid>
      <w:tr w:rsidR="0060585A" w:rsidRPr="00321D31" w:rsidTr="00321D31">
        <w:trPr>
          <w:trHeight w:val="352"/>
          <w:jc w:val="center"/>
        </w:trPr>
        <w:tc>
          <w:tcPr>
            <w:tcW w:w="4453" w:type="dxa"/>
          </w:tcPr>
          <w:p w:rsidR="0060585A" w:rsidRPr="00321D31" w:rsidRDefault="0060585A" w:rsidP="00321D31">
            <w:pPr>
              <w:pStyle w:val="Caption"/>
              <w:widowControl w:val="0"/>
              <w:spacing w:before="60" w:after="60"/>
              <w:rPr>
                <w:color w:val="auto"/>
              </w:rPr>
            </w:pPr>
            <w:r w:rsidRPr="00321D31">
              <w:rPr>
                <w:color w:val="auto"/>
              </w:rPr>
              <w:t>EU11 growth prospects</w:t>
            </w:r>
          </w:p>
        </w:tc>
      </w:tr>
      <w:tr w:rsidR="0060585A" w:rsidRPr="00321D31" w:rsidTr="00321D31">
        <w:trPr>
          <w:trHeight w:val="3430"/>
          <w:jc w:val="center"/>
        </w:trPr>
        <w:tc>
          <w:tcPr>
            <w:tcW w:w="4453" w:type="dxa"/>
          </w:tcPr>
          <w:tbl>
            <w:tblPr>
              <w:tblW w:w="4217" w:type="dxa"/>
              <w:tblBorders>
                <w:top w:val="single" w:sz="8" w:space="0" w:color="4F81BD"/>
                <w:left w:val="single" w:sz="8" w:space="0" w:color="4F81BD"/>
                <w:bottom w:val="single" w:sz="8" w:space="0" w:color="4F81BD"/>
                <w:right w:val="single" w:sz="8" w:space="0" w:color="4F81BD"/>
              </w:tblBorders>
              <w:tblLook w:val="00A0"/>
            </w:tblPr>
            <w:tblGrid>
              <w:gridCol w:w="1754"/>
              <w:gridCol w:w="596"/>
              <w:gridCol w:w="941"/>
              <w:gridCol w:w="941"/>
            </w:tblGrid>
            <w:tr w:rsidR="0060585A" w:rsidRPr="00321D31" w:rsidTr="00321D31">
              <w:trPr>
                <w:trHeight w:val="202"/>
              </w:trPr>
              <w:tc>
                <w:tcPr>
                  <w:tcW w:w="1754" w:type="dxa"/>
                  <w:tcBorders>
                    <w:top w:val="single" w:sz="8" w:space="0" w:color="4F81BD"/>
                    <w:left w:val="single" w:sz="8" w:space="0" w:color="4F81BD"/>
                  </w:tcBorders>
                  <w:shd w:val="clear" w:color="auto" w:fill="4F81BD"/>
                  <w:noWrap/>
                  <w:vAlign w:val="center"/>
                </w:tcPr>
                <w:p w:rsidR="0060585A" w:rsidRPr="00321D31" w:rsidRDefault="0060585A" w:rsidP="00321D31">
                  <w:pPr>
                    <w:widowControl w:val="0"/>
                    <w:jc w:val="center"/>
                    <w:rPr>
                      <w:b/>
                      <w:bCs/>
                      <w:sz w:val="16"/>
                      <w:szCs w:val="16"/>
                    </w:rPr>
                  </w:pPr>
                </w:p>
              </w:tc>
              <w:tc>
                <w:tcPr>
                  <w:tcW w:w="581" w:type="dxa"/>
                  <w:tcBorders>
                    <w:top w:val="single" w:sz="8" w:space="0" w:color="4F81BD"/>
                  </w:tcBorders>
                  <w:shd w:val="clear" w:color="auto" w:fill="4F81BD"/>
                  <w:noWrap/>
                  <w:vAlign w:val="center"/>
                </w:tcPr>
                <w:p w:rsidR="0060585A" w:rsidRPr="00321D31" w:rsidRDefault="0060585A" w:rsidP="00321D31">
                  <w:pPr>
                    <w:widowControl w:val="0"/>
                    <w:jc w:val="center"/>
                    <w:rPr>
                      <w:b/>
                      <w:bCs/>
                      <w:sz w:val="16"/>
                      <w:szCs w:val="16"/>
                    </w:rPr>
                  </w:pPr>
                  <w:r w:rsidRPr="00321D31">
                    <w:rPr>
                      <w:b/>
                      <w:bCs/>
                      <w:sz w:val="16"/>
                      <w:szCs w:val="16"/>
                    </w:rPr>
                    <w:t>2011</w:t>
                  </w:r>
                </w:p>
              </w:tc>
              <w:tc>
                <w:tcPr>
                  <w:tcW w:w="941" w:type="dxa"/>
                  <w:tcBorders>
                    <w:top w:val="single" w:sz="8" w:space="0" w:color="4F81BD"/>
                  </w:tcBorders>
                  <w:shd w:val="clear" w:color="auto" w:fill="4F81BD"/>
                  <w:noWrap/>
                  <w:vAlign w:val="center"/>
                </w:tcPr>
                <w:p w:rsidR="0060585A" w:rsidRPr="00321D31" w:rsidRDefault="0060585A" w:rsidP="00321D31">
                  <w:pPr>
                    <w:widowControl w:val="0"/>
                    <w:jc w:val="center"/>
                    <w:rPr>
                      <w:b/>
                      <w:bCs/>
                      <w:sz w:val="16"/>
                      <w:szCs w:val="16"/>
                    </w:rPr>
                  </w:pPr>
                  <w:r w:rsidRPr="00321D31">
                    <w:rPr>
                      <w:b/>
                      <w:bCs/>
                      <w:sz w:val="16"/>
                      <w:szCs w:val="16"/>
                    </w:rPr>
                    <w:t>2012</w:t>
                  </w:r>
                </w:p>
              </w:tc>
              <w:tc>
                <w:tcPr>
                  <w:tcW w:w="941" w:type="dxa"/>
                  <w:tcBorders>
                    <w:top w:val="single" w:sz="8" w:space="0" w:color="4F81BD"/>
                    <w:right w:val="single" w:sz="8" w:space="0" w:color="4F81BD"/>
                  </w:tcBorders>
                  <w:shd w:val="clear" w:color="auto" w:fill="4F81BD"/>
                  <w:noWrap/>
                  <w:vAlign w:val="center"/>
                </w:tcPr>
                <w:p w:rsidR="0060585A" w:rsidRPr="00321D31" w:rsidRDefault="0060585A" w:rsidP="00321D31">
                  <w:pPr>
                    <w:widowControl w:val="0"/>
                    <w:jc w:val="center"/>
                    <w:rPr>
                      <w:b/>
                      <w:bCs/>
                      <w:sz w:val="16"/>
                      <w:szCs w:val="16"/>
                    </w:rPr>
                  </w:pPr>
                  <w:r w:rsidRPr="00321D31">
                    <w:rPr>
                      <w:b/>
                      <w:bCs/>
                      <w:sz w:val="16"/>
                      <w:szCs w:val="16"/>
                    </w:rPr>
                    <w:t>2013</w:t>
                  </w:r>
                </w:p>
              </w:tc>
            </w:tr>
            <w:tr w:rsidR="0060585A" w:rsidRPr="00321D31" w:rsidTr="00321D31">
              <w:trPr>
                <w:trHeight w:val="202"/>
              </w:trPr>
              <w:tc>
                <w:tcPr>
                  <w:tcW w:w="1754" w:type="dxa"/>
                  <w:tcBorders>
                    <w:top w:val="single" w:sz="8" w:space="0" w:color="4F81BD"/>
                    <w:left w:val="single" w:sz="8" w:space="0" w:color="4F81BD"/>
                    <w:bottom w:val="single" w:sz="8" w:space="0" w:color="4F81BD"/>
                  </w:tcBorders>
                  <w:noWrap/>
                  <w:vAlign w:val="center"/>
                </w:tcPr>
                <w:p w:rsidR="0060585A" w:rsidRPr="00321D31" w:rsidRDefault="0060585A" w:rsidP="00321D31">
                  <w:pPr>
                    <w:widowControl w:val="0"/>
                    <w:jc w:val="left"/>
                    <w:rPr>
                      <w:b/>
                      <w:bCs/>
                      <w:sz w:val="16"/>
                      <w:szCs w:val="16"/>
                    </w:rPr>
                  </w:pPr>
                  <w:r w:rsidRPr="00321D31">
                    <w:rPr>
                      <w:b/>
                      <w:bCs/>
                      <w:sz w:val="16"/>
                      <w:szCs w:val="16"/>
                    </w:rPr>
                    <w:t>EU11</w:t>
                  </w:r>
                </w:p>
              </w:tc>
              <w:tc>
                <w:tcPr>
                  <w:tcW w:w="581" w:type="dxa"/>
                  <w:tcBorders>
                    <w:top w:val="single" w:sz="8" w:space="0" w:color="4F81BD"/>
                    <w:bottom w:val="single" w:sz="8" w:space="0" w:color="4F81BD"/>
                  </w:tcBorders>
                  <w:noWrap/>
                  <w:vAlign w:val="center"/>
                </w:tcPr>
                <w:p w:rsidR="0060585A" w:rsidRPr="00321D31" w:rsidRDefault="0060585A" w:rsidP="00321D31">
                  <w:pPr>
                    <w:widowControl w:val="0"/>
                    <w:jc w:val="center"/>
                    <w:rPr>
                      <w:b/>
                      <w:sz w:val="16"/>
                      <w:szCs w:val="16"/>
                    </w:rPr>
                  </w:pPr>
                  <w:r w:rsidRPr="00321D31">
                    <w:rPr>
                      <w:b/>
                      <w:sz w:val="16"/>
                      <w:szCs w:val="16"/>
                    </w:rPr>
                    <w:t>3.1</w:t>
                  </w:r>
                </w:p>
              </w:tc>
              <w:tc>
                <w:tcPr>
                  <w:tcW w:w="941" w:type="dxa"/>
                  <w:tcBorders>
                    <w:top w:val="single" w:sz="8" w:space="0" w:color="4F81BD"/>
                    <w:bottom w:val="single" w:sz="8" w:space="0" w:color="4F81BD"/>
                  </w:tcBorders>
                  <w:noWrap/>
                  <w:vAlign w:val="center"/>
                </w:tcPr>
                <w:p w:rsidR="0060585A" w:rsidRPr="00321D31" w:rsidRDefault="0060585A" w:rsidP="00321D31">
                  <w:pPr>
                    <w:widowControl w:val="0"/>
                    <w:jc w:val="center"/>
                    <w:rPr>
                      <w:b/>
                      <w:sz w:val="16"/>
                      <w:szCs w:val="16"/>
                    </w:rPr>
                  </w:pPr>
                  <w:r w:rsidRPr="00321D31">
                    <w:rPr>
                      <w:b/>
                      <w:sz w:val="16"/>
                      <w:szCs w:val="16"/>
                    </w:rPr>
                    <w:t>1.5</w:t>
                  </w:r>
                </w:p>
              </w:tc>
              <w:tc>
                <w:tcPr>
                  <w:tcW w:w="941" w:type="dxa"/>
                  <w:tcBorders>
                    <w:top w:val="single" w:sz="8" w:space="0" w:color="4F81BD"/>
                    <w:bottom w:val="single" w:sz="8" w:space="0" w:color="4F81BD"/>
                    <w:right w:val="single" w:sz="8" w:space="0" w:color="4F81BD"/>
                  </w:tcBorders>
                  <w:noWrap/>
                  <w:vAlign w:val="center"/>
                </w:tcPr>
                <w:p w:rsidR="0060585A" w:rsidRPr="00321D31" w:rsidRDefault="0060585A" w:rsidP="00321D31">
                  <w:pPr>
                    <w:widowControl w:val="0"/>
                    <w:jc w:val="center"/>
                    <w:rPr>
                      <w:b/>
                      <w:sz w:val="16"/>
                      <w:szCs w:val="16"/>
                    </w:rPr>
                  </w:pPr>
                  <w:r w:rsidRPr="00321D31">
                    <w:rPr>
                      <w:b/>
                      <w:sz w:val="16"/>
                      <w:szCs w:val="16"/>
                    </w:rPr>
                    <w:t>2.5</w:t>
                  </w:r>
                </w:p>
              </w:tc>
            </w:tr>
            <w:tr w:rsidR="0060585A" w:rsidRPr="00321D31" w:rsidTr="00321D31">
              <w:trPr>
                <w:trHeight w:val="202"/>
              </w:trPr>
              <w:tc>
                <w:tcPr>
                  <w:tcW w:w="1754" w:type="dxa"/>
                  <w:tcBorders>
                    <w:left w:val="single" w:sz="8" w:space="0" w:color="4F81BD"/>
                  </w:tcBorders>
                  <w:noWrap/>
                  <w:vAlign w:val="center"/>
                </w:tcPr>
                <w:p w:rsidR="0060585A" w:rsidRPr="00321D31" w:rsidRDefault="0060585A" w:rsidP="00321D31">
                  <w:pPr>
                    <w:widowControl w:val="0"/>
                    <w:jc w:val="left"/>
                    <w:rPr>
                      <w:b/>
                      <w:bCs/>
                      <w:sz w:val="16"/>
                      <w:szCs w:val="16"/>
                    </w:rPr>
                  </w:pPr>
                  <w:smartTag w:uri="urn:schemas-microsoft-com:office:smarttags" w:element="place">
                    <w:smartTag w:uri="urn:schemas-microsoft-com:office:smarttags" w:element="country-region">
                      <w:r w:rsidRPr="00321D31">
                        <w:rPr>
                          <w:bCs/>
                          <w:sz w:val="16"/>
                          <w:szCs w:val="16"/>
                        </w:rPr>
                        <w:t>Bulgaria</w:t>
                      </w:r>
                    </w:smartTag>
                  </w:smartTag>
                </w:p>
              </w:tc>
              <w:tc>
                <w:tcPr>
                  <w:tcW w:w="581" w:type="dxa"/>
                  <w:noWrap/>
                  <w:vAlign w:val="center"/>
                </w:tcPr>
                <w:p w:rsidR="0060585A" w:rsidRPr="00321D31" w:rsidRDefault="0060585A" w:rsidP="00321D31">
                  <w:pPr>
                    <w:widowControl w:val="0"/>
                    <w:jc w:val="center"/>
                    <w:rPr>
                      <w:sz w:val="16"/>
                      <w:szCs w:val="16"/>
                    </w:rPr>
                  </w:pPr>
                  <w:r w:rsidRPr="00321D31">
                    <w:rPr>
                      <w:sz w:val="16"/>
                      <w:szCs w:val="16"/>
                    </w:rPr>
                    <w:t>1.7</w:t>
                  </w:r>
                </w:p>
              </w:tc>
              <w:tc>
                <w:tcPr>
                  <w:tcW w:w="941" w:type="dxa"/>
                  <w:noWrap/>
                  <w:vAlign w:val="center"/>
                </w:tcPr>
                <w:p w:rsidR="0060585A" w:rsidRPr="00321D31" w:rsidRDefault="0060585A" w:rsidP="00321D31">
                  <w:pPr>
                    <w:widowControl w:val="0"/>
                    <w:jc w:val="center"/>
                    <w:rPr>
                      <w:sz w:val="16"/>
                      <w:szCs w:val="16"/>
                    </w:rPr>
                  </w:pPr>
                  <w:r w:rsidRPr="00321D31">
                    <w:rPr>
                      <w:sz w:val="16"/>
                      <w:szCs w:val="16"/>
                    </w:rPr>
                    <w:t>0.6</w:t>
                  </w:r>
                </w:p>
              </w:tc>
              <w:tc>
                <w:tcPr>
                  <w:tcW w:w="941" w:type="dxa"/>
                  <w:tcBorders>
                    <w:right w:val="single" w:sz="8" w:space="0" w:color="4F81BD"/>
                  </w:tcBorders>
                  <w:noWrap/>
                  <w:vAlign w:val="center"/>
                </w:tcPr>
                <w:p w:rsidR="0060585A" w:rsidRPr="00321D31" w:rsidRDefault="0060585A" w:rsidP="00321D31">
                  <w:pPr>
                    <w:widowControl w:val="0"/>
                    <w:jc w:val="center"/>
                    <w:rPr>
                      <w:sz w:val="16"/>
                      <w:szCs w:val="16"/>
                    </w:rPr>
                  </w:pPr>
                  <w:r w:rsidRPr="00321D31">
                    <w:rPr>
                      <w:sz w:val="16"/>
                      <w:szCs w:val="16"/>
                    </w:rPr>
                    <w:t>2.5</w:t>
                  </w:r>
                </w:p>
              </w:tc>
            </w:tr>
            <w:tr w:rsidR="0060585A" w:rsidRPr="00321D31" w:rsidTr="00321D31">
              <w:trPr>
                <w:trHeight w:val="202"/>
              </w:trPr>
              <w:tc>
                <w:tcPr>
                  <w:tcW w:w="1754" w:type="dxa"/>
                  <w:tcBorders>
                    <w:top w:val="single" w:sz="8" w:space="0" w:color="4F81BD"/>
                    <w:left w:val="single" w:sz="8" w:space="0" w:color="4F81BD"/>
                    <w:bottom w:val="single" w:sz="8" w:space="0" w:color="4F81BD"/>
                  </w:tcBorders>
                  <w:noWrap/>
                  <w:vAlign w:val="center"/>
                </w:tcPr>
                <w:p w:rsidR="0060585A" w:rsidRPr="00321D31" w:rsidRDefault="0060585A" w:rsidP="00321D31">
                  <w:pPr>
                    <w:widowControl w:val="0"/>
                    <w:jc w:val="left"/>
                    <w:rPr>
                      <w:b/>
                      <w:bCs/>
                      <w:sz w:val="16"/>
                      <w:szCs w:val="16"/>
                    </w:rPr>
                  </w:pPr>
                  <w:smartTag w:uri="urn:schemas-microsoft-com:office:smarttags" w:element="place">
                    <w:smartTag w:uri="urn:schemas-microsoft-com:office:smarttags" w:element="PlaceName">
                      <w:r w:rsidRPr="00321D31">
                        <w:rPr>
                          <w:bCs/>
                          <w:sz w:val="16"/>
                          <w:szCs w:val="16"/>
                        </w:rPr>
                        <w:t>Czech</w:t>
                      </w:r>
                    </w:smartTag>
                    <w:r w:rsidRPr="00321D31">
                      <w:rPr>
                        <w:bCs/>
                        <w:sz w:val="16"/>
                        <w:szCs w:val="16"/>
                      </w:rPr>
                      <w:t xml:space="preserve"> </w:t>
                    </w:r>
                    <w:smartTag w:uri="urn:schemas-microsoft-com:office:smarttags" w:element="PlaceType">
                      <w:r w:rsidRPr="00321D31">
                        <w:rPr>
                          <w:bCs/>
                          <w:sz w:val="16"/>
                          <w:szCs w:val="16"/>
                        </w:rPr>
                        <w:t>Republic</w:t>
                      </w:r>
                    </w:smartTag>
                  </w:smartTag>
                </w:p>
              </w:tc>
              <w:tc>
                <w:tcPr>
                  <w:tcW w:w="581" w:type="dxa"/>
                  <w:tcBorders>
                    <w:top w:val="single" w:sz="8" w:space="0" w:color="4F81BD"/>
                    <w:bottom w:val="single" w:sz="8" w:space="0" w:color="4F81BD"/>
                  </w:tcBorders>
                  <w:noWrap/>
                  <w:vAlign w:val="center"/>
                </w:tcPr>
                <w:p w:rsidR="0060585A" w:rsidRPr="00321D31" w:rsidRDefault="0060585A" w:rsidP="00321D31">
                  <w:pPr>
                    <w:widowControl w:val="0"/>
                    <w:jc w:val="center"/>
                    <w:rPr>
                      <w:sz w:val="16"/>
                      <w:szCs w:val="16"/>
                    </w:rPr>
                  </w:pPr>
                  <w:r w:rsidRPr="00321D31">
                    <w:rPr>
                      <w:sz w:val="16"/>
                      <w:szCs w:val="16"/>
                    </w:rPr>
                    <w:t>1.7</w:t>
                  </w:r>
                </w:p>
              </w:tc>
              <w:tc>
                <w:tcPr>
                  <w:tcW w:w="941" w:type="dxa"/>
                  <w:tcBorders>
                    <w:top w:val="single" w:sz="8" w:space="0" w:color="4F81BD"/>
                    <w:bottom w:val="single" w:sz="8" w:space="0" w:color="4F81BD"/>
                  </w:tcBorders>
                  <w:noWrap/>
                  <w:vAlign w:val="center"/>
                </w:tcPr>
                <w:p w:rsidR="0060585A" w:rsidRPr="00321D31" w:rsidRDefault="0060585A" w:rsidP="00321D31">
                  <w:pPr>
                    <w:widowControl w:val="0"/>
                    <w:jc w:val="center"/>
                    <w:rPr>
                      <w:sz w:val="16"/>
                      <w:szCs w:val="16"/>
                    </w:rPr>
                  </w:pPr>
                  <w:r w:rsidRPr="00321D31">
                    <w:rPr>
                      <w:sz w:val="16"/>
                      <w:szCs w:val="16"/>
                    </w:rPr>
                    <w:t>0.0</w:t>
                  </w:r>
                </w:p>
              </w:tc>
              <w:tc>
                <w:tcPr>
                  <w:tcW w:w="941" w:type="dxa"/>
                  <w:tcBorders>
                    <w:top w:val="single" w:sz="8" w:space="0" w:color="4F81BD"/>
                    <w:bottom w:val="single" w:sz="8" w:space="0" w:color="4F81BD"/>
                    <w:right w:val="single" w:sz="8" w:space="0" w:color="4F81BD"/>
                  </w:tcBorders>
                  <w:noWrap/>
                  <w:vAlign w:val="center"/>
                </w:tcPr>
                <w:p w:rsidR="0060585A" w:rsidRPr="00321D31" w:rsidRDefault="0060585A" w:rsidP="00321D31">
                  <w:pPr>
                    <w:widowControl w:val="0"/>
                    <w:jc w:val="center"/>
                    <w:rPr>
                      <w:sz w:val="16"/>
                      <w:szCs w:val="16"/>
                    </w:rPr>
                  </w:pPr>
                  <w:r w:rsidRPr="00321D31">
                    <w:rPr>
                      <w:sz w:val="16"/>
                      <w:szCs w:val="16"/>
                    </w:rPr>
                    <w:t>1.0</w:t>
                  </w:r>
                </w:p>
              </w:tc>
            </w:tr>
            <w:tr w:rsidR="0060585A" w:rsidRPr="00321D31" w:rsidTr="00321D31">
              <w:trPr>
                <w:trHeight w:val="202"/>
              </w:trPr>
              <w:tc>
                <w:tcPr>
                  <w:tcW w:w="1754" w:type="dxa"/>
                  <w:tcBorders>
                    <w:left w:val="single" w:sz="8" w:space="0" w:color="4F81BD"/>
                  </w:tcBorders>
                  <w:noWrap/>
                  <w:vAlign w:val="center"/>
                </w:tcPr>
                <w:p w:rsidR="0060585A" w:rsidRPr="00321D31" w:rsidRDefault="0060585A" w:rsidP="00321D31">
                  <w:pPr>
                    <w:widowControl w:val="0"/>
                    <w:jc w:val="left"/>
                    <w:rPr>
                      <w:b/>
                      <w:bCs/>
                      <w:sz w:val="16"/>
                      <w:szCs w:val="16"/>
                    </w:rPr>
                  </w:pPr>
                  <w:smartTag w:uri="urn:schemas-microsoft-com:office:smarttags" w:element="place">
                    <w:smartTag w:uri="urn:schemas-microsoft-com:office:smarttags" w:element="country-region">
                      <w:r w:rsidRPr="00321D31">
                        <w:rPr>
                          <w:bCs/>
                          <w:sz w:val="16"/>
                          <w:szCs w:val="16"/>
                        </w:rPr>
                        <w:t>Estonia</w:t>
                      </w:r>
                    </w:smartTag>
                  </w:smartTag>
                </w:p>
              </w:tc>
              <w:tc>
                <w:tcPr>
                  <w:tcW w:w="581" w:type="dxa"/>
                  <w:noWrap/>
                  <w:vAlign w:val="center"/>
                </w:tcPr>
                <w:p w:rsidR="0060585A" w:rsidRPr="00321D31" w:rsidRDefault="0060585A" w:rsidP="00321D31">
                  <w:pPr>
                    <w:widowControl w:val="0"/>
                    <w:jc w:val="center"/>
                    <w:rPr>
                      <w:sz w:val="16"/>
                      <w:szCs w:val="16"/>
                    </w:rPr>
                  </w:pPr>
                  <w:r w:rsidRPr="00321D31">
                    <w:rPr>
                      <w:sz w:val="16"/>
                      <w:szCs w:val="16"/>
                    </w:rPr>
                    <w:t>7.6</w:t>
                  </w:r>
                </w:p>
              </w:tc>
              <w:tc>
                <w:tcPr>
                  <w:tcW w:w="941" w:type="dxa"/>
                  <w:noWrap/>
                  <w:vAlign w:val="center"/>
                </w:tcPr>
                <w:p w:rsidR="0060585A" w:rsidRPr="00321D31" w:rsidRDefault="0060585A" w:rsidP="00321D31">
                  <w:pPr>
                    <w:widowControl w:val="0"/>
                    <w:jc w:val="center"/>
                    <w:rPr>
                      <w:sz w:val="16"/>
                      <w:szCs w:val="16"/>
                    </w:rPr>
                  </w:pPr>
                  <w:r w:rsidRPr="00321D31">
                    <w:rPr>
                      <w:sz w:val="16"/>
                      <w:szCs w:val="16"/>
                    </w:rPr>
                    <w:t>1.7</w:t>
                  </w:r>
                </w:p>
              </w:tc>
              <w:tc>
                <w:tcPr>
                  <w:tcW w:w="941" w:type="dxa"/>
                  <w:tcBorders>
                    <w:right w:val="single" w:sz="8" w:space="0" w:color="4F81BD"/>
                  </w:tcBorders>
                  <w:noWrap/>
                  <w:vAlign w:val="center"/>
                </w:tcPr>
                <w:p w:rsidR="0060585A" w:rsidRPr="00321D31" w:rsidRDefault="0060585A" w:rsidP="00321D31">
                  <w:pPr>
                    <w:widowControl w:val="0"/>
                    <w:jc w:val="center"/>
                    <w:rPr>
                      <w:sz w:val="16"/>
                      <w:szCs w:val="16"/>
                    </w:rPr>
                  </w:pPr>
                  <w:r w:rsidRPr="00321D31">
                    <w:rPr>
                      <w:sz w:val="16"/>
                      <w:szCs w:val="16"/>
                    </w:rPr>
                    <w:t>3.0</w:t>
                  </w:r>
                </w:p>
              </w:tc>
            </w:tr>
            <w:tr w:rsidR="0060585A" w:rsidRPr="00321D31" w:rsidTr="00321D31">
              <w:trPr>
                <w:trHeight w:val="202"/>
              </w:trPr>
              <w:tc>
                <w:tcPr>
                  <w:tcW w:w="1754" w:type="dxa"/>
                  <w:tcBorders>
                    <w:top w:val="single" w:sz="8" w:space="0" w:color="4F81BD"/>
                    <w:left w:val="single" w:sz="8" w:space="0" w:color="4F81BD"/>
                    <w:bottom w:val="single" w:sz="8" w:space="0" w:color="4F81BD"/>
                  </w:tcBorders>
                  <w:noWrap/>
                  <w:vAlign w:val="center"/>
                </w:tcPr>
                <w:p w:rsidR="0060585A" w:rsidRPr="00321D31" w:rsidRDefault="0060585A" w:rsidP="00321D31">
                  <w:pPr>
                    <w:widowControl w:val="0"/>
                    <w:jc w:val="left"/>
                    <w:rPr>
                      <w:b/>
                      <w:bCs/>
                      <w:sz w:val="16"/>
                      <w:szCs w:val="16"/>
                    </w:rPr>
                  </w:pPr>
                  <w:smartTag w:uri="urn:schemas-microsoft-com:office:smarttags" w:element="place">
                    <w:smartTag w:uri="urn:schemas-microsoft-com:office:smarttags" w:element="country-region">
                      <w:r w:rsidRPr="00321D31">
                        <w:rPr>
                          <w:bCs/>
                          <w:sz w:val="16"/>
                          <w:szCs w:val="16"/>
                        </w:rPr>
                        <w:t>Latvia</w:t>
                      </w:r>
                    </w:smartTag>
                  </w:smartTag>
                </w:p>
              </w:tc>
              <w:tc>
                <w:tcPr>
                  <w:tcW w:w="581" w:type="dxa"/>
                  <w:tcBorders>
                    <w:top w:val="single" w:sz="8" w:space="0" w:color="4F81BD"/>
                    <w:bottom w:val="single" w:sz="8" w:space="0" w:color="4F81BD"/>
                  </w:tcBorders>
                  <w:noWrap/>
                  <w:vAlign w:val="center"/>
                </w:tcPr>
                <w:p w:rsidR="0060585A" w:rsidRPr="00321D31" w:rsidRDefault="0060585A" w:rsidP="00321D31">
                  <w:pPr>
                    <w:widowControl w:val="0"/>
                    <w:jc w:val="center"/>
                    <w:rPr>
                      <w:sz w:val="16"/>
                      <w:szCs w:val="16"/>
                    </w:rPr>
                  </w:pPr>
                  <w:r w:rsidRPr="00321D31">
                    <w:rPr>
                      <w:sz w:val="16"/>
                      <w:szCs w:val="16"/>
                    </w:rPr>
                    <w:t>5.5</w:t>
                  </w:r>
                </w:p>
              </w:tc>
              <w:tc>
                <w:tcPr>
                  <w:tcW w:w="941" w:type="dxa"/>
                  <w:tcBorders>
                    <w:top w:val="single" w:sz="8" w:space="0" w:color="4F81BD"/>
                    <w:bottom w:val="single" w:sz="8" w:space="0" w:color="4F81BD"/>
                  </w:tcBorders>
                  <w:noWrap/>
                  <w:vAlign w:val="center"/>
                </w:tcPr>
                <w:p w:rsidR="0060585A" w:rsidRPr="00321D31" w:rsidRDefault="0060585A" w:rsidP="00321D31">
                  <w:pPr>
                    <w:widowControl w:val="0"/>
                    <w:jc w:val="center"/>
                    <w:rPr>
                      <w:sz w:val="16"/>
                      <w:szCs w:val="16"/>
                    </w:rPr>
                  </w:pPr>
                  <w:r w:rsidRPr="00321D31">
                    <w:rPr>
                      <w:sz w:val="16"/>
                      <w:szCs w:val="16"/>
                    </w:rPr>
                    <w:t>2.3</w:t>
                  </w:r>
                </w:p>
              </w:tc>
              <w:tc>
                <w:tcPr>
                  <w:tcW w:w="941" w:type="dxa"/>
                  <w:tcBorders>
                    <w:top w:val="single" w:sz="8" w:space="0" w:color="4F81BD"/>
                    <w:bottom w:val="single" w:sz="8" w:space="0" w:color="4F81BD"/>
                    <w:right w:val="single" w:sz="8" w:space="0" w:color="4F81BD"/>
                  </w:tcBorders>
                  <w:noWrap/>
                  <w:vAlign w:val="center"/>
                </w:tcPr>
                <w:p w:rsidR="0060585A" w:rsidRPr="00321D31" w:rsidRDefault="0060585A" w:rsidP="00321D31">
                  <w:pPr>
                    <w:widowControl w:val="0"/>
                    <w:jc w:val="center"/>
                    <w:rPr>
                      <w:sz w:val="16"/>
                      <w:szCs w:val="16"/>
                    </w:rPr>
                  </w:pPr>
                  <w:r w:rsidRPr="00321D31">
                    <w:rPr>
                      <w:sz w:val="16"/>
                      <w:szCs w:val="16"/>
                    </w:rPr>
                    <w:t>2.9</w:t>
                  </w:r>
                </w:p>
              </w:tc>
            </w:tr>
            <w:tr w:rsidR="0060585A" w:rsidRPr="00321D31" w:rsidTr="00321D31">
              <w:trPr>
                <w:trHeight w:val="202"/>
              </w:trPr>
              <w:tc>
                <w:tcPr>
                  <w:tcW w:w="1754" w:type="dxa"/>
                  <w:tcBorders>
                    <w:left w:val="single" w:sz="8" w:space="0" w:color="4F81BD"/>
                  </w:tcBorders>
                  <w:noWrap/>
                  <w:vAlign w:val="center"/>
                </w:tcPr>
                <w:p w:rsidR="0060585A" w:rsidRPr="00321D31" w:rsidRDefault="0060585A" w:rsidP="00321D31">
                  <w:pPr>
                    <w:widowControl w:val="0"/>
                    <w:jc w:val="left"/>
                    <w:rPr>
                      <w:b/>
                      <w:bCs/>
                      <w:sz w:val="16"/>
                      <w:szCs w:val="16"/>
                    </w:rPr>
                  </w:pPr>
                  <w:smartTag w:uri="urn:schemas-microsoft-com:office:smarttags" w:element="place">
                    <w:smartTag w:uri="urn:schemas-microsoft-com:office:smarttags" w:element="country-region">
                      <w:r w:rsidRPr="00321D31">
                        <w:rPr>
                          <w:bCs/>
                          <w:sz w:val="16"/>
                          <w:szCs w:val="16"/>
                        </w:rPr>
                        <w:t>Lithuania</w:t>
                      </w:r>
                    </w:smartTag>
                  </w:smartTag>
                </w:p>
              </w:tc>
              <w:tc>
                <w:tcPr>
                  <w:tcW w:w="581" w:type="dxa"/>
                  <w:noWrap/>
                  <w:vAlign w:val="center"/>
                </w:tcPr>
                <w:p w:rsidR="0060585A" w:rsidRPr="00321D31" w:rsidRDefault="0060585A" w:rsidP="00321D31">
                  <w:pPr>
                    <w:widowControl w:val="0"/>
                    <w:jc w:val="center"/>
                    <w:rPr>
                      <w:sz w:val="16"/>
                      <w:szCs w:val="16"/>
                    </w:rPr>
                  </w:pPr>
                  <w:r w:rsidRPr="00321D31">
                    <w:rPr>
                      <w:sz w:val="16"/>
                      <w:szCs w:val="16"/>
                    </w:rPr>
                    <w:t>5.9</w:t>
                  </w:r>
                </w:p>
              </w:tc>
              <w:tc>
                <w:tcPr>
                  <w:tcW w:w="941" w:type="dxa"/>
                  <w:noWrap/>
                  <w:vAlign w:val="center"/>
                </w:tcPr>
                <w:p w:rsidR="0060585A" w:rsidRPr="00321D31" w:rsidRDefault="0060585A" w:rsidP="00321D31">
                  <w:pPr>
                    <w:widowControl w:val="0"/>
                    <w:jc w:val="center"/>
                    <w:rPr>
                      <w:sz w:val="16"/>
                      <w:szCs w:val="16"/>
                    </w:rPr>
                  </w:pPr>
                  <w:r w:rsidRPr="00321D31">
                    <w:rPr>
                      <w:sz w:val="16"/>
                      <w:szCs w:val="16"/>
                    </w:rPr>
                    <w:t>2.3</w:t>
                  </w:r>
                </w:p>
              </w:tc>
              <w:tc>
                <w:tcPr>
                  <w:tcW w:w="941" w:type="dxa"/>
                  <w:tcBorders>
                    <w:right w:val="single" w:sz="8" w:space="0" w:color="4F81BD"/>
                  </w:tcBorders>
                  <w:noWrap/>
                  <w:vAlign w:val="center"/>
                </w:tcPr>
                <w:p w:rsidR="0060585A" w:rsidRPr="00321D31" w:rsidRDefault="0060585A" w:rsidP="00321D31">
                  <w:pPr>
                    <w:widowControl w:val="0"/>
                    <w:jc w:val="center"/>
                    <w:rPr>
                      <w:sz w:val="16"/>
                      <w:szCs w:val="16"/>
                    </w:rPr>
                  </w:pPr>
                  <w:r w:rsidRPr="00321D31">
                    <w:rPr>
                      <w:sz w:val="16"/>
                      <w:szCs w:val="16"/>
                    </w:rPr>
                    <w:t>3.5</w:t>
                  </w:r>
                </w:p>
              </w:tc>
            </w:tr>
            <w:tr w:rsidR="0060585A" w:rsidRPr="00321D31" w:rsidTr="00321D31">
              <w:trPr>
                <w:trHeight w:val="202"/>
              </w:trPr>
              <w:tc>
                <w:tcPr>
                  <w:tcW w:w="1754" w:type="dxa"/>
                  <w:tcBorders>
                    <w:top w:val="single" w:sz="8" w:space="0" w:color="4F81BD"/>
                    <w:left w:val="single" w:sz="8" w:space="0" w:color="4F81BD"/>
                    <w:bottom w:val="single" w:sz="8" w:space="0" w:color="4F81BD"/>
                  </w:tcBorders>
                  <w:noWrap/>
                  <w:vAlign w:val="center"/>
                </w:tcPr>
                <w:p w:rsidR="0060585A" w:rsidRPr="00321D31" w:rsidRDefault="0060585A" w:rsidP="00321D31">
                  <w:pPr>
                    <w:widowControl w:val="0"/>
                    <w:jc w:val="left"/>
                    <w:rPr>
                      <w:b/>
                      <w:bCs/>
                      <w:sz w:val="16"/>
                      <w:szCs w:val="16"/>
                    </w:rPr>
                  </w:pPr>
                  <w:smartTag w:uri="urn:schemas-microsoft-com:office:smarttags" w:element="place">
                    <w:smartTag w:uri="urn:schemas-microsoft-com:office:smarttags" w:element="country-region">
                      <w:r w:rsidRPr="00321D31">
                        <w:rPr>
                          <w:bCs/>
                          <w:sz w:val="16"/>
                          <w:szCs w:val="16"/>
                        </w:rPr>
                        <w:t>Hungary</w:t>
                      </w:r>
                    </w:smartTag>
                  </w:smartTag>
                </w:p>
              </w:tc>
              <w:tc>
                <w:tcPr>
                  <w:tcW w:w="581" w:type="dxa"/>
                  <w:tcBorders>
                    <w:top w:val="single" w:sz="8" w:space="0" w:color="4F81BD"/>
                    <w:bottom w:val="single" w:sz="8" w:space="0" w:color="4F81BD"/>
                  </w:tcBorders>
                  <w:noWrap/>
                  <w:vAlign w:val="center"/>
                </w:tcPr>
                <w:p w:rsidR="0060585A" w:rsidRPr="00321D31" w:rsidRDefault="0060585A" w:rsidP="00321D31">
                  <w:pPr>
                    <w:widowControl w:val="0"/>
                    <w:jc w:val="center"/>
                    <w:rPr>
                      <w:sz w:val="16"/>
                      <w:szCs w:val="16"/>
                    </w:rPr>
                  </w:pPr>
                  <w:r w:rsidRPr="00321D31">
                    <w:rPr>
                      <w:sz w:val="16"/>
                      <w:szCs w:val="16"/>
                    </w:rPr>
                    <w:t>1.7</w:t>
                  </w:r>
                </w:p>
              </w:tc>
              <w:tc>
                <w:tcPr>
                  <w:tcW w:w="941" w:type="dxa"/>
                  <w:tcBorders>
                    <w:top w:val="single" w:sz="8" w:space="0" w:color="4F81BD"/>
                    <w:bottom w:val="single" w:sz="8" w:space="0" w:color="4F81BD"/>
                  </w:tcBorders>
                  <w:noWrap/>
                  <w:vAlign w:val="center"/>
                </w:tcPr>
                <w:p w:rsidR="0060585A" w:rsidRPr="00321D31" w:rsidRDefault="0060585A" w:rsidP="00321D31">
                  <w:pPr>
                    <w:widowControl w:val="0"/>
                    <w:jc w:val="center"/>
                    <w:rPr>
                      <w:sz w:val="16"/>
                      <w:szCs w:val="16"/>
                    </w:rPr>
                  </w:pPr>
                  <w:r w:rsidRPr="00321D31">
                    <w:rPr>
                      <w:sz w:val="16"/>
                      <w:szCs w:val="16"/>
                    </w:rPr>
                    <w:t>-0.4</w:t>
                  </w:r>
                </w:p>
              </w:tc>
              <w:tc>
                <w:tcPr>
                  <w:tcW w:w="941" w:type="dxa"/>
                  <w:tcBorders>
                    <w:top w:val="single" w:sz="8" w:space="0" w:color="4F81BD"/>
                    <w:bottom w:val="single" w:sz="8" w:space="0" w:color="4F81BD"/>
                    <w:right w:val="single" w:sz="8" w:space="0" w:color="4F81BD"/>
                  </w:tcBorders>
                  <w:noWrap/>
                  <w:vAlign w:val="center"/>
                </w:tcPr>
                <w:p w:rsidR="0060585A" w:rsidRPr="00321D31" w:rsidRDefault="0060585A" w:rsidP="00321D31">
                  <w:pPr>
                    <w:widowControl w:val="0"/>
                    <w:jc w:val="center"/>
                    <w:rPr>
                      <w:sz w:val="16"/>
                      <w:szCs w:val="16"/>
                    </w:rPr>
                  </w:pPr>
                  <w:r w:rsidRPr="00321D31">
                    <w:rPr>
                      <w:sz w:val="16"/>
                      <w:szCs w:val="16"/>
                    </w:rPr>
                    <w:t>1.5</w:t>
                  </w:r>
                </w:p>
              </w:tc>
            </w:tr>
            <w:tr w:rsidR="0060585A" w:rsidRPr="00321D31" w:rsidTr="00321D31">
              <w:trPr>
                <w:trHeight w:val="202"/>
              </w:trPr>
              <w:tc>
                <w:tcPr>
                  <w:tcW w:w="1754" w:type="dxa"/>
                  <w:tcBorders>
                    <w:left w:val="single" w:sz="8" w:space="0" w:color="4F81BD"/>
                  </w:tcBorders>
                  <w:noWrap/>
                  <w:vAlign w:val="center"/>
                </w:tcPr>
                <w:p w:rsidR="0060585A" w:rsidRPr="00321D31" w:rsidRDefault="0060585A" w:rsidP="00321D31">
                  <w:pPr>
                    <w:widowControl w:val="0"/>
                    <w:jc w:val="left"/>
                    <w:rPr>
                      <w:b/>
                      <w:bCs/>
                      <w:sz w:val="16"/>
                      <w:szCs w:val="16"/>
                    </w:rPr>
                  </w:pPr>
                  <w:r w:rsidRPr="00321D31">
                    <w:rPr>
                      <w:bCs/>
                      <w:sz w:val="16"/>
                      <w:szCs w:val="16"/>
                    </w:rPr>
                    <w:t>Poland</w:t>
                  </w:r>
                </w:p>
              </w:tc>
              <w:tc>
                <w:tcPr>
                  <w:tcW w:w="581" w:type="dxa"/>
                  <w:noWrap/>
                  <w:vAlign w:val="center"/>
                </w:tcPr>
                <w:p w:rsidR="0060585A" w:rsidRPr="00321D31" w:rsidRDefault="0060585A" w:rsidP="00321D31">
                  <w:pPr>
                    <w:widowControl w:val="0"/>
                    <w:jc w:val="center"/>
                    <w:rPr>
                      <w:sz w:val="16"/>
                      <w:szCs w:val="16"/>
                    </w:rPr>
                  </w:pPr>
                  <w:r w:rsidRPr="00321D31">
                    <w:rPr>
                      <w:sz w:val="16"/>
                      <w:szCs w:val="16"/>
                    </w:rPr>
                    <w:t>4.3</w:t>
                  </w:r>
                </w:p>
              </w:tc>
              <w:tc>
                <w:tcPr>
                  <w:tcW w:w="941" w:type="dxa"/>
                  <w:noWrap/>
                  <w:vAlign w:val="center"/>
                </w:tcPr>
                <w:p w:rsidR="0060585A" w:rsidRPr="00321D31" w:rsidRDefault="0060585A" w:rsidP="00321D31">
                  <w:pPr>
                    <w:widowControl w:val="0"/>
                    <w:jc w:val="center"/>
                    <w:rPr>
                      <w:sz w:val="16"/>
                      <w:szCs w:val="16"/>
                    </w:rPr>
                  </w:pPr>
                  <w:r w:rsidRPr="00321D31">
                    <w:rPr>
                      <w:sz w:val="16"/>
                      <w:szCs w:val="16"/>
                    </w:rPr>
                    <w:t>2.9</w:t>
                  </w:r>
                </w:p>
              </w:tc>
              <w:tc>
                <w:tcPr>
                  <w:tcW w:w="941" w:type="dxa"/>
                  <w:tcBorders>
                    <w:right w:val="single" w:sz="8" w:space="0" w:color="4F81BD"/>
                  </w:tcBorders>
                  <w:noWrap/>
                  <w:vAlign w:val="center"/>
                </w:tcPr>
                <w:p w:rsidR="0060585A" w:rsidRPr="00321D31" w:rsidRDefault="0060585A" w:rsidP="00321D31">
                  <w:pPr>
                    <w:widowControl w:val="0"/>
                    <w:jc w:val="center"/>
                    <w:rPr>
                      <w:sz w:val="16"/>
                      <w:szCs w:val="16"/>
                    </w:rPr>
                  </w:pPr>
                  <w:r w:rsidRPr="00321D31">
                    <w:rPr>
                      <w:sz w:val="16"/>
                      <w:szCs w:val="16"/>
                    </w:rPr>
                    <w:t>3.2</w:t>
                  </w:r>
                </w:p>
              </w:tc>
            </w:tr>
            <w:tr w:rsidR="0060585A" w:rsidRPr="00321D31" w:rsidTr="00321D31">
              <w:trPr>
                <w:trHeight w:val="202"/>
              </w:trPr>
              <w:tc>
                <w:tcPr>
                  <w:tcW w:w="1754" w:type="dxa"/>
                  <w:tcBorders>
                    <w:top w:val="single" w:sz="8" w:space="0" w:color="4F81BD"/>
                    <w:left w:val="single" w:sz="8" w:space="0" w:color="4F81BD"/>
                    <w:bottom w:val="single" w:sz="8" w:space="0" w:color="4F81BD"/>
                  </w:tcBorders>
                  <w:noWrap/>
                  <w:vAlign w:val="center"/>
                </w:tcPr>
                <w:p w:rsidR="0060585A" w:rsidRPr="00321D31" w:rsidRDefault="0060585A" w:rsidP="00321D31">
                  <w:pPr>
                    <w:widowControl w:val="0"/>
                    <w:jc w:val="left"/>
                    <w:rPr>
                      <w:b/>
                      <w:bCs/>
                      <w:sz w:val="16"/>
                      <w:szCs w:val="16"/>
                    </w:rPr>
                  </w:pPr>
                  <w:r w:rsidRPr="00321D31">
                    <w:rPr>
                      <w:bCs/>
                      <w:sz w:val="16"/>
                      <w:szCs w:val="16"/>
                    </w:rPr>
                    <w:t>Romania</w:t>
                  </w:r>
                </w:p>
              </w:tc>
              <w:tc>
                <w:tcPr>
                  <w:tcW w:w="581" w:type="dxa"/>
                  <w:tcBorders>
                    <w:top w:val="single" w:sz="8" w:space="0" w:color="4F81BD"/>
                    <w:bottom w:val="single" w:sz="8" w:space="0" w:color="4F81BD"/>
                  </w:tcBorders>
                  <w:noWrap/>
                  <w:vAlign w:val="center"/>
                </w:tcPr>
                <w:p w:rsidR="0060585A" w:rsidRPr="00321D31" w:rsidRDefault="0060585A" w:rsidP="00321D31">
                  <w:pPr>
                    <w:widowControl w:val="0"/>
                    <w:jc w:val="center"/>
                    <w:rPr>
                      <w:sz w:val="16"/>
                      <w:szCs w:val="16"/>
                    </w:rPr>
                  </w:pPr>
                  <w:r w:rsidRPr="00321D31">
                    <w:rPr>
                      <w:sz w:val="16"/>
                      <w:szCs w:val="16"/>
                    </w:rPr>
                    <w:t>2.5</w:t>
                  </w:r>
                </w:p>
              </w:tc>
              <w:tc>
                <w:tcPr>
                  <w:tcW w:w="941" w:type="dxa"/>
                  <w:tcBorders>
                    <w:top w:val="single" w:sz="8" w:space="0" w:color="4F81BD"/>
                    <w:bottom w:val="single" w:sz="8" w:space="0" w:color="4F81BD"/>
                  </w:tcBorders>
                  <w:noWrap/>
                  <w:vAlign w:val="center"/>
                </w:tcPr>
                <w:p w:rsidR="0060585A" w:rsidRPr="00321D31" w:rsidRDefault="0060585A" w:rsidP="00321D31">
                  <w:pPr>
                    <w:widowControl w:val="0"/>
                    <w:jc w:val="center"/>
                    <w:rPr>
                      <w:sz w:val="16"/>
                      <w:szCs w:val="16"/>
                    </w:rPr>
                  </w:pPr>
                  <w:r w:rsidRPr="00321D31">
                    <w:rPr>
                      <w:sz w:val="16"/>
                      <w:szCs w:val="16"/>
                    </w:rPr>
                    <w:t>1.2</w:t>
                  </w:r>
                </w:p>
              </w:tc>
              <w:tc>
                <w:tcPr>
                  <w:tcW w:w="941" w:type="dxa"/>
                  <w:tcBorders>
                    <w:top w:val="single" w:sz="8" w:space="0" w:color="4F81BD"/>
                    <w:bottom w:val="single" w:sz="8" w:space="0" w:color="4F81BD"/>
                    <w:right w:val="single" w:sz="8" w:space="0" w:color="4F81BD"/>
                  </w:tcBorders>
                  <w:noWrap/>
                  <w:vAlign w:val="center"/>
                </w:tcPr>
                <w:p w:rsidR="0060585A" w:rsidRPr="00321D31" w:rsidRDefault="0060585A" w:rsidP="00321D31">
                  <w:pPr>
                    <w:widowControl w:val="0"/>
                    <w:jc w:val="center"/>
                    <w:rPr>
                      <w:sz w:val="16"/>
                      <w:szCs w:val="16"/>
                    </w:rPr>
                  </w:pPr>
                  <w:r w:rsidRPr="00321D31">
                    <w:rPr>
                      <w:sz w:val="16"/>
                      <w:szCs w:val="16"/>
                    </w:rPr>
                    <w:t>2.8</w:t>
                  </w:r>
                </w:p>
              </w:tc>
            </w:tr>
            <w:tr w:rsidR="0060585A" w:rsidRPr="00321D31" w:rsidTr="00321D31">
              <w:trPr>
                <w:trHeight w:val="202"/>
              </w:trPr>
              <w:tc>
                <w:tcPr>
                  <w:tcW w:w="1754" w:type="dxa"/>
                  <w:tcBorders>
                    <w:left w:val="single" w:sz="8" w:space="0" w:color="4F81BD"/>
                  </w:tcBorders>
                  <w:noWrap/>
                  <w:vAlign w:val="center"/>
                </w:tcPr>
                <w:p w:rsidR="0060585A" w:rsidRPr="00321D31" w:rsidRDefault="0060585A" w:rsidP="00321D31">
                  <w:pPr>
                    <w:widowControl w:val="0"/>
                    <w:jc w:val="left"/>
                    <w:rPr>
                      <w:b/>
                      <w:bCs/>
                      <w:sz w:val="16"/>
                      <w:szCs w:val="16"/>
                    </w:rPr>
                  </w:pPr>
                  <w:r w:rsidRPr="00321D31">
                    <w:rPr>
                      <w:bCs/>
                      <w:sz w:val="16"/>
                      <w:szCs w:val="16"/>
                    </w:rPr>
                    <w:t>Slovenia</w:t>
                  </w:r>
                </w:p>
              </w:tc>
              <w:tc>
                <w:tcPr>
                  <w:tcW w:w="581" w:type="dxa"/>
                  <w:noWrap/>
                  <w:vAlign w:val="center"/>
                </w:tcPr>
                <w:p w:rsidR="0060585A" w:rsidRPr="00321D31" w:rsidRDefault="0060585A" w:rsidP="00321D31">
                  <w:pPr>
                    <w:widowControl w:val="0"/>
                    <w:jc w:val="center"/>
                    <w:rPr>
                      <w:sz w:val="16"/>
                      <w:szCs w:val="16"/>
                    </w:rPr>
                  </w:pPr>
                  <w:r w:rsidRPr="00321D31">
                    <w:rPr>
                      <w:sz w:val="16"/>
                      <w:szCs w:val="16"/>
                    </w:rPr>
                    <w:t>-0.2</w:t>
                  </w:r>
                </w:p>
              </w:tc>
              <w:tc>
                <w:tcPr>
                  <w:tcW w:w="941" w:type="dxa"/>
                  <w:noWrap/>
                  <w:vAlign w:val="center"/>
                </w:tcPr>
                <w:p w:rsidR="0060585A" w:rsidRPr="00321D31" w:rsidRDefault="0060585A" w:rsidP="00321D31">
                  <w:pPr>
                    <w:widowControl w:val="0"/>
                    <w:jc w:val="center"/>
                    <w:rPr>
                      <w:sz w:val="16"/>
                      <w:szCs w:val="16"/>
                    </w:rPr>
                  </w:pPr>
                  <w:r w:rsidRPr="00321D31">
                    <w:rPr>
                      <w:sz w:val="16"/>
                      <w:szCs w:val="16"/>
                    </w:rPr>
                    <w:t>-1.2</w:t>
                  </w:r>
                </w:p>
              </w:tc>
              <w:tc>
                <w:tcPr>
                  <w:tcW w:w="941" w:type="dxa"/>
                  <w:tcBorders>
                    <w:right w:val="single" w:sz="8" w:space="0" w:color="4F81BD"/>
                  </w:tcBorders>
                  <w:noWrap/>
                  <w:vAlign w:val="center"/>
                </w:tcPr>
                <w:p w:rsidR="0060585A" w:rsidRPr="00321D31" w:rsidRDefault="0060585A" w:rsidP="00321D31">
                  <w:pPr>
                    <w:widowControl w:val="0"/>
                    <w:jc w:val="center"/>
                    <w:rPr>
                      <w:sz w:val="16"/>
                      <w:szCs w:val="16"/>
                    </w:rPr>
                  </w:pPr>
                  <w:r w:rsidRPr="00321D31">
                    <w:rPr>
                      <w:sz w:val="16"/>
                      <w:szCs w:val="16"/>
                    </w:rPr>
                    <w:t>0.6</w:t>
                  </w:r>
                </w:p>
              </w:tc>
            </w:tr>
            <w:tr w:rsidR="0060585A" w:rsidRPr="00321D31" w:rsidTr="00321D31">
              <w:trPr>
                <w:trHeight w:val="202"/>
              </w:trPr>
              <w:tc>
                <w:tcPr>
                  <w:tcW w:w="1754" w:type="dxa"/>
                  <w:tcBorders>
                    <w:top w:val="single" w:sz="8" w:space="0" w:color="4F81BD"/>
                    <w:left w:val="single" w:sz="8" w:space="0" w:color="4F81BD"/>
                    <w:bottom w:val="single" w:sz="8" w:space="0" w:color="4F81BD"/>
                  </w:tcBorders>
                  <w:noWrap/>
                  <w:vAlign w:val="center"/>
                </w:tcPr>
                <w:p w:rsidR="0060585A" w:rsidRPr="00321D31" w:rsidRDefault="0060585A" w:rsidP="00321D31">
                  <w:pPr>
                    <w:widowControl w:val="0"/>
                    <w:jc w:val="left"/>
                    <w:rPr>
                      <w:b/>
                      <w:bCs/>
                      <w:sz w:val="16"/>
                      <w:szCs w:val="16"/>
                    </w:rPr>
                  </w:pPr>
                  <w:r w:rsidRPr="00321D31">
                    <w:rPr>
                      <w:bCs/>
                      <w:sz w:val="16"/>
                      <w:szCs w:val="16"/>
                    </w:rPr>
                    <w:t>Slovak Republic</w:t>
                  </w:r>
                </w:p>
              </w:tc>
              <w:tc>
                <w:tcPr>
                  <w:tcW w:w="581" w:type="dxa"/>
                  <w:tcBorders>
                    <w:top w:val="single" w:sz="8" w:space="0" w:color="4F81BD"/>
                    <w:bottom w:val="single" w:sz="8" w:space="0" w:color="4F81BD"/>
                  </w:tcBorders>
                  <w:noWrap/>
                  <w:vAlign w:val="center"/>
                </w:tcPr>
                <w:p w:rsidR="0060585A" w:rsidRPr="00321D31" w:rsidRDefault="0060585A" w:rsidP="00321D31">
                  <w:pPr>
                    <w:widowControl w:val="0"/>
                    <w:jc w:val="center"/>
                    <w:rPr>
                      <w:sz w:val="16"/>
                      <w:szCs w:val="16"/>
                    </w:rPr>
                  </w:pPr>
                  <w:r w:rsidRPr="00321D31">
                    <w:rPr>
                      <w:sz w:val="16"/>
                      <w:szCs w:val="16"/>
                    </w:rPr>
                    <w:t>3.3</w:t>
                  </w:r>
                </w:p>
              </w:tc>
              <w:tc>
                <w:tcPr>
                  <w:tcW w:w="941" w:type="dxa"/>
                  <w:tcBorders>
                    <w:top w:val="single" w:sz="8" w:space="0" w:color="4F81BD"/>
                    <w:bottom w:val="single" w:sz="8" w:space="0" w:color="4F81BD"/>
                  </w:tcBorders>
                  <w:noWrap/>
                  <w:vAlign w:val="center"/>
                </w:tcPr>
                <w:p w:rsidR="0060585A" w:rsidRPr="00321D31" w:rsidRDefault="0060585A" w:rsidP="00321D31">
                  <w:pPr>
                    <w:widowControl w:val="0"/>
                    <w:jc w:val="center"/>
                    <w:rPr>
                      <w:sz w:val="16"/>
                      <w:szCs w:val="16"/>
                    </w:rPr>
                  </w:pPr>
                  <w:r w:rsidRPr="00321D31">
                    <w:rPr>
                      <w:sz w:val="16"/>
                      <w:szCs w:val="16"/>
                    </w:rPr>
                    <w:t>2.1</w:t>
                  </w:r>
                </w:p>
              </w:tc>
              <w:tc>
                <w:tcPr>
                  <w:tcW w:w="941" w:type="dxa"/>
                  <w:tcBorders>
                    <w:top w:val="single" w:sz="8" w:space="0" w:color="4F81BD"/>
                    <w:bottom w:val="single" w:sz="8" w:space="0" w:color="4F81BD"/>
                    <w:right w:val="single" w:sz="8" w:space="0" w:color="4F81BD"/>
                  </w:tcBorders>
                  <w:noWrap/>
                  <w:vAlign w:val="center"/>
                </w:tcPr>
                <w:p w:rsidR="0060585A" w:rsidRPr="00321D31" w:rsidRDefault="0060585A" w:rsidP="00321D31">
                  <w:pPr>
                    <w:widowControl w:val="0"/>
                    <w:jc w:val="center"/>
                    <w:rPr>
                      <w:sz w:val="16"/>
                      <w:szCs w:val="16"/>
                    </w:rPr>
                  </w:pPr>
                  <w:r w:rsidRPr="00321D31">
                    <w:rPr>
                      <w:sz w:val="16"/>
                      <w:szCs w:val="16"/>
                    </w:rPr>
                    <w:t>3.1</w:t>
                  </w:r>
                </w:p>
              </w:tc>
            </w:tr>
            <w:tr w:rsidR="0060585A" w:rsidRPr="00321D31" w:rsidTr="00321D31">
              <w:trPr>
                <w:trHeight w:val="202"/>
              </w:trPr>
              <w:tc>
                <w:tcPr>
                  <w:tcW w:w="1754" w:type="dxa"/>
                  <w:tcBorders>
                    <w:left w:val="single" w:sz="8" w:space="0" w:color="4F81BD"/>
                  </w:tcBorders>
                  <w:noWrap/>
                  <w:vAlign w:val="center"/>
                </w:tcPr>
                <w:p w:rsidR="0060585A" w:rsidRPr="00321D31" w:rsidRDefault="0060585A" w:rsidP="00321D31">
                  <w:pPr>
                    <w:widowControl w:val="0"/>
                    <w:jc w:val="left"/>
                    <w:rPr>
                      <w:b/>
                      <w:bCs/>
                      <w:sz w:val="16"/>
                      <w:szCs w:val="16"/>
                    </w:rPr>
                  </w:pPr>
                  <w:r w:rsidRPr="00321D31">
                    <w:rPr>
                      <w:bCs/>
                      <w:sz w:val="16"/>
                      <w:szCs w:val="16"/>
                    </w:rPr>
                    <w:t>Croatia</w:t>
                  </w:r>
                </w:p>
              </w:tc>
              <w:tc>
                <w:tcPr>
                  <w:tcW w:w="581" w:type="dxa"/>
                  <w:noWrap/>
                  <w:vAlign w:val="center"/>
                </w:tcPr>
                <w:p w:rsidR="0060585A" w:rsidRPr="00321D31" w:rsidRDefault="0060585A" w:rsidP="00321D31">
                  <w:pPr>
                    <w:widowControl w:val="0"/>
                    <w:jc w:val="center"/>
                    <w:rPr>
                      <w:sz w:val="16"/>
                      <w:szCs w:val="16"/>
                    </w:rPr>
                  </w:pPr>
                  <w:r w:rsidRPr="00321D31">
                    <w:rPr>
                      <w:sz w:val="16"/>
                      <w:szCs w:val="16"/>
                    </w:rPr>
                    <w:t>0.0</w:t>
                  </w:r>
                </w:p>
              </w:tc>
              <w:tc>
                <w:tcPr>
                  <w:tcW w:w="941" w:type="dxa"/>
                  <w:noWrap/>
                  <w:vAlign w:val="center"/>
                </w:tcPr>
                <w:p w:rsidR="0060585A" w:rsidRPr="00321D31" w:rsidRDefault="0060585A" w:rsidP="00321D31">
                  <w:pPr>
                    <w:widowControl w:val="0"/>
                    <w:jc w:val="center"/>
                    <w:rPr>
                      <w:sz w:val="16"/>
                      <w:szCs w:val="16"/>
                    </w:rPr>
                  </w:pPr>
                  <w:r w:rsidRPr="00321D31">
                    <w:rPr>
                      <w:sz w:val="16"/>
                      <w:szCs w:val="16"/>
                    </w:rPr>
                    <w:t>-1.0</w:t>
                  </w:r>
                </w:p>
              </w:tc>
              <w:tc>
                <w:tcPr>
                  <w:tcW w:w="941" w:type="dxa"/>
                  <w:tcBorders>
                    <w:right w:val="single" w:sz="8" w:space="0" w:color="4F81BD"/>
                  </w:tcBorders>
                  <w:noWrap/>
                  <w:vAlign w:val="center"/>
                </w:tcPr>
                <w:p w:rsidR="0060585A" w:rsidRPr="00321D31" w:rsidRDefault="0060585A" w:rsidP="00321D31">
                  <w:pPr>
                    <w:widowControl w:val="0"/>
                    <w:jc w:val="center"/>
                    <w:rPr>
                      <w:sz w:val="16"/>
                      <w:szCs w:val="16"/>
                    </w:rPr>
                  </w:pPr>
                  <w:r w:rsidRPr="00321D31">
                    <w:rPr>
                      <w:sz w:val="16"/>
                      <w:szCs w:val="16"/>
                    </w:rPr>
                    <w:t>1.5</w:t>
                  </w:r>
                </w:p>
              </w:tc>
            </w:tr>
            <w:tr w:rsidR="0060585A" w:rsidRPr="00321D31" w:rsidTr="00321D31">
              <w:trPr>
                <w:trHeight w:val="202"/>
              </w:trPr>
              <w:tc>
                <w:tcPr>
                  <w:tcW w:w="1754" w:type="dxa"/>
                  <w:tcBorders>
                    <w:top w:val="single" w:sz="8" w:space="0" w:color="4F81BD"/>
                    <w:left w:val="single" w:sz="8" w:space="0" w:color="4F81BD"/>
                    <w:bottom w:val="single" w:sz="8" w:space="0" w:color="4F81BD"/>
                  </w:tcBorders>
                  <w:noWrap/>
                  <w:vAlign w:val="center"/>
                </w:tcPr>
                <w:p w:rsidR="0060585A" w:rsidRPr="00321D31" w:rsidRDefault="0060585A" w:rsidP="00321D31">
                  <w:pPr>
                    <w:widowControl w:val="0"/>
                    <w:jc w:val="left"/>
                    <w:rPr>
                      <w:b/>
                      <w:bCs/>
                      <w:i/>
                      <w:sz w:val="16"/>
                      <w:szCs w:val="16"/>
                    </w:rPr>
                  </w:pPr>
                  <w:r w:rsidRPr="00321D31">
                    <w:rPr>
                      <w:bCs/>
                      <w:i/>
                      <w:sz w:val="16"/>
                      <w:szCs w:val="16"/>
                    </w:rPr>
                    <w:t>Memo</w:t>
                  </w:r>
                </w:p>
              </w:tc>
              <w:tc>
                <w:tcPr>
                  <w:tcW w:w="581" w:type="dxa"/>
                  <w:tcBorders>
                    <w:top w:val="single" w:sz="8" w:space="0" w:color="4F81BD"/>
                    <w:bottom w:val="single" w:sz="8" w:space="0" w:color="4F81BD"/>
                  </w:tcBorders>
                  <w:noWrap/>
                  <w:vAlign w:val="center"/>
                </w:tcPr>
                <w:p w:rsidR="0060585A" w:rsidRPr="00321D31" w:rsidRDefault="0060585A" w:rsidP="00321D31">
                  <w:pPr>
                    <w:widowControl w:val="0"/>
                    <w:jc w:val="center"/>
                    <w:rPr>
                      <w:sz w:val="16"/>
                      <w:szCs w:val="16"/>
                    </w:rPr>
                  </w:pPr>
                </w:p>
              </w:tc>
              <w:tc>
                <w:tcPr>
                  <w:tcW w:w="941" w:type="dxa"/>
                  <w:tcBorders>
                    <w:top w:val="single" w:sz="8" w:space="0" w:color="4F81BD"/>
                    <w:bottom w:val="single" w:sz="8" w:space="0" w:color="4F81BD"/>
                  </w:tcBorders>
                  <w:noWrap/>
                  <w:vAlign w:val="center"/>
                </w:tcPr>
                <w:p w:rsidR="0060585A" w:rsidRPr="00321D31" w:rsidRDefault="0060585A" w:rsidP="00321D31">
                  <w:pPr>
                    <w:widowControl w:val="0"/>
                    <w:jc w:val="center"/>
                    <w:rPr>
                      <w:sz w:val="16"/>
                      <w:szCs w:val="16"/>
                    </w:rPr>
                  </w:pPr>
                </w:p>
              </w:tc>
              <w:tc>
                <w:tcPr>
                  <w:tcW w:w="941" w:type="dxa"/>
                  <w:tcBorders>
                    <w:top w:val="single" w:sz="8" w:space="0" w:color="4F81BD"/>
                    <w:bottom w:val="single" w:sz="8" w:space="0" w:color="4F81BD"/>
                    <w:right w:val="single" w:sz="8" w:space="0" w:color="4F81BD"/>
                  </w:tcBorders>
                  <w:noWrap/>
                  <w:vAlign w:val="center"/>
                </w:tcPr>
                <w:p w:rsidR="0060585A" w:rsidRPr="00321D31" w:rsidRDefault="0060585A" w:rsidP="00321D31">
                  <w:pPr>
                    <w:widowControl w:val="0"/>
                    <w:jc w:val="center"/>
                    <w:rPr>
                      <w:sz w:val="16"/>
                      <w:szCs w:val="16"/>
                    </w:rPr>
                  </w:pPr>
                </w:p>
              </w:tc>
            </w:tr>
            <w:tr w:rsidR="0060585A" w:rsidRPr="00321D31" w:rsidTr="00321D31">
              <w:trPr>
                <w:trHeight w:val="202"/>
              </w:trPr>
              <w:tc>
                <w:tcPr>
                  <w:tcW w:w="1754" w:type="dxa"/>
                  <w:tcBorders>
                    <w:left w:val="single" w:sz="8" w:space="0" w:color="4F81BD"/>
                    <w:bottom w:val="single" w:sz="8" w:space="0" w:color="4F81BD"/>
                  </w:tcBorders>
                  <w:noWrap/>
                  <w:vAlign w:val="center"/>
                </w:tcPr>
                <w:p w:rsidR="0060585A" w:rsidRPr="00321D31" w:rsidRDefault="0060585A" w:rsidP="00321D31">
                  <w:pPr>
                    <w:widowControl w:val="0"/>
                    <w:jc w:val="left"/>
                    <w:rPr>
                      <w:b/>
                      <w:bCs/>
                      <w:sz w:val="16"/>
                      <w:szCs w:val="16"/>
                    </w:rPr>
                  </w:pPr>
                  <w:r w:rsidRPr="00321D31">
                    <w:rPr>
                      <w:bCs/>
                      <w:sz w:val="16"/>
                      <w:szCs w:val="16"/>
                    </w:rPr>
                    <w:t>EU15</w:t>
                  </w:r>
                </w:p>
              </w:tc>
              <w:tc>
                <w:tcPr>
                  <w:tcW w:w="581" w:type="dxa"/>
                  <w:tcBorders>
                    <w:bottom w:val="single" w:sz="8" w:space="0" w:color="4F81BD"/>
                  </w:tcBorders>
                  <w:noWrap/>
                  <w:vAlign w:val="center"/>
                </w:tcPr>
                <w:p w:rsidR="0060585A" w:rsidRPr="00321D31" w:rsidRDefault="0060585A" w:rsidP="00321D31">
                  <w:pPr>
                    <w:widowControl w:val="0"/>
                    <w:jc w:val="center"/>
                    <w:rPr>
                      <w:sz w:val="16"/>
                      <w:szCs w:val="16"/>
                    </w:rPr>
                  </w:pPr>
                  <w:r w:rsidRPr="00321D31">
                    <w:rPr>
                      <w:sz w:val="16"/>
                      <w:szCs w:val="16"/>
                    </w:rPr>
                    <w:t>1.5</w:t>
                  </w:r>
                </w:p>
              </w:tc>
              <w:tc>
                <w:tcPr>
                  <w:tcW w:w="941" w:type="dxa"/>
                  <w:tcBorders>
                    <w:bottom w:val="single" w:sz="8" w:space="0" w:color="4F81BD"/>
                  </w:tcBorders>
                  <w:noWrap/>
                  <w:vAlign w:val="center"/>
                </w:tcPr>
                <w:p w:rsidR="0060585A" w:rsidRPr="00321D31" w:rsidRDefault="0060585A" w:rsidP="00321D31">
                  <w:pPr>
                    <w:widowControl w:val="0"/>
                    <w:jc w:val="center"/>
                    <w:rPr>
                      <w:sz w:val="16"/>
                      <w:szCs w:val="16"/>
                    </w:rPr>
                  </w:pPr>
                  <w:r w:rsidRPr="00321D31">
                    <w:rPr>
                      <w:sz w:val="16"/>
                      <w:szCs w:val="16"/>
                    </w:rPr>
                    <w:t>-0.1</w:t>
                  </w:r>
                </w:p>
              </w:tc>
              <w:tc>
                <w:tcPr>
                  <w:tcW w:w="941" w:type="dxa"/>
                  <w:tcBorders>
                    <w:bottom w:val="single" w:sz="8" w:space="0" w:color="4F81BD"/>
                    <w:right w:val="single" w:sz="8" w:space="0" w:color="4F81BD"/>
                  </w:tcBorders>
                  <w:noWrap/>
                  <w:vAlign w:val="center"/>
                </w:tcPr>
                <w:p w:rsidR="0060585A" w:rsidRPr="00321D31" w:rsidRDefault="0060585A" w:rsidP="00321D31">
                  <w:pPr>
                    <w:widowControl w:val="0"/>
                    <w:jc w:val="center"/>
                    <w:rPr>
                      <w:sz w:val="16"/>
                      <w:szCs w:val="16"/>
                    </w:rPr>
                  </w:pPr>
                  <w:r w:rsidRPr="00321D31">
                    <w:rPr>
                      <w:sz w:val="16"/>
                      <w:szCs w:val="16"/>
                    </w:rPr>
                    <w:t>1.2</w:t>
                  </w:r>
                </w:p>
              </w:tc>
            </w:tr>
          </w:tbl>
          <w:p w:rsidR="0060585A" w:rsidRPr="00321D31" w:rsidRDefault="0060585A" w:rsidP="00321D31">
            <w:pPr>
              <w:widowControl w:val="0"/>
              <w:spacing w:before="120" w:after="120"/>
              <w:rPr>
                <w:b/>
                <w:sz w:val="18"/>
                <w:szCs w:val="18"/>
              </w:rPr>
            </w:pPr>
          </w:p>
        </w:tc>
      </w:tr>
      <w:tr w:rsidR="0060585A" w:rsidRPr="00321D31" w:rsidTr="00321D31">
        <w:trPr>
          <w:trHeight w:val="330"/>
          <w:jc w:val="center"/>
        </w:trPr>
        <w:tc>
          <w:tcPr>
            <w:tcW w:w="4453" w:type="dxa"/>
          </w:tcPr>
          <w:p w:rsidR="0060585A" w:rsidRPr="00321D31" w:rsidRDefault="0060585A" w:rsidP="00321D31">
            <w:pPr>
              <w:keepNext/>
              <w:spacing w:before="60" w:after="40" w:line="276" w:lineRule="auto"/>
              <w:rPr>
                <w:i/>
                <w:sz w:val="18"/>
                <w:szCs w:val="18"/>
              </w:rPr>
            </w:pPr>
            <w:r w:rsidRPr="00321D31">
              <w:rPr>
                <w:i/>
                <w:sz w:val="18"/>
                <w:szCs w:val="18"/>
              </w:rPr>
              <w:t xml:space="preserve">Source: </w:t>
            </w:r>
            <w:r w:rsidRPr="00321D31">
              <w:rPr>
                <w:sz w:val="18"/>
                <w:szCs w:val="18"/>
              </w:rPr>
              <w:t>World Bank staff calculations.</w:t>
            </w:r>
            <w:r w:rsidRPr="00321D31">
              <w:rPr>
                <w:i/>
                <w:sz w:val="18"/>
                <w:szCs w:val="18"/>
              </w:rPr>
              <w:t xml:space="preserve"> </w:t>
            </w:r>
          </w:p>
        </w:tc>
      </w:tr>
    </w:tbl>
    <w:p w:rsidR="0060585A" w:rsidRPr="00B634E4" w:rsidRDefault="0060585A" w:rsidP="00B634E4">
      <w:pPr>
        <w:rPr>
          <w:lang w:eastAsia="pl-PL"/>
        </w:rPr>
        <w:sectPr w:rsidR="0060585A" w:rsidRPr="00B634E4" w:rsidSect="00555E45">
          <w:footerReference w:type="even" r:id="rId11"/>
          <w:footerReference w:type="default" r:id="rId12"/>
          <w:pgSz w:w="12240" w:h="15840"/>
          <w:pgMar w:top="1440" w:right="1440" w:bottom="1440" w:left="1440" w:header="720" w:footer="720" w:gutter="0"/>
          <w:pgNumType w:start="9"/>
          <w:cols w:num="2" w:space="720"/>
          <w:titlePg/>
          <w:docGrid w:linePitch="360"/>
        </w:sectPr>
      </w:pPr>
    </w:p>
    <w:p w:rsidR="0060585A" w:rsidRDefault="0060585A" w:rsidP="00BA6910">
      <w:pPr>
        <w:sectPr w:rsidR="0060585A" w:rsidSect="00555E45">
          <w:footerReference w:type="default" r:id="rId13"/>
          <w:pgSz w:w="12240" w:h="15840"/>
          <w:pgMar w:top="1440" w:right="1440" w:bottom="1440" w:left="1440" w:header="720" w:footer="720" w:gutter="0"/>
          <w:pgNumType w:start="9"/>
          <w:cols w:space="720"/>
          <w:titlePg/>
          <w:docGrid w:linePitch="360"/>
        </w:sectPr>
      </w:pPr>
    </w:p>
    <w:p w:rsidR="0060585A" w:rsidRDefault="0060585A" w:rsidP="00BA6910"/>
    <w:p w:rsidR="0060585A" w:rsidRDefault="0060585A" w:rsidP="00BA6910"/>
    <w:p w:rsidR="0060585A" w:rsidRDefault="0060585A" w:rsidP="00BA6910"/>
    <w:p w:rsidR="0060585A" w:rsidRDefault="0060585A" w:rsidP="00BA6910"/>
    <w:p w:rsidR="0060585A" w:rsidRDefault="0060585A" w:rsidP="00BA6910"/>
    <w:p w:rsidR="0060585A" w:rsidRDefault="0060585A" w:rsidP="00BA6910"/>
    <w:p w:rsidR="0060585A" w:rsidRDefault="0060585A" w:rsidP="00BA6910"/>
    <w:p w:rsidR="0060585A" w:rsidRDefault="0060585A" w:rsidP="00BA6910"/>
    <w:p w:rsidR="0060585A" w:rsidRDefault="0060585A" w:rsidP="00BA6910"/>
    <w:p w:rsidR="0060585A" w:rsidRDefault="0060585A" w:rsidP="00BA6910"/>
    <w:p w:rsidR="0060585A" w:rsidRDefault="0060585A" w:rsidP="00BA6910"/>
    <w:p w:rsidR="0060585A" w:rsidRDefault="0060585A" w:rsidP="00BA6910"/>
    <w:p w:rsidR="0060585A" w:rsidRPr="00A666F8" w:rsidRDefault="0060585A" w:rsidP="00A666F8">
      <w:pPr>
        <w:pStyle w:val="Title"/>
        <w:jc w:val="right"/>
        <w:rPr>
          <w:smallCaps/>
          <w:shadow/>
        </w:rPr>
      </w:pPr>
      <w:bookmarkStart w:id="2" w:name="_Toc328295589"/>
      <w:r>
        <w:rPr>
          <w:smallCaps/>
          <w:shadow/>
          <w:sz w:val="96"/>
        </w:rPr>
        <w:t xml:space="preserve">EU11 Regular Economic Report: </w:t>
      </w:r>
      <w:r w:rsidRPr="00A24079">
        <w:rPr>
          <w:smallCaps/>
          <w:shadow/>
          <w:color w:val="FFC000"/>
          <w:sz w:val="96"/>
        </w:rPr>
        <w:t>Coping with External Headwinds</w:t>
      </w:r>
      <w:bookmarkEnd w:id="2"/>
    </w:p>
    <w:p w:rsidR="0060585A" w:rsidRDefault="00185C05" w:rsidP="00A666F8">
      <w:pPr>
        <w:spacing w:after="200" w:line="276" w:lineRule="auto"/>
        <w:jc w:val="left"/>
        <w:rPr>
          <w:rFonts w:ascii="ITCFranklinGothic LT Com MdCn" w:hAnsi="ITCFranklinGothic LT Com MdCn"/>
          <w:color w:val="005BAB"/>
          <w:sz w:val="48"/>
        </w:rPr>
      </w:pPr>
      <w:r w:rsidRPr="00185C05">
        <w:rPr>
          <w:noProof/>
          <w:lang w:val="ru-RU" w:eastAsia="ru-RU"/>
        </w:rPr>
        <w:pict>
          <v:shapetype id="_x0000_t202" coordsize="21600,21600" o:spt="202" path="m,l,21600r21600,l21600,xe">
            <v:stroke joinstyle="miter"/>
            <v:path gradientshapeok="t" o:connecttype="rect"/>
          </v:shapetype>
          <v:shape id="_x0000_s1026" type="#_x0000_t202" style="position:absolute;margin-left:200.95pt;margin-top:251.65pt;width:66pt;height:18.45pt;z-index:251658752" stroked="f">
            <v:textbox style="mso-next-textbox:#_x0000_s1026">
              <w:txbxContent>
                <w:p w:rsidR="00A24079" w:rsidRDefault="00A24079" w:rsidP="00E1566C">
                  <w:pPr>
                    <w:jc w:val="center"/>
                  </w:pPr>
                  <w:r>
                    <w:t>1</w:t>
                  </w:r>
                </w:p>
              </w:txbxContent>
            </v:textbox>
          </v:shape>
        </w:pict>
      </w:r>
      <w:r w:rsidR="0060585A">
        <w:rPr>
          <w:rFonts w:ascii="ITCFranklinGothic LT Com MdCn" w:hAnsi="ITCFranklinGothic LT Com MdCn"/>
          <w:color w:val="005BAB"/>
          <w:sz w:val="48"/>
        </w:rPr>
        <w:br w:type="page"/>
      </w:r>
      <w:r w:rsidR="0060585A">
        <w:rPr>
          <w:rFonts w:ascii="ITCFranklinGothic LT Com MdCn" w:hAnsi="ITCFranklinGothic LT Com MdCn"/>
          <w:color w:val="005BAB"/>
          <w:sz w:val="48"/>
        </w:rPr>
        <w:lastRenderedPageBreak/>
        <w:br w:type="page"/>
      </w:r>
    </w:p>
    <w:p w:rsidR="0060585A" w:rsidRPr="00A73A55" w:rsidRDefault="0060585A" w:rsidP="00D40FDC">
      <w:pPr>
        <w:pStyle w:val="ChapterTitle"/>
      </w:pPr>
      <w:bookmarkStart w:id="3" w:name="_Toc328295590"/>
      <w:r w:rsidRPr="00A73A55">
        <w:lastRenderedPageBreak/>
        <w:t>Global Trends</w:t>
      </w:r>
      <w:bookmarkEnd w:id="3"/>
    </w:p>
    <w:p w:rsidR="0060585A" w:rsidRPr="00B634E4" w:rsidRDefault="0060585A" w:rsidP="00B634E4">
      <w:pPr>
        <w:pStyle w:val="IntenseQuote"/>
      </w:pPr>
      <w:r w:rsidRPr="00B634E4">
        <w:t xml:space="preserve">Global Growth Suppressed by Uncertainty in the Euro Area </w:t>
      </w:r>
    </w:p>
    <w:p w:rsidR="0060585A" w:rsidRPr="00371115" w:rsidRDefault="0060585A" w:rsidP="00E41045">
      <w:pPr>
        <w:pStyle w:val="Heading1"/>
        <w:keepNext w:val="0"/>
        <w:keepLines w:val="0"/>
        <w:spacing w:before="60" w:after="120" w:line="276" w:lineRule="auto"/>
        <w:rPr>
          <w:rFonts w:cs="Arial"/>
          <w:b w:val="0"/>
          <w:bCs w:val="0"/>
          <w:i/>
          <w:iCs/>
          <w:color w:val="1F497D"/>
          <w:sz w:val="22"/>
          <w:szCs w:val="22"/>
          <w:lang w:eastAsia="pl-PL"/>
        </w:rPr>
      </w:pPr>
      <w:r w:rsidRPr="00371115">
        <w:rPr>
          <w:rFonts w:cs="Arial"/>
          <w:b w:val="0"/>
          <w:bCs w:val="0"/>
          <w:i/>
          <w:iCs/>
          <w:color w:val="1F497D"/>
          <w:sz w:val="22"/>
          <w:szCs w:val="22"/>
          <w:lang w:eastAsia="pl-PL"/>
        </w:rPr>
        <w:t xml:space="preserve">Global economic prospects </w:t>
      </w:r>
      <w:r>
        <w:rPr>
          <w:rFonts w:cs="Arial"/>
          <w:b w:val="0"/>
          <w:bCs w:val="0"/>
          <w:i/>
          <w:iCs/>
          <w:color w:val="1F497D"/>
          <w:sz w:val="22"/>
          <w:szCs w:val="22"/>
          <w:lang w:eastAsia="pl-PL"/>
        </w:rPr>
        <w:t xml:space="preserve">have </w:t>
      </w:r>
      <w:r w:rsidRPr="00371115">
        <w:rPr>
          <w:rFonts w:cs="Arial"/>
          <w:b w:val="0"/>
          <w:bCs w:val="0"/>
          <w:i/>
          <w:iCs/>
          <w:color w:val="1F497D"/>
          <w:sz w:val="22"/>
          <w:szCs w:val="22"/>
          <w:lang w:eastAsia="pl-PL"/>
        </w:rPr>
        <w:t>continue</w:t>
      </w:r>
      <w:r>
        <w:rPr>
          <w:rFonts w:cs="Arial"/>
          <w:b w:val="0"/>
          <w:bCs w:val="0"/>
          <w:i/>
          <w:iCs/>
          <w:color w:val="1F497D"/>
          <w:sz w:val="22"/>
          <w:szCs w:val="22"/>
          <w:lang w:eastAsia="pl-PL"/>
        </w:rPr>
        <w:t>d</w:t>
      </w:r>
      <w:r w:rsidRPr="00371115">
        <w:rPr>
          <w:rFonts w:cs="Arial"/>
          <w:b w:val="0"/>
          <w:bCs w:val="0"/>
          <w:i/>
          <w:iCs/>
          <w:color w:val="1F497D"/>
          <w:sz w:val="22"/>
          <w:szCs w:val="22"/>
          <w:lang w:eastAsia="pl-PL"/>
        </w:rPr>
        <w:t xml:space="preserve"> to deteriorate with the expectation that economic growth will bottom out in 2012. There is deep uncertainty about what the outcome of the euro area crisis might imply for not just Europe, but for economies worldwide. Apart from the turmoil in the euro area, the world economy must still deal with headwinds from reduced capital inflows, and fiscal and banking</w:t>
      </w:r>
      <w:r>
        <w:rPr>
          <w:rFonts w:cs="Arial"/>
          <w:b w:val="0"/>
          <w:bCs w:val="0"/>
          <w:i/>
          <w:iCs/>
          <w:color w:val="1F497D"/>
          <w:sz w:val="22"/>
          <w:szCs w:val="22"/>
          <w:lang w:eastAsia="pl-PL"/>
        </w:rPr>
        <w:t xml:space="preserve"> </w:t>
      </w:r>
      <w:r w:rsidRPr="00371115">
        <w:rPr>
          <w:rFonts w:cs="Arial"/>
          <w:b w:val="0"/>
          <w:bCs w:val="0"/>
          <w:i/>
          <w:iCs/>
          <w:color w:val="1F497D"/>
          <w:sz w:val="22"/>
          <w:szCs w:val="22"/>
          <w:lang w:eastAsia="pl-PL"/>
        </w:rPr>
        <w:t xml:space="preserve">sector consolidations in many advanced countries. Near term, all these factors will dampen growth. </w:t>
      </w:r>
    </w:p>
    <w:p w:rsidR="0060585A" w:rsidRPr="00371115" w:rsidRDefault="0060585A" w:rsidP="00E41045">
      <w:pPr>
        <w:pStyle w:val="Heading1"/>
        <w:keepNext w:val="0"/>
        <w:keepLines w:val="0"/>
        <w:spacing w:before="60" w:after="120" w:line="276" w:lineRule="auto"/>
        <w:rPr>
          <w:rFonts w:cs="Arial"/>
          <w:b w:val="0"/>
          <w:bCs w:val="0"/>
          <w:i/>
          <w:iCs/>
          <w:color w:val="1F497D"/>
          <w:sz w:val="22"/>
          <w:szCs w:val="22"/>
          <w:lang w:eastAsia="pl-PL"/>
        </w:rPr>
      </w:pPr>
      <w:r w:rsidRPr="00371115">
        <w:rPr>
          <w:rFonts w:cs="Arial"/>
          <w:b w:val="0"/>
          <w:bCs w:val="0"/>
          <w:i/>
          <w:iCs/>
          <w:color w:val="1F497D"/>
          <w:sz w:val="22"/>
          <w:szCs w:val="22"/>
          <w:lang w:eastAsia="pl-PL"/>
        </w:rPr>
        <w:t>Growth in Europe is expected to dip into negative territory in 2012 before recovering in 2013. The baseline scenario for this report assumes that the euro area avoids a major crisis. The greatest risks to this are a disorderly outcome in crisis-hit euro area countries, lack of credible economic programs in the countries affected, and a shortfall in external resources to support them, which could trigger contagion. Calming financial markets will require credible commitments to solving macroeconomic imbalances and boosting competitiveness at the national level as well as substantial coordination of economic policies at the European Union level.</w:t>
      </w:r>
    </w:p>
    <w:p w:rsidR="0060585A" w:rsidRDefault="0060585A" w:rsidP="00E41045">
      <w:pPr>
        <w:spacing w:line="276" w:lineRule="auto"/>
        <w:rPr>
          <w:b/>
        </w:rPr>
      </w:pPr>
    </w:p>
    <w:p w:rsidR="0060585A" w:rsidRDefault="0060585A" w:rsidP="00E41045">
      <w:pPr>
        <w:spacing w:line="276" w:lineRule="auto"/>
        <w:rPr>
          <w:b/>
        </w:rPr>
      </w:pPr>
    </w:p>
    <w:tbl>
      <w:tblPr>
        <w:tblpPr w:leftFromText="180" w:rightFromText="180" w:vertAnchor="text" w:horzAnchor="margin" w:tblpXSpec="right" w:tblpY="669"/>
        <w:tblW w:w="5058" w:type="dxa"/>
        <w:tblLook w:val="00A0"/>
      </w:tblPr>
      <w:tblGrid>
        <w:gridCol w:w="5058"/>
      </w:tblGrid>
      <w:tr w:rsidR="0060585A" w:rsidRPr="00321D31" w:rsidTr="00321D31">
        <w:tc>
          <w:tcPr>
            <w:tcW w:w="5058" w:type="dxa"/>
          </w:tcPr>
          <w:p w:rsidR="0060585A" w:rsidRPr="00321D31" w:rsidRDefault="0060585A" w:rsidP="00321D31">
            <w:pPr>
              <w:pStyle w:val="Caption"/>
              <w:keepNext/>
              <w:keepLines/>
              <w:spacing w:before="60" w:after="60" w:line="276" w:lineRule="auto"/>
              <w:rPr>
                <w:sz w:val="22"/>
                <w:szCs w:val="22"/>
              </w:rPr>
            </w:pPr>
            <w:bookmarkStart w:id="4" w:name="_Ref326621860"/>
            <w:bookmarkStart w:id="5" w:name="_Ref326620655"/>
            <w:r w:rsidRPr="00321D31">
              <w:rPr>
                <w:sz w:val="22"/>
                <w:szCs w:val="22"/>
              </w:rPr>
              <w:t xml:space="preserve">Table </w:t>
            </w:r>
            <w:r w:rsidR="00185C05" w:rsidRPr="00321D31">
              <w:rPr>
                <w:sz w:val="22"/>
                <w:szCs w:val="22"/>
              </w:rPr>
              <w:fldChar w:fldCharType="begin"/>
            </w:r>
            <w:r w:rsidRPr="00321D31">
              <w:rPr>
                <w:sz w:val="22"/>
                <w:szCs w:val="22"/>
              </w:rPr>
              <w:instrText xml:space="preserve"> SEQ Table \* ARABIC </w:instrText>
            </w:r>
            <w:r w:rsidR="00185C05" w:rsidRPr="00321D31">
              <w:rPr>
                <w:sz w:val="22"/>
                <w:szCs w:val="22"/>
              </w:rPr>
              <w:fldChar w:fldCharType="separate"/>
            </w:r>
            <w:r w:rsidRPr="00321D31">
              <w:rPr>
                <w:noProof/>
                <w:sz w:val="22"/>
                <w:szCs w:val="22"/>
              </w:rPr>
              <w:t>1</w:t>
            </w:r>
            <w:r w:rsidR="00185C05" w:rsidRPr="00321D31">
              <w:rPr>
                <w:sz w:val="22"/>
                <w:szCs w:val="22"/>
              </w:rPr>
              <w:fldChar w:fldCharType="end"/>
            </w:r>
            <w:bookmarkEnd w:id="4"/>
            <w:r w:rsidRPr="00321D31">
              <w:rPr>
                <w:sz w:val="22"/>
                <w:szCs w:val="22"/>
              </w:rPr>
              <w:t>.</w:t>
            </w:r>
            <w:bookmarkEnd w:id="5"/>
            <w:r w:rsidRPr="00321D31">
              <w:rPr>
                <w:sz w:val="22"/>
                <w:szCs w:val="22"/>
              </w:rPr>
              <w:t xml:space="preserve"> Global Growth Prospects</w:t>
            </w:r>
          </w:p>
        </w:tc>
      </w:tr>
      <w:tr w:rsidR="0060585A" w:rsidRPr="00321D31" w:rsidTr="00321D31">
        <w:tc>
          <w:tcPr>
            <w:tcW w:w="5058" w:type="dxa"/>
          </w:tcPr>
          <w:tbl>
            <w:tblPr>
              <w:tblW w:w="4751" w:type="dxa"/>
              <w:tblBorders>
                <w:top w:val="single" w:sz="8" w:space="0" w:color="4F81BD"/>
                <w:left w:val="single" w:sz="8" w:space="0" w:color="4F81BD"/>
                <w:bottom w:val="single" w:sz="8" w:space="0" w:color="4F81BD"/>
                <w:right w:val="single" w:sz="8" w:space="0" w:color="4F81BD"/>
              </w:tblBorders>
              <w:tblLook w:val="00A0"/>
            </w:tblPr>
            <w:tblGrid>
              <w:gridCol w:w="1412"/>
              <w:gridCol w:w="772"/>
              <w:gridCol w:w="883"/>
              <w:gridCol w:w="842"/>
              <w:gridCol w:w="842"/>
            </w:tblGrid>
            <w:tr w:rsidR="0060585A" w:rsidRPr="00321D31" w:rsidTr="00321D31">
              <w:trPr>
                <w:trHeight w:val="300"/>
              </w:trPr>
              <w:tc>
                <w:tcPr>
                  <w:tcW w:w="1412" w:type="dxa"/>
                  <w:tcBorders>
                    <w:top w:val="single" w:sz="8" w:space="0" w:color="4F81BD"/>
                    <w:left w:val="single" w:sz="8" w:space="0" w:color="4F81BD"/>
                  </w:tcBorders>
                  <w:shd w:val="clear" w:color="auto" w:fill="4F81BD"/>
                  <w:noWrap/>
                </w:tcPr>
                <w:p w:rsidR="0060585A" w:rsidRPr="00321D31" w:rsidRDefault="0060585A" w:rsidP="00321D31">
                  <w:pPr>
                    <w:framePr w:hSpace="180" w:wrap="around" w:vAnchor="text" w:hAnchor="margin" w:xAlign="right" w:y="669"/>
                    <w:spacing w:line="276" w:lineRule="auto"/>
                    <w:rPr>
                      <w:rFonts w:ascii="Calibri" w:hAnsi="Calibri"/>
                      <w:b/>
                      <w:bCs/>
                      <w:color w:val="000000"/>
                      <w:sz w:val="20"/>
                      <w:szCs w:val="20"/>
                    </w:rPr>
                  </w:pPr>
                  <w:r w:rsidRPr="00321D31">
                    <w:rPr>
                      <w:rFonts w:ascii="Calibri" w:hAnsi="Calibri"/>
                      <w:b/>
                      <w:bCs/>
                      <w:color w:val="000000"/>
                      <w:sz w:val="20"/>
                      <w:szCs w:val="20"/>
                    </w:rPr>
                    <w:t> </w:t>
                  </w:r>
                </w:p>
              </w:tc>
              <w:tc>
                <w:tcPr>
                  <w:tcW w:w="772" w:type="dxa"/>
                  <w:tcBorders>
                    <w:top w:val="single" w:sz="8" w:space="0" w:color="4F81BD"/>
                  </w:tcBorders>
                  <w:shd w:val="clear" w:color="auto" w:fill="4F81BD"/>
                  <w:noWrap/>
                </w:tcPr>
                <w:p w:rsidR="0060585A" w:rsidRPr="00321D31" w:rsidRDefault="0060585A" w:rsidP="00321D31">
                  <w:pPr>
                    <w:framePr w:hSpace="180" w:wrap="around" w:vAnchor="text" w:hAnchor="margin" w:xAlign="right" w:y="669"/>
                    <w:spacing w:line="276" w:lineRule="auto"/>
                    <w:rPr>
                      <w:rFonts w:ascii="Calibri" w:hAnsi="Calibri"/>
                      <w:b/>
                      <w:bCs/>
                      <w:color w:val="000000"/>
                      <w:sz w:val="20"/>
                      <w:szCs w:val="20"/>
                    </w:rPr>
                  </w:pPr>
                  <w:r w:rsidRPr="00321D31">
                    <w:rPr>
                      <w:rFonts w:ascii="Calibri" w:hAnsi="Calibri"/>
                      <w:b/>
                      <w:bCs/>
                      <w:color w:val="000000"/>
                      <w:sz w:val="20"/>
                      <w:szCs w:val="20"/>
                    </w:rPr>
                    <w:t>2010</w:t>
                  </w:r>
                </w:p>
              </w:tc>
              <w:tc>
                <w:tcPr>
                  <w:tcW w:w="883" w:type="dxa"/>
                  <w:tcBorders>
                    <w:top w:val="single" w:sz="8" w:space="0" w:color="4F81BD"/>
                  </w:tcBorders>
                  <w:shd w:val="clear" w:color="auto" w:fill="4F81BD"/>
                  <w:noWrap/>
                </w:tcPr>
                <w:p w:rsidR="0060585A" w:rsidRPr="00321D31" w:rsidRDefault="0060585A" w:rsidP="00321D31">
                  <w:pPr>
                    <w:framePr w:hSpace="180" w:wrap="around" w:vAnchor="text" w:hAnchor="margin" w:xAlign="right" w:y="669"/>
                    <w:spacing w:line="276" w:lineRule="auto"/>
                    <w:rPr>
                      <w:rFonts w:ascii="Calibri" w:hAnsi="Calibri"/>
                      <w:b/>
                      <w:bCs/>
                      <w:color w:val="000000"/>
                      <w:sz w:val="20"/>
                      <w:szCs w:val="20"/>
                    </w:rPr>
                  </w:pPr>
                  <w:r w:rsidRPr="00321D31">
                    <w:rPr>
                      <w:rFonts w:ascii="Calibri" w:hAnsi="Calibri"/>
                      <w:b/>
                      <w:bCs/>
                      <w:color w:val="000000"/>
                      <w:sz w:val="20"/>
                      <w:szCs w:val="20"/>
                    </w:rPr>
                    <w:t>2011e</w:t>
                  </w:r>
                </w:p>
              </w:tc>
              <w:tc>
                <w:tcPr>
                  <w:tcW w:w="842" w:type="dxa"/>
                  <w:tcBorders>
                    <w:top w:val="single" w:sz="8" w:space="0" w:color="4F81BD"/>
                  </w:tcBorders>
                  <w:shd w:val="clear" w:color="auto" w:fill="4F81BD"/>
                  <w:noWrap/>
                </w:tcPr>
                <w:p w:rsidR="0060585A" w:rsidRPr="00321D31" w:rsidRDefault="0060585A" w:rsidP="00321D31">
                  <w:pPr>
                    <w:framePr w:hSpace="180" w:wrap="around" w:vAnchor="text" w:hAnchor="margin" w:xAlign="right" w:y="669"/>
                    <w:spacing w:line="276" w:lineRule="auto"/>
                    <w:rPr>
                      <w:rFonts w:ascii="Calibri" w:hAnsi="Calibri"/>
                      <w:b/>
                      <w:bCs/>
                      <w:color w:val="000000"/>
                      <w:sz w:val="20"/>
                      <w:szCs w:val="20"/>
                    </w:rPr>
                  </w:pPr>
                  <w:r w:rsidRPr="00321D31">
                    <w:rPr>
                      <w:rFonts w:ascii="Calibri" w:hAnsi="Calibri"/>
                      <w:b/>
                      <w:bCs/>
                      <w:color w:val="000000"/>
                      <w:sz w:val="20"/>
                      <w:szCs w:val="20"/>
                    </w:rPr>
                    <w:t>2012f</w:t>
                  </w:r>
                </w:p>
              </w:tc>
              <w:tc>
                <w:tcPr>
                  <w:tcW w:w="842" w:type="dxa"/>
                  <w:tcBorders>
                    <w:top w:val="single" w:sz="8" w:space="0" w:color="4F81BD"/>
                    <w:right w:val="single" w:sz="8" w:space="0" w:color="4F81BD"/>
                  </w:tcBorders>
                  <w:shd w:val="clear" w:color="auto" w:fill="4F81BD"/>
                  <w:noWrap/>
                </w:tcPr>
                <w:p w:rsidR="0060585A" w:rsidRPr="00321D31" w:rsidRDefault="0060585A" w:rsidP="00321D31">
                  <w:pPr>
                    <w:framePr w:hSpace="180" w:wrap="around" w:vAnchor="text" w:hAnchor="margin" w:xAlign="right" w:y="669"/>
                    <w:spacing w:line="276" w:lineRule="auto"/>
                    <w:rPr>
                      <w:rFonts w:ascii="Calibri" w:hAnsi="Calibri"/>
                      <w:b/>
                      <w:bCs/>
                      <w:color w:val="000000"/>
                      <w:sz w:val="20"/>
                      <w:szCs w:val="20"/>
                    </w:rPr>
                  </w:pPr>
                  <w:r w:rsidRPr="00321D31">
                    <w:rPr>
                      <w:rFonts w:ascii="Calibri" w:hAnsi="Calibri"/>
                      <w:b/>
                      <w:bCs/>
                      <w:color w:val="000000"/>
                      <w:sz w:val="20"/>
                      <w:szCs w:val="20"/>
                    </w:rPr>
                    <w:t>2013f</w:t>
                  </w:r>
                </w:p>
              </w:tc>
            </w:tr>
            <w:tr w:rsidR="0060585A" w:rsidRPr="00321D31" w:rsidTr="00321D31">
              <w:trPr>
                <w:trHeight w:val="300"/>
              </w:trPr>
              <w:tc>
                <w:tcPr>
                  <w:tcW w:w="1412" w:type="dxa"/>
                  <w:tcBorders>
                    <w:top w:val="single" w:sz="8" w:space="0" w:color="4F81BD"/>
                    <w:left w:val="single" w:sz="8" w:space="0" w:color="4F81BD"/>
                    <w:bottom w:val="single" w:sz="8" w:space="0" w:color="4F81BD"/>
                  </w:tcBorders>
                  <w:noWrap/>
                </w:tcPr>
                <w:p w:rsidR="0060585A" w:rsidRPr="00321D31" w:rsidRDefault="0060585A" w:rsidP="00321D31">
                  <w:pPr>
                    <w:framePr w:hSpace="180" w:wrap="around" w:vAnchor="text" w:hAnchor="margin" w:xAlign="right" w:y="669"/>
                    <w:spacing w:line="276" w:lineRule="auto"/>
                    <w:rPr>
                      <w:rFonts w:ascii="Calibri" w:hAnsi="Calibri"/>
                      <w:b/>
                      <w:bCs/>
                      <w:color w:val="000000"/>
                      <w:sz w:val="20"/>
                      <w:szCs w:val="20"/>
                    </w:rPr>
                  </w:pPr>
                  <w:r w:rsidRPr="00321D31">
                    <w:rPr>
                      <w:rFonts w:ascii="Calibri" w:hAnsi="Calibri"/>
                      <w:bCs/>
                      <w:color w:val="000000"/>
                      <w:sz w:val="20"/>
                      <w:szCs w:val="20"/>
                    </w:rPr>
                    <w:t>World</w:t>
                  </w:r>
                </w:p>
              </w:tc>
              <w:tc>
                <w:tcPr>
                  <w:tcW w:w="772" w:type="dxa"/>
                  <w:tcBorders>
                    <w:top w:val="single" w:sz="8" w:space="0" w:color="4F81BD"/>
                    <w:bottom w:val="single" w:sz="8" w:space="0" w:color="4F81BD"/>
                  </w:tcBorders>
                  <w:noWrap/>
                </w:tcPr>
                <w:p w:rsidR="0060585A" w:rsidRPr="00321D31" w:rsidRDefault="0060585A" w:rsidP="00321D31">
                  <w:pPr>
                    <w:framePr w:hSpace="180" w:wrap="around" w:vAnchor="text" w:hAnchor="margin" w:xAlign="right" w:y="669"/>
                    <w:spacing w:line="276" w:lineRule="auto"/>
                    <w:rPr>
                      <w:rFonts w:ascii="Calibri" w:hAnsi="Calibri"/>
                      <w:color w:val="000000"/>
                      <w:sz w:val="20"/>
                      <w:szCs w:val="20"/>
                    </w:rPr>
                  </w:pPr>
                  <w:r w:rsidRPr="00321D31">
                    <w:rPr>
                      <w:rFonts w:ascii="Calibri" w:hAnsi="Calibri"/>
                      <w:color w:val="000000"/>
                      <w:sz w:val="20"/>
                      <w:szCs w:val="20"/>
                    </w:rPr>
                    <w:t>4.1</w:t>
                  </w:r>
                </w:p>
              </w:tc>
              <w:tc>
                <w:tcPr>
                  <w:tcW w:w="883" w:type="dxa"/>
                  <w:tcBorders>
                    <w:top w:val="single" w:sz="8" w:space="0" w:color="4F81BD"/>
                    <w:bottom w:val="single" w:sz="8" w:space="0" w:color="4F81BD"/>
                  </w:tcBorders>
                  <w:noWrap/>
                </w:tcPr>
                <w:p w:rsidR="0060585A" w:rsidRPr="00321D31" w:rsidRDefault="0060585A" w:rsidP="00321D31">
                  <w:pPr>
                    <w:framePr w:hSpace="180" w:wrap="around" w:vAnchor="text" w:hAnchor="margin" w:xAlign="right" w:y="669"/>
                    <w:spacing w:line="276" w:lineRule="auto"/>
                    <w:rPr>
                      <w:rFonts w:ascii="Calibri" w:hAnsi="Calibri"/>
                      <w:color w:val="000000"/>
                      <w:sz w:val="20"/>
                      <w:szCs w:val="20"/>
                    </w:rPr>
                  </w:pPr>
                  <w:r w:rsidRPr="00321D31">
                    <w:rPr>
                      <w:rFonts w:ascii="Calibri" w:hAnsi="Calibri"/>
                      <w:color w:val="000000"/>
                      <w:sz w:val="20"/>
                      <w:szCs w:val="20"/>
                    </w:rPr>
                    <w:t>2.7</w:t>
                  </w:r>
                </w:p>
              </w:tc>
              <w:tc>
                <w:tcPr>
                  <w:tcW w:w="842" w:type="dxa"/>
                  <w:tcBorders>
                    <w:top w:val="single" w:sz="8" w:space="0" w:color="4F81BD"/>
                    <w:bottom w:val="single" w:sz="8" w:space="0" w:color="4F81BD"/>
                  </w:tcBorders>
                  <w:noWrap/>
                </w:tcPr>
                <w:p w:rsidR="0060585A" w:rsidRPr="00321D31" w:rsidRDefault="0060585A" w:rsidP="00321D31">
                  <w:pPr>
                    <w:framePr w:hSpace="180" w:wrap="around" w:vAnchor="text" w:hAnchor="margin" w:xAlign="right" w:y="669"/>
                    <w:spacing w:line="276" w:lineRule="auto"/>
                    <w:rPr>
                      <w:rFonts w:ascii="Calibri" w:hAnsi="Calibri"/>
                      <w:color w:val="000000"/>
                      <w:sz w:val="20"/>
                      <w:szCs w:val="20"/>
                    </w:rPr>
                  </w:pPr>
                  <w:r w:rsidRPr="00321D31">
                    <w:rPr>
                      <w:rFonts w:ascii="Calibri" w:hAnsi="Calibri"/>
                      <w:color w:val="000000"/>
                      <w:sz w:val="20"/>
                      <w:szCs w:val="20"/>
                    </w:rPr>
                    <w:t>2.5</w:t>
                  </w:r>
                </w:p>
              </w:tc>
              <w:tc>
                <w:tcPr>
                  <w:tcW w:w="842" w:type="dxa"/>
                  <w:tcBorders>
                    <w:top w:val="single" w:sz="8" w:space="0" w:color="4F81BD"/>
                    <w:bottom w:val="single" w:sz="8" w:space="0" w:color="4F81BD"/>
                    <w:right w:val="single" w:sz="8" w:space="0" w:color="4F81BD"/>
                  </w:tcBorders>
                  <w:noWrap/>
                </w:tcPr>
                <w:p w:rsidR="0060585A" w:rsidRPr="00321D31" w:rsidRDefault="0060585A" w:rsidP="00321D31">
                  <w:pPr>
                    <w:framePr w:hSpace="180" w:wrap="around" w:vAnchor="text" w:hAnchor="margin" w:xAlign="right" w:y="669"/>
                    <w:spacing w:line="276" w:lineRule="auto"/>
                    <w:rPr>
                      <w:rFonts w:ascii="Calibri" w:hAnsi="Calibri"/>
                      <w:color w:val="000000"/>
                      <w:sz w:val="20"/>
                      <w:szCs w:val="20"/>
                    </w:rPr>
                  </w:pPr>
                  <w:r w:rsidRPr="00321D31">
                    <w:rPr>
                      <w:rFonts w:ascii="Calibri" w:hAnsi="Calibri"/>
                      <w:color w:val="000000"/>
                      <w:sz w:val="20"/>
                      <w:szCs w:val="20"/>
                    </w:rPr>
                    <w:t>3.0</w:t>
                  </w:r>
                </w:p>
              </w:tc>
            </w:tr>
            <w:tr w:rsidR="0060585A" w:rsidRPr="00321D31" w:rsidTr="00321D31">
              <w:trPr>
                <w:trHeight w:val="300"/>
              </w:trPr>
              <w:tc>
                <w:tcPr>
                  <w:tcW w:w="1412" w:type="dxa"/>
                  <w:tcBorders>
                    <w:left w:val="single" w:sz="8" w:space="0" w:color="4F81BD"/>
                  </w:tcBorders>
                  <w:noWrap/>
                </w:tcPr>
                <w:p w:rsidR="0060585A" w:rsidRPr="00321D31" w:rsidRDefault="0060585A" w:rsidP="00321D31">
                  <w:pPr>
                    <w:framePr w:hSpace="180" w:wrap="around" w:vAnchor="text" w:hAnchor="margin" w:xAlign="right" w:y="669"/>
                    <w:spacing w:line="276" w:lineRule="auto"/>
                    <w:rPr>
                      <w:rFonts w:ascii="Calibri" w:hAnsi="Calibri"/>
                      <w:b/>
                      <w:bCs/>
                      <w:color w:val="000000"/>
                      <w:sz w:val="20"/>
                      <w:szCs w:val="20"/>
                    </w:rPr>
                  </w:pPr>
                  <w:r w:rsidRPr="00321D31">
                    <w:rPr>
                      <w:rFonts w:ascii="Calibri" w:hAnsi="Calibri"/>
                      <w:bCs/>
                      <w:color w:val="000000"/>
                      <w:sz w:val="20"/>
                      <w:szCs w:val="20"/>
                    </w:rPr>
                    <w:t>OECD</w:t>
                  </w:r>
                </w:p>
              </w:tc>
              <w:tc>
                <w:tcPr>
                  <w:tcW w:w="772" w:type="dxa"/>
                  <w:noWrap/>
                </w:tcPr>
                <w:p w:rsidR="0060585A" w:rsidRPr="00321D31" w:rsidRDefault="0060585A" w:rsidP="00321D31">
                  <w:pPr>
                    <w:framePr w:hSpace="180" w:wrap="around" w:vAnchor="text" w:hAnchor="margin" w:xAlign="right" w:y="669"/>
                    <w:spacing w:line="276" w:lineRule="auto"/>
                    <w:rPr>
                      <w:rFonts w:ascii="Calibri" w:hAnsi="Calibri"/>
                      <w:color w:val="000000"/>
                      <w:sz w:val="20"/>
                      <w:szCs w:val="20"/>
                    </w:rPr>
                  </w:pPr>
                  <w:r w:rsidRPr="00321D31">
                    <w:rPr>
                      <w:rFonts w:ascii="Calibri" w:hAnsi="Calibri"/>
                      <w:color w:val="000000"/>
                      <w:sz w:val="20"/>
                      <w:szCs w:val="20"/>
                    </w:rPr>
                    <w:t>2.9</w:t>
                  </w:r>
                </w:p>
              </w:tc>
              <w:tc>
                <w:tcPr>
                  <w:tcW w:w="883" w:type="dxa"/>
                  <w:noWrap/>
                </w:tcPr>
                <w:p w:rsidR="0060585A" w:rsidRPr="00321D31" w:rsidRDefault="0060585A" w:rsidP="00321D31">
                  <w:pPr>
                    <w:framePr w:hSpace="180" w:wrap="around" w:vAnchor="text" w:hAnchor="margin" w:xAlign="right" w:y="669"/>
                    <w:spacing w:line="276" w:lineRule="auto"/>
                    <w:rPr>
                      <w:rFonts w:ascii="Calibri" w:hAnsi="Calibri"/>
                      <w:color w:val="000000"/>
                      <w:sz w:val="20"/>
                      <w:szCs w:val="20"/>
                    </w:rPr>
                  </w:pPr>
                  <w:r w:rsidRPr="00321D31">
                    <w:rPr>
                      <w:rFonts w:ascii="Calibri" w:hAnsi="Calibri"/>
                      <w:color w:val="000000"/>
                      <w:sz w:val="20"/>
                      <w:szCs w:val="20"/>
                    </w:rPr>
                    <w:t>1.4</w:t>
                  </w:r>
                </w:p>
              </w:tc>
              <w:tc>
                <w:tcPr>
                  <w:tcW w:w="842" w:type="dxa"/>
                  <w:noWrap/>
                </w:tcPr>
                <w:p w:rsidR="0060585A" w:rsidRPr="00321D31" w:rsidRDefault="0060585A" w:rsidP="00321D31">
                  <w:pPr>
                    <w:framePr w:hSpace="180" w:wrap="around" w:vAnchor="text" w:hAnchor="margin" w:xAlign="right" w:y="669"/>
                    <w:spacing w:line="276" w:lineRule="auto"/>
                    <w:rPr>
                      <w:rFonts w:ascii="Calibri" w:hAnsi="Calibri"/>
                      <w:color w:val="000000"/>
                      <w:sz w:val="20"/>
                      <w:szCs w:val="20"/>
                    </w:rPr>
                  </w:pPr>
                  <w:r w:rsidRPr="00321D31">
                    <w:rPr>
                      <w:rFonts w:ascii="Calibri" w:hAnsi="Calibri"/>
                      <w:color w:val="000000"/>
                      <w:sz w:val="20"/>
                      <w:szCs w:val="20"/>
                    </w:rPr>
                    <w:t>1.3</w:t>
                  </w:r>
                </w:p>
              </w:tc>
              <w:tc>
                <w:tcPr>
                  <w:tcW w:w="842" w:type="dxa"/>
                  <w:tcBorders>
                    <w:right w:val="single" w:sz="8" w:space="0" w:color="4F81BD"/>
                  </w:tcBorders>
                  <w:noWrap/>
                </w:tcPr>
                <w:p w:rsidR="0060585A" w:rsidRPr="00321D31" w:rsidRDefault="0060585A" w:rsidP="00321D31">
                  <w:pPr>
                    <w:framePr w:hSpace="180" w:wrap="around" w:vAnchor="text" w:hAnchor="margin" w:xAlign="right" w:y="669"/>
                    <w:spacing w:line="276" w:lineRule="auto"/>
                    <w:rPr>
                      <w:rFonts w:ascii="Calibri" w:hAnsi="Calibri"/>
                      <w:color w:val="000000"/>
                      <w:sz w:val="20"/>
                      <w:szCs w:val="20"/>
                    </w:rPr>
                  </w:pPr>
                  <w:r w:rsidRPr="00321D31">
                    <w:rPr>
                      <w:rFonts w:ascii="Calibri" w:hAnsi="Calibri"/>
                      <w:color w:val="000000"/>
                      <w:sz w:val="20"/>
                      <w:szCs w:val="20"/>
                    </w:rPr>
                    <w:t>1.8</w:t>
                  </w:r>
                </w:p>
              </w:tc>
            </w:tr>
            <w:tr w:rsidR="0060585A" w:rsidRPr="00321D31" w:rsidTr="00321D31">
              <w:trPr>
                <w:trHeight w:val="300"/>
              </w:trPr>
              <w:tc>
                <w:tcPr>
                  <w:tcW w:w="1412" w:type="dxa"/>
                  <w:tcBorders>
                    <w:top w:val="single" w:sz="8" w:space="0" w:color="4F81BD"/>
                    <w:left w:val="single" w:sz="8" w:space="0" w:color="4F81BD"/>
                    <w:bottom w:val="single" w:sz="8" w:space="0" w:color="4F81BD"/>
                  </w:tcBorders>
                  <w:noWrap/>
                </w:tcPr>
                <w:p w:rsidR="0060585A" w:rsidRPr="00321D31" w:rsidRDefault="0060585A" w:rsidP="00321D31">
                  <w:pPr>
                    <w:framePr w:hSpace="180" w:wrap="around" w:vAnchor="text" w:hAnchor="margin" w:xAlign="right" w:y="669"/>
                    <w:spacing w:line="276" w:lineRule="auto"/>
                    <w:rPr>
                      <w:rFonts w:ascii="Calibri" w:hAnsi="Calibri"/>
                      <w:b/>
                      <w:bCs/>
                      <w:color w:val="000000"/>
                      <w:sz w:val="20"/>
                      <w:szCs w:val="20"/>
                    </w:rPr>
                  </w:pPr>
                  <w:r w:rsidRPr="00321D31">
                    <w:rPr>
                      <w:rFonts w:ascii="Calibri" w:hAnsi="Calibri"/>
                      <w:bCs/>
                      <w:color w:val="000000"/>
                      <w:sz w:val="20"/>
                      <w:szCs w:val="20"/>
                    </w:rPr>
                    <w:t>Euro area</w:t>
                  </w:r>
                </w:p>
              </w:tc>
              <w:tc>
                <w:tcPr>
                  <w:tcW w:w="772" w:type="dxa"/>
                  <w:tcBorders>
                    <w:top w:val="single" w:sz="8" w:space="0" w:color="4F81BD"/>
                    <w:bottom w:val="single" w:sz="8" w:space="0" w:color="4F81BD"/>
                  </w:tcBorders>
                  <w:noWrap/>
                </w:tcPr>
                <w:p w:rsidR="0060585A" w:rsidRPr="00321D31" w:rsidRDefault="0060585A" w:rsidP="00321D31">
                  <w:pPr>
                    <w:framePr w:hSpace="180" w:wrap="around" w:vAnchor="text" w:hAnchor="margin" w:xAlign="right" w:y="669"/>
                    <w:spacing w:line="276" w:lineRule="auto"/>
                    <w:rPr>
                      <w:rFonts w:ascii="Calibri" w:hAnsi="Calibri"/>
                      <w:color w:val="000000"/>
                      <w:sz w:val="20"/>
                      <w:szCs w:val="20"/>
                    </w:rPr>
                  </w:pPr>
                  <w:r w:rsidRPr="00321D31">
                    <w:rPr>
                      <w:rFonts w:ascii="Calibri" w:hAnsi="Calibri"/>
                      <w:color w:val="000000"/>
                      <w:sz w:val="20"/>
                      <w:szCs w:val="20"/>
                    </w:rPr>
                    <w:t>1.8</w:t>
                  </w:r>
                </w:p>
              </w:tc>
              <w:tc>
                <w:tcPr>
                  <w:tcW w:w="883" w:type="dxa"/>
                  <w:tcBorders>
                    <w:top w:val="single" w:sz="8" w:space="0" w:color="4F81BD"/>
                    <w:bottom w:val="single" w:sz="8" w:space="0" w:color="4F81BD"/>
                  </w:tcBorders>
                  <w:noWrap/>
                </w:tcPr>
                <w:p w:rsidR="0060585A" w:rsidRPr="00321D31" w:rsidRDefault="0060585A" w:rsidP="00321D31">
                  <w:pPr>
                    <w:framePr w:hSpace="180" w:wrap="around" w:vAnchor="text" w:hAnchor="margin" w:xAlign="right" w:y="669"/>
                    <w:spacing w:line="276" w:lineRule="auto"/>
                    <w:rPr>
                      <w:rFonts w:ascii="Calibri" w:hAnsi="Calibri"/>
                      <w:color w:val="000000"/>
                      <w:sz w:val="20"/>
                      <w:szCs w:val="20"/>
                    </w:rPr>
                  </w:pPr>
                  <w:r w:rsidRPr="00321D31">
                    <w:rPr>
                      <w:rFonts w:ascii="Calibri" w:hAnsi="Calibri"/>
                      <w:color w:val="000000"/>
                      <w:sz w:val="20"/>
                      <w:szCs w:val="20"/>
                    </w:rPr>
                    <w:t>1.6</w:t>
                  </w:r>
                </w:p>
              </w:tc>
              <w:tc>
                <w:tcPr>
                  <w:tcW w:w="842" w:type="dxa"/>
                  <w:tcBorders>
                    <w:top w:val="single" w:sz="8" w:space="0" w:color="4F81BD"/>
                    <w:bottom w:val="single" w:sz="8" w:space="0" w:color="4F81BD"/>
                  </w:tcBorders>
                  <w:noWrap/>
                </w:tcPr>
                <w:p w:rsidR="0060585A" w:rsidRPr="00321D31" w:rsidRDefault="0060585A" w:rsidP="00321D31">
                  <w:pPr>
                    <w:framePr w:hSpace="180" w:wrap="around" w:vAnchor="text" w:hAnchor="margin" w:xAlign="right" w:y="669"/>
                    <w:spacing w:line="276" w:lineRule="auto"/>
                    <w:rPr>
                      <w:rFonts w:ascii="Calibri" w:hAnsi="Calibri"/>
                      <w:color w:val="000000"/>
                      <w:sz w:val="20"/>
                      <w:szCs w:val="20"/>
                    </w:rPr>
                  </w:pPr>
                  <w:r w:rsidRPr="00321D31">
                    <w:rPr>
                      <w:rFonts w:ascii="Calibri" w:hAnsi="Calibri"/>
                      <w:color w:val="000000"/>
                      <w:sz w:val="20"/>
                      <w:szCs w:val="20"/>
                    </w:rPr>
                    <w:t>-0.3</w:t>
                  </w:r>
                </w:p>
              </w:tc>
              <w:tc>
                <w:tcPr>
                  <w:tcW w:w="842" w:type="dxa"/>
                  <w:tcBorders>
                    <w:top w:val="single" w:sz="8" w:space="0" w:color="4F81BD"/>
                    <w:bottom w:val="single" w:sz="8" w:space="0" w:color="4F81BD"/>
                    <w:right w:val="single" w:sz="8" w:space="0" w:color="4F81BD"/>
                  </w:tcBorders>
                  <w:noWrap/>
                </w:tcPr>
                <w:p w:rsidR="0060585A" w:rsidRPr="00321D31" w:rsidRDefault="0060585A" w:rsidP="00321D31">
                  <w:pPr>
                    <w:framePr w:hSpace="180" w:wrap="around" w:vAnchor="text" w:hAnchor="margin" w:xAlign="right" w:y="669"/>
                    <w:spacing w:line="276" w:lineRule="auto"/>
                    <w:rPr>
                      <w:rFonts w:ascii="Calibri" w:hAnsi="Calibri"/>
                      <w:color w:val="000000"/>
                      <w:sz w:val="20"/>
                      <w:szCs w:val="20"/>
                    </w:rPr>
                  </w:pPr>
                  <w:r w:rsidRPr="00321D31">
                    <w:rPr>
                      <w:rFonts w:ascii="Calibri" w:hAnsi="Calibri"/>
                      <w:color w:val="000000"/>
                      <w:sz w:val="20"/>
                      <w:szCs w:val="20"/>
                    </w:rPr>
                    <w:t>0.7</w:t>
                  </w:r>
                </w:p>
              </w:tc>
            </w:tr>
            <w:tr w:rsidR="0060585A" w:rsidRPr="00321D31" w:rsidTr="00321D31">
              <w:trPr>
                <w:trHeight w:val="300"/>
              </w:trPr>
              <w:tc>
                <w:tcPr>
                  <w:tcW w:w="1412" w:type="dxa"/>
                  <w:tcBorders>
                    <w:left w:val="single" w:sz="8" w:space="0" w:color="4F81BD"/>
                  </w:tcBorders>
                  <w:noWrap/>
                </w:tcPr>
                <w:p w:rsidR="0060585A" w:rsidRPr="00321D31" w:rsidRDefault="0060585A" w:rsidP="00321D31">
                  <w:pPr>
                    <w:framePr w:hSpace="180" w:wrap="around" w:vAnchor="text" w:hAnchor="margin" w:xAlign="right" w:y="669"/>
                    <w:spacing w:line="276" w:lineRule="auto"/>
                    <w:rPr>
                      <w:rFonts w:ascii="Calibri" w:hAnsi="Calibri"/>
                      <w:b/>
                      <w:bCs/>
                      <w:color w:val="000000"/>
                      <w:sz w:val="20"/>
                      <w:szCs w:val="20"/>
                    </w:rPr>
                  </w:pPr>
                  <w:r w:rsidRPr="00321D31">
                    <w:rPr>
                      <w:rFonts w:ascii="Calibri" w:hAnsi="Calibri"/>
                      <w:bCs/>
                      <w:color w:val="000000"/>
                      <w:sz w:val="20"/>
                      <w:szCs w:val="20"/>
                    </w:rPr>
                    <w:t>Japan</w:t>
                  </w:r>
                </w:p>
              </w:tc>
              <w:tc>
                <w:tcPr>
                  <w:tcW w:w="772" w:type="dxa"/>
                  <w:noWrap/>
                </w:tcPr>
                <w:p w:rsidR="0060585A" w:rsidRPr="00321D31" w:rsidRDefault="0060585A" w:rsidP="00321D31">
                  <w:pPr>
                    <w:framePr w:hSpace="180" w:wrap="around" w:vAnchor="text" w:hAnchor="margin" w:xAlign="right" w:y="669"/>
                    <w:spacing w:line="276" w:lineRule="auto"/>
                    <w:rPr>
                      <w:rFonts w:ascii="Calibri" w:hAnsi="Calibri"/>
                      <w:color w:val="000000"/>
                      <w:sz w:val="20"/>
                      <w:szCs w:val="20"/>
                    </w:rPr>
                  </w:pPr>
                  <w:r w:rsidRPr="00321D31">
                    <w:rPr>
                      <w:rFonts w:ascii="Calibri" w:hAnsi="Calibri"/>
                      <w:color w:val="000000"/>
                      <w:sz w:val="20"/>
                      <w:szCs w:val="20"/>
                    </w:rPr>
                    <w:t>4.5</w:t>
                  </w:r>
                </w:p>
              </w:tc>
              <w:tc>
                <w:tcPr>
                  <w:tcW w:w="883" w:type="dxa"/>
                  <w:noWrap/>
                </w:tcPr>
                <w:p w:rsidR="0060585A" w:rsidRPr="00321D31" w:rsidRDefault="0060585A" w:rsidP="00321D31">
                  <w:pPr>
                    <w:framePr w:hSpace="180" w:wrap="around" w:vAnchor="text" w:hAnchor="margin" w:xAlign="right" w:y="669"/>
                    <w:spacing w:line="276" w:lineRule="auto"/>
                    <w:rPr>
                      <w:rFonts w:ascii="Calibri" w:hAnsi="Calibri"/>
                      <w:color w:val="000000"/>
                      <w:sz w:val="20"/>
                      <w:szCs w:val="20"/>
                    </w:rPr>
                  </w:pPr>
                  <w:r w:rsidRPr="00321D31">
                    <w:rPr>
                      <w:rFonts w:ascii="Calibri" w:hAnsi="Calibri"/>
                      <w:color w:val="000000"/>
                      <w:sz w:val="20"/>
                      <w:szCs w:val="20"/>
                    </w:rPr>
                    <w:t>-0.7</w:t>
                  </w:r>
                </w:p>
              </w:tc>
              <w:tc>
                <w:tcPr>
                  <w:tcW w:w="842" w:type="dxa"/>
                  <w:noWrap/>
                </w:tcPr>
                <w:p w:rsidR="0060585A" w:rsidRPr="00321D31" w:rsidRDefault="0060585A" w:rsidP="00321D31">
                  <w:pPr>
                    <w:framePr w:hSpace="180" w:wrap="around" w:vAnchor="text" w:hAnchor="margin" w:xAlign="right" w:y="669"/>
                    <w:spacing w:line="276" w:lineRule="auto"/>
                    <w:rPr>
                      <w:rFonts w:ascii="Calibri" w:hAnsi="Calibri"/>
                      <w:color w:val="000000"/>
                      <w:sz w:val="20"/>
                      <w:szCs w:val="20"/>
                    </w:rPr>
                  </w:pPr>
                  <w:r w:rsidRPr="00321D31">
                    <w:rPr>
                      <w:rFonts w:ascii="Calibri" w:hAnsi="Calibri"/>
                      <w:color w:val="000000"/>
                      <w:sz w:val="20"/>
                      <w:szCs w:val="20"/>
                    </w:rPr>
                    <w:t>2.4</w:t>
                  </w:r>
                </w:p>
              </w:tc>
              <w:tc>
                <w:tcPr>
                  <w:tcW w:w="842" w:type="dxa"/>
                  <w:tcBorders>
                    <w:right w:val="single" w:sz="8" w:space="0" w:color="4F81BD"/>
                  </w:tcBorders>
                  <w:noWrap/>
                </w:tcPr>
                <w:p w:rsidR="0060585A" w:rsidRPr="00321D31" w:rsidRDefault="0060585A" w:rsidP="00321D31">
                  <w:pPr>
                    <w:framePr w:hSpace="180" w:wrap="around" w:vAnchor="text" w:hAnchor="margin" w:xAlign="right" w:y="669"/>
                    <w:spacing w:line="276" w:lineRule="auto"/>
                    <w:rPr>
                      <w:rFonts w:ascii="Calibri" w:hAnsi="Calibri"/>
                      <w:color w:val="000000"/>
                      <w:sz w:val="20"/>
                      <w:szCs w:val="20"/>
                    </w:rPr>
                  </w:pPr>
                  <w:r w:rsidRPr="00321D31">
                    <w:rPr>
                      <w:rFonts w:ascii="Calibri" w:hAnsi="Calibri"/>
                      <w:color w:val="000000"/>
                      <w:sz w:val="20"/>
                      <w:szCs w:val="20"/>
                    </w:rPr>
                    <w:t>1.5</w:t>
                  </w:r>
                </w:p>
              </w:tc>
            </w:tr>
            <w:tr w:rsidR="0060585A" w:rsidRPr="00321D31" w:rsidTr="00321D31">
              <w:trPr>
                <w:trHeight w:val="300"/>
              </w:trPr>
              <w:tc>
                <w:tcPr>
                  <w:tcW w:w="1412" w:type="dxa"/>
                  <w:tcBorders>
                    <w:top w:val="single" w:sz="8" w:space="0" w:color="4F81BD"/>
                    <w:left w:val="single" w:sz="8" w:space="0" w:color="4F81BD"/>
                    <w:bottom w:val="single" w:sz="8" w:space="0" w:color="4F81BD"/>
                  </w:tcBorders>
                  <w:noWrap/>
                </w:tcPr>
                <w:p w:rsidR="0060585A" w:rsidRPr="00321D31" w:rsidRDefault="0060585A" w:rsidP="00321D31">
                  <w:pPr>
                    <w:framePr w:hSpace="180" w:wrap="around" w:vAnchor="text" w:hAnchor="margin" w:xAlign="right" w:y="669"/>
                    <w:spacing w:line="276" w:lineRule="auto"/>
                    <w:rPr>
                      <w:rFonts w:ascii="Calibri" w:hAnsi="Calibri"/>
                      <w:b/>
                      <w:bCs/>
                      <w:color w:val="000000"/>
                      <w:sz w:val="20"/>
                      <w:szCs w:val="20"/>
                    </w:rPr>
                  </w:pPr>
                  <w:r w:rsidRPr="00321D31">
                    <w:rPr>
                      <w:rFonts w:ascii="Calibri" w:hAnsi="Calibri"/>
                      <w:bCs/>
                      <w:color w:val="000000"/>
                      <w:sz w:val="20"/>
                      <w:szCs w:val="20"/>
                    </w:rPr>
                    <w:t>United States</w:t>
                  </w:r>
                </w:p>
              </w:tc>
              <w:tc>
                <w:tcPr>
                  <w:tcW w:w="772" w:type="dxa"/>
                  <w:tcBorders>
                    <w:top w:val="single" w:sz="8" w:space="0" w:color="4F81BD"/>
                    <w:bottom w:val="single" w:sz="8" w:space="0" w:color="4F81BD"/>
                  </w:tcBorders>
                  <w:noWrap/>
                </w:tcPr>
                <w:p w:rsidR="0060585A" w:rsidRPr="00321D31" w:rsidRDefault="0060585A" w:rsidP="00321D31">
                  <w:pPr>
                    <w:framePr w:hSpace="180" w:wrap="around" w:vAnchor="text" w:hAnchor="margin" w:xAlign="right" w:y="669"/>
                    <w:spacing w:line="276" w:lineRule="auto"/>
                    <w:rPr>
                      <w:rFonts w:ascii="Calibri" w:hAnsi="Calibri"/>
                      <w:color w:val="000000"/>
                      <w:sz w:val="20"/>
                      <w:szCs w:val="20"/>
                    </w:rPr>
                  </w:pPr>
                  <w:r w:rsidRPr="00321D31">
                    <w:rPr>
                      <w:rFonts w:ascii="Calibri" w:hAnsi="Calibri"/>
                      <w:color w:val="000000"/>
                      <w:sz w:val="20"/>
                      <w:szCs w:val="20"/>
                    </w:rPr>
                    <w:t>3.0</w:t>
                  </w:r>
                </w:p>
              </w:tc>
              <w:tc>
                <w:tcPr>
                  <w:tcW w:w="883" w:type="dxa"/>
                  <w:tcBorders>
                    <w:top w:val="single" w:sz="8" w:space="0" w:color="4F81BD"/>
                    <w:bottom w:val="single" w:sz="8" w:space="0" w:color="4F81BD"/>
                  </w:tcBorders>
                  <w:noWrap/>
                </w:tcPr>
                <w:p w:rsidR="0060585A" w:rsidRPr="00321D31" w:rsidRDefault="0060585A" w:rsidP="00321D31">
                  <w:pPr>
                    <w:framePr w:hSpace="180" w:wrap="around" w:vAnchor="text" w:hAnchor="margin" w:xAlign="right" w:y="669"/>
                    <w:spacing w:line="276" w:lineRule="auto"/>
                    <w:rPr>
                      <w:rFonts w:ascii="Calibri" w:hAnsi="Calibri"/>
                      <w:color w:val="000000"/>
                      <w:sz w:val="20"/>
                      <w:szCs w:val="20"/>
                    </w:rPr>
                  </w:pPr>
                  <w:r w:rsidRPr="00321D31">
                    <w:rPr>
                      <w:rFonts w:ascii="Calibri" w:hAnsi="Calibri"/>
                      <w:color w:val="000000"/>
                      <w:sz w:val="20"/>
                      <w:szCs w:val="20"/>
                    </w:rPr>
                    <w:t>1.7</w:t>
                  </w:r>
                </w:p>
              </w:tc>
              <w:tc>
                <w:tcPr>
                  <w:tcW w:w="842" w:type="dxa"/>
                  <w:tcBorders>
                    <w:top w:val="single" w:sz="8" w:space="0" w:color="4F81BD"/>
                    <w:bottom w:val="single" w:sz="8" w:space="0" w:color="4F81BD"/>
                  </w:tcBorders>
                  <w:noWrap/>
                </w:tcPr>
                <w:p w:rsidR="0060585A" w:rsidRPr="00321D31" w:rsidRDefault="0060585A" w:rsidP="00321D31">
                  <w:pPr>
                    <w:framePr w:hSpace="180" w:wrap="around" w:vAnchor="text" w:hAnchor="margin" w:xAlign="right" w:y="669"/>
                    <w:spacing w:line="276" w:lineRule="auto"/>
                    <w:rPr>
                      <w:rFonts w:ascii="Calibri" w:hAnsi="Calibri"/>
                      <w:color w:val="000000"/>
                      <w:sz w:val="20"/>
                      <w:szCs w:val="20"/>
                    </w:rPr>
                  </w:pPr>
                  <w:r w:rsidRPr="00321D31">
                    <w:rPr>
                      <w:rFonts w:ascii="Calibri" w:hAnsi="Calibri"/>
                      <w:color w:val="000000"/>
                      <w:sz w:val="20"/>
                      <w:szCs w:val="20"/>
                    </w:rPr>
                    <w:t>2.1</w:t>
                  </w:r>
                </w:p>
              </w:tc>
              <w:tc>
                <w:tcPr>
                  <w:tcW w:w="842" w:type="dxa"/>
                  <w:tcBorders>
                    <w:top w:val="single" w:sz="8" w:space="0" w:color="4F81BD"/>
                    <w:bottom w:val="single" w:sz="8" w:space="0" w:color="4F81BD"/>
                    <w:right w:val="single" w:sz="8" w:space="0" w:color="4F81BD"/>
                  </w:tcBorders>
                  <w:noWrap/>
                </w:tcPr>
                <w:p w:rsidR="0060585A" w:rsidRPr="00321D31" w:rsidRDefault="0060585A" w:rsidP="00321D31">
                  <w:pPr>
                    <w:framePr w:hSpace="180" w:wrap="around" w:vAnchor="text" w:hAnchor="margin" w:xAlign="right" w:y="669"/>
                    <w:spacing w:line="276" w:lineRule="auto"/>
                    <w:rPr>
                      <w:rFonts w:ascii="Calibri" w:hAnsi="Calibri"/>
                      <w:color w:val="000000"/>
                      <w:sz w:val="20"/>
                      <w:szCs w:val="20"/>
                    </w:rPr>
                  </w:pPr>
                  <w:r w:rsidRPr="00321D31">
                    <w:rPr>
                      <w:rFonts w:ascii="Calibri" w:hAnsi="Calibri"/>
                      <w:color w:val="000000"/>
                      <w:sz w:val="20"/>
                      <w:szCs w:val="20"/>
                    </w:rPr>
                    <w:t>2.4</w:t>
                  </w:r>
                </w:p>
              </w:tc>
            </w:tr>
            <w:tr w:rsidR="0060585A" w:rsidRPr="00321D31" w:rsidTr="00321D31">
              <w:trPr>
                <w:trHeight w:val="300"/>
              </w:trPr>
              <w:tc>
                <w:tcPr>
                  <w:tcW w:w="1412" w:type="dxa"/>
                  <w:tcBorders>
                    <w:left w:val="single" w:sz="8" w:space="0" w:color="4F81BD"/>
                  </w:tcBorders>
                  <w:noWrap/>
                </w:tcPr>
                <w:p w:rsidR="0060585A" w:rsidRPr="00321D31" w:rsidRDefault="0060585A" w:rsidP="00321D31">
                  <w:pPr>
                    <w:framePr w:hSpace="180" w:wrap="around" w:vAnchor="text" w:hAnchor="margin" w:xAlign="right" w:y="669"/>
                    <w:spacing w:line="276" w:lineRule="auto"/>
                    <w:rPr>
                      <w:rFonts w:ascii="Calibri" w:hAnsi="Calibri"/>
                      <w:b/>
                      <w:bCs/>
                      <w:color w:val="000000"/>
                      <w:sz w:val="20"/>
                      <w:szCs w:val="20"/>
                    </w:rPr>
                  </w:pPr>
                  <w:r w:rsidRPr="00321D31">
                    <w:rPr>
                      <w:rFonts w:ascii="Calibri" w:hAnsi="Calibri"/>
                      <w:bCs/>
                      <w:color w:val="000000"/>
                      <w:sz w:val="20"/>
                      <w:szCs w:val="20"/>
                    </w:rPr>
                    <w:t xml:space="preserve">China </w:t>
                  </w:r>
                </w:p>
              </w:tc>
              <w:tc>
                <w:tcPr>
                  <w:tcW w:w="772" w:type="dxa"/>
                  <w:noWrap/>
                </w:tcPr>
                <w:p w:rsidR="0060585A" w:rsidRPr="00321D31" w:rsidRDefault="0060585A" w:rsidP="00321D31">
                  <w:pPr>
                    <w:framePr w:hSpace="180" w:wrap="around" w:vAnchor="text" w:hAnchor="margin" w:xAlign="right" w:y="669"/>
                    <w:spacing w:line="276" w:lineRule="auto"/>
                    <w:rPr>
                      <w:rFonts w:ascii="Calibri" w:hAnsi="Calibri"/>
                      <w:color w:val="000000"/>
                      <w:sz w:val="20"/>
                      <w:szCs w:val="20"/>
                    </w:rPr>
                  </w:pPr>
                  <w:r w:rsidRPr="00321D31">
                    <w:rPr>
                      <w:rFonts w:ascii="Calibri" w:hAnsi="Calibri"/>
                      <w:color w:val="000000"/>
                      <w:sz w:val="20"/>
                      <w:szCs w:val="20"/>
                    </w:rPr>
                    <w:t>10.4</w:t>
                  </w:r>
                </w:p>
              </w:tc>
              <w:tc>
                <w:tcPr>
                  <w:tcW w:w="883" w:type="dxa"/>
                  <w:noWrap/>
                </w:tcPr>
                <w:p w:rsidR="0060585A" w:rsidRPr="00321D31" w:rsidRDefault="0060585A" w:rsidP="00321D31">
                  <w:pPr>
                    <w:framePr w:hSpace="180" w:wrap="around" w:vAnchor="text" w:hAnchor="margin" w:xAlign="right" w:y="669"/>
                    <w:spacing w:line="276" w:lineRule="auto"/>
                    <w:rPr>
                      <w:rFonts w:ascii="Calibri" w:hAnsi="Calibri"/>
                      <w:color w:val="000000"/>
                      <w:sz w:val="20"/>
                      <w:szCs w:val="20"/>
                    </w:rPr>
                  </w:pPr>
                  <w:r w:rsidRPr="00321D31">
                    <w:rPr>
                      <w:rFonts w:ascii="Calibri" w:hAnsi="Calibri"/>
                      <w:color w:val="000000"/>
                      <w:sz w:val="20"/>
                      <w:szCs w:val="20"/>
                    </w:rPr>
                    <w:t>9.2</w:t>
                  </w:r>
                </w:p>
              </w:tc>
              <w:tc>
                <w:tcPr>
                  <w:tcW w:w="842" w:type="dxa"/>
                  <w:noWrap/>
                </w:tcPr>
                <w:p w:rsidR="0060585A" w:rsidRPr="00321D31" w:rsidRDefault="0060585A" w:rsidP="00321D31">
                  <w:pPr>
                    <w:framePr w:hSpace="180" w:wrap="around" w:vAnchor="text" w:hAnchor="margin" w:xAlign="right" w:y="669"/>
                    <w:spacing w:line="276" w:lineRule="auto"/>
                    <w:rPr>
                      <w:rFonts w:ascii="Calibri" w:hAnsi="Calibri"/>
                      <w:color w:val="000000"/>
                      <w:sz w:val="20"/>
                      <w:szCs w:val="20"/>
                    </w:rPr>
                  </w:pPr>
                  <w:r w:rsidRPr="00321D31">
                    <w:rPr>
                      <w:rFonts w:ascii="Calibri" w:hAnsi="Calibri"/>
                      <w:color w:val="000000"/>
                      <w:sz w:val="20"/>
                      <w:szCs w:val="20"/>
                    </w:rPr>
                    <w:t>8.2</w:t>
                  </w:r>
                </w:p>
              </w:tc>
              <w:tc>
                <w:tcPr>
                  <w:tcW w:w="842" w:type="dxa"/>
                  <w:tcBorders>
                    <w:right w:val="single" w:sz="8" w:space="0" w:color="4F81BD"/>
                  </w:tcBorders>
                  <w:noWrap/>
                </w:tcPr>
                <w:p w:rsidR="0060585A" w:rsidRPr="00321D31" w:rsidRDefault="0060585A" w:rsidP="00321D31">
                  <w:pPr>
                    <w:framePr w:hSpace="180" w:wrap="around" w:vAnchor="text" w:hAnchor="margin" w:xAlign="right" w:y="669"/>
                    <w:spacing w:line="276" w:lineRule="auto"/>
                    <w:rPr>
                      <w:rFonts w:ascii="Calibri" w:hAnsi="Calibri"/>
                      <w:color w:val="000000"/>
                      <w:sz w:val="20"/>
                      <w:szCs w:val="20"/>
                    </w:rPr>
                  </w:pPr>
                  <w:r w:rsidRPr="00321D31">
                    <w:rPr>
                      <w:rFonts w:ascii="Calibri" w:hAnsi="Calibri"/>
                      <w:color w:val="000000"/>
                      <w:sz w:val="20"/>
                      <w:szCs w:val="20"/>
                    </w:rPr>
                    <w:t>8.6</w:t>
                  </w:r>
                </w:p>
              </w:tc>
            </w:tr>
            <w:tr w:rsidR="0060585A" w:rsidRPr="00321D31" w:rsidTr="00321D31">
              <w:trPr>
                <w:trHeight w:val="300"/>
              </w:trPr>
              <w:tc>
                <w:tcPr>
                  <w:tcW w:w="1412" w:type="dxa"/>
                  <w:tcBorders>
                    <w:top w:val="single" w:sz="8" w:space="0" w:color="4F81BD"/>
                    <w:left w:val="single" w:sz="8" w:space="0" w:color="4F81BD"/>
                    <w:bottom w:val="single" w:sz="8" w:space="0" w:color="4F81BD"/>
                  </w:tcBorders>
                  <w:noWrap/>
                </w:tcPr>
                <w:p w:rsidR="0060585A" w:rsidRPr="00321D31" w:rsidRDefault="0060585A" w:rsidP="00321D31">
                  <w:pPr>
                    <w:framePr w:hSpace="180" w:wrap="around" w:vAnchor="text" w:hAnchor="margin" w:xAlign="right" w:y="669"/>
                    <w:spacing w:line="276" w:lineRule="auto"/>
                    <w:rPr>
                      <w:rFonts w:ascii="Calibri" w:hAnsi="Calibri"/>
                      <w:b/>
                      <w:bCs/>
                      <w:color w:val="000000"/>
                      <w:sz w:val="20"/>
                      <w:szCs w:val="20"/>
                    </w:rPr>
                  </w:pPr>
                  <w:r w:rsidRPr="00321D31">
                    <w:rPr>
                      <w:rFonts w:ascii="Calibri" w:hAnsi="Calibri"/>
                      <w:bCs/>
                      <w:color w:val="000000"/>
                      <w:sz w:val="20"/>
                      <w:szCs w:val="20"/>
                    </w:rPr>
                    <w:t>Russia</w:t>
                  </w:r>
                </w:p>
              </w:tc>
              <w:tc>
                <w:tcPr>
                  <w:tcW w:w="772" w:type="dxa"/>
                  <w:tcBorders>
                    <w:top w:val="single" w:sz="8" w:space="0" w:color="4F81BD"/>
                    <w:bottom w:val="single" w:sz="8" w:space="0" w:color="4F81BD"/>
                  </w:tcBorders>
                  <w:noWrap/>
                </w:tcPr>
                <w:p w:rsidR="0060585A" w:rsidRPr="00321D31" w:rsidRDefault="0060585A" w:rsidP="00321D31">
                  <w:pPr>
                    <w:framePr w:hSpace="180" w:wrap="around" w:vAnchor="text" w:hAnchor="margin" w:xAlign="right" w:y="669"/>
                    <w:spacing w:line="276" w:lineRule="auto"/>
                    <w:rPr>
                      <w:rFonts w:ascii="Calibri" w:hAnsi="Calibri"/>
                      <w:color w:val="000000"/>
                      <w:sz w:val="20"/>
                      <w:szCs w:val="20"/>
                    </w:rPr>
                  </w:pPr>
                  <w:r w:rsidRPr="00321D31">
                    <w:rPr>
                      <w:rFonts w:ascii="Calibri" w:hAnsi="Calibri"/>
                      <w:color w:val="000000"/>
                      <w:sz w:val="20"/>
                      <w:szCs w:val="20"/>
                    </w:rPr>
                    <w:t>4.3</w:t>
                  </w:r>
                </w:p>
              </w:tc>
              <w:tc>
                <w:tcPr>
                  <w:tcW w:w="883" w:type="dxa"/>
                  <w:tcBorders>
                    <w:top w:val="single" w:sz="8" w:space="0" w:color="4F81BD"/>
                    <w:bottom w:val="single" w:sz="8" w:space="0" w:color="4F81BD"/>
                  </w:tcBorders>
                  <w:noWrap/>
                </w:tcPr>
                <w:p w:rsidR="0060585A" w:rsidRPr="00321D31" w:rsidRDefault="0060585A" w:rsidP="00321D31">
                  <w:pPr>
                    <w:framePr w:hSpace="180" w:wrap="around" w:vAnchor="text" w:hAnchor="margin" w:xAlign="right" w:y="669"/>
                    <w:spacing w:line="276" w:lineRule="auto"/>
                    <w:rPr>
                      <w:rFonts w:ascii="Calibri" w:hAnsi="Calibri"/>
                      <w:color w:val="000000"/>
                      <w:sz w:val="20"/>
                      <w:szCs w:val="20"/>
                    </w:rPr>
                  </w:pPr>
                  <w:r w:rsidRPr="00321D31">
                    <w:rPr>
                      <w:rFonts w:ascii="Calibri" w:hAnsi="Calibri"/>
                      <w:color w:val="000000"/>
                      <w:sz w:val="20"/>
                      <w:szCs w:val="20"/>
                    </w:rPr>
                    <w:t>4.3</w:t>
                  </w:r>
                </w:p>
              </w:tc>
              <w:tc>
                <w:tcPr>
                  <w:tcW w:w="842" w:type="dxa"/>
                  <w:tcBorders>
                    <w:top w:val="single" w:sz="8" w:space="0" w:color="4F81BD"/>
                    <w:bottom w:val="single" w:sz="8" w:space="0" w:color="4F81BD"/>
                  </w:tcBorders>
                  <w:noWrap/>
                </w:tcPr>
                <w:p w:rsidR="0060585A" w:rsidRPr="00321D31" w:rsidRDefault="0060585A" w:rsidP="00321D31">
                  <w:pPr>
                    <w:framePr w:hSpace="180" w:wrap="around" w:vAnchor="text" w:hAnchor="margin" w:xAlign="right" w:y="669"/>
                    <w:spacing w:line="276" w:lineRule="auto"/>
                    <w:rPr>
                      <w:rFonts w:ascii="Calibri" w:hAnsi="Calibri"/>
                      <w:color w:val="000000"/>
                      <w:sz w:val="20"/>
                      <w:szCs w:val="20"/>
                    </w:rPr>
                  </w:pPr>
                  <w:r w:rsidRPr="00321D31">
                    <w:rPr>
                      <w:rFonts w:ascii="Calibri" w:hAnsi="Calibri"/>
                      <w:color w:val="000000"/>
                      <w:sz w:val="20"/>
                      <w:szCs w:val="20"/>
                    </w:rPr>
                    <w:t>3.8</w:t>
                  </w:r>
                </w:p>
              </w:tc>
              <w:tc>
                <w:tcPr>
                  <w:tcW w:w="842" w:type="dxa"/>
                  <w:tcBorders>
                    <w:top w:val="single" w:sz="8" w:space="0" w:color="4F81BD"/>
                    <w:bottom w:val="single" w:sz="8" w:space="0" w:color="4F81BD"/>
                    <w:right w:val="single" w:sz="8" w:space="0" w:color="4F81BD"/>
                  </w:tcBorders>
                  <w:noWrap/>
                </w:tcPr>
                <w:p w:rsidR="0060585A" w:rsidRPr="00321D31" w:rsidRDefault="0060585A" w:rsidP="00321D31">
                  <w:pPr>
                    <w:framePr w:hSpace="180" w:wrap="around" w:vAnchor="text" w:hAnchor="margin" w:xAlign="right" w:y="669"/>
                    <w:spacing w:line="276" w:lineRule="auto"/>
                    <w:rPr>
                      <w:rFonts w:ascii="Calibri" w:hAnsi="Calibri"/>
                      <w:color w:val="000000"/>
                      <w:sz w:val="20"/>
                      <w:szCs w:val="20"/>
                    </w:rPr>
                  </w:pPr>
                  <w:r w:rsidRPr="00321D31">
                    <w:rPr>
                      <w:rFonts w:ascii="Calibri" w:hAnsi="Calibri"/>
                      <w:color w:val="000000"/>
                      <w:sz w:val="20"/>
                      <w:szCs w:val="20"/>
                    </w:rPr>
                    <w:t>4.2</w:t>
                  </w:r>
                </w:p>
              </w:tc>
            </w:tr>
          </w:tbl>
          <w:p w:rsidR="0060585A" w:rsidRPr="00321D31" w:rsidRDefault="0060585A" w:rsidP="00321D31">
            <w:pPr>
              <w:autoSpaceDE w:val="0"/>
              <w:autoSpaceDN w:val="0"/>
              <w:adjustRightInd w:val="0"/>
              <w:spacing w:line="276" w:lineRule="auto"/>
              <w:rPr>
                <w:b/>
              </w:rPr>
            </w:pPr>
          </w:p>
        </w:tc>
      </w:tr>
      <w:tr w:rsidR="0060585A" w:rsidRPr="00321D31" w:rsidTr="00321D31">
        <w:tc>
          <w:tcPr>
            <w:tcW w:w="5058" w:type="dxa"/>
          </w:tcPr>
          <w:p w:rsidR="0060585A" w:rsidRPr="00321D31" w:rsidRDefault="0060585A" w:rsidP="00321D31">
            <w:pPr>
              <w:keepNext/>
              <w:spacing w:before="60" w:after="40" w:line="276" w:lineRule="auto"/>
              <w:rPr>
                <w:i/>
                <w:sz w:val="18"/>
                <w:szCs w:val="18"/>
              </w:rPr>
            </w:pPr>
            <w:r w:rsidRPr="00321D31">
              <w:rPr>
                <w:i/>
                <w:sz w:val="18"/>
                <w:szCs w:val="18"/>
              </w:rPr>
              <w:t xml:space="preserve">Source: GEP June 2012, World Bank staff calculations. </w:t>
            </w:r>
          </w:p>
        </w:tc>
      </w:tr>
    </w:tbl>
    <w:p w:rsidR="0060585A" w:rsidRDefault="0060585A" w:rsidP="00E41045">
      <w:pPr>
        <w:spacing w:line="276" w:lineRule="auto"/>
      </w:pPr>
      <w:r>
        <w:rPr>
          <w:b/>
        </w:rPr>
        <w:t>C</w:t>
      </w:r>
      <w:r w:rsidRPr="00640C06">
        <w:rPr>
          <w:b/>
        </w:rPr>
        <w:t xml:space="preserve">onstant shifts in market sentiment </w:t>
      </w:r>
      <w:r>
        <w:rPr>
          <w:b/>
        </w:rPr>
        <w:t>are causing</w:t>
      </w:r>
      <w:r w:rsidRPr="00640C06">
        <w:rPr>
          <w:b/>
        </w:rPr>
        <w:t xml:space="preserve"> serious </w:t>
      </w:r>
      <w:r>
        <w:rPr>
          <w:b/>
        </w:rPr>
        <w:t xml:space="preserve">problems for the </w:t>
      </w:r>
      <w:r w:rsidRPr="00640C06">
        <w:rPr>
          <w:b/>
        </w:rPr>
        <w:t>global recovery.</w:t>
      </w:r>
      <w:r>
        <w:t xml:space="preserve"> In 2011 the global economy slowed abruptly as a result of advanced country fiscal consolidation policies, the natural disasters in Japan and Thailand, and half-hearted </w:t>
      </w:r>
      <w:r w:rsidRPr="00640C06">
        <w:t xml:space="preserve">activity in </w:t>
      </w:r>
      <w:r>
        <w:t>the euro area (</w:t>
      </w:r>
      <w:fldSimple w:instr=" REF _Ref326621860 \h  \* MERGEFORMAT ">
        <w:r w:rsidRPr="005D6031">
          <w:t>Table 1</w:t>
        </w:r>
      </w:fldSimple>
      <w:r>
        <w:t>). There were modest signs of improvement in the first months of 2012 both in emerging Asia and in the United States (US) as well as positive market sentiment in the European Union (EU). However, recent renewed uncertainty in the euro area is seriously clouding the global outlook.</w:t>
      </w:r>
    </w:p>
    <w:p w:rsidR="0060585A" w:rsidRDefault="0060585A" w:rsidP="00390DCF">
      <w:pPr>
        <w:spacing w:after="200" w:line="276" w:lineRule="auto"/>
        <w:rPr>
          <w:bCs/>
        </w:rPr>
      </w:pPr>
    </w:p>
    <w:tbl>
      <w:tblPr>
        <w:tblpPr w:leftFromText="180" w:rightFromText="180" w:vertAnchor="text" w:horzAnchor="margin" w:tblpXSpec="right" w:tblpY="1061"/>
        <w:tblW w:w="5081" w:type="dxa"/>
        <w:tblLook w:val="00A0"/>
      </w:tblPr>
      <w:tblGrid>
        <w:gridCol w:w="5081"/>
      </w:tblGrid>
      <w:tr w:rsidR="0060585A" w:rsidRPr="00321D31" w:rsidTr="00321D31">
        <w:tc>
          <w:tcPr>
            <w:tcW w:w="5081" w:type="dxa"/>
          </w:tcPr>
          <w:p w:rsidR="0060585A" w:rsidRPr="00321D31" w:rsidRDefault="0060585A" w:rsidP="000C50E8">
            <w:pPr>
              <w:pStyle w:val="Caption"/>
              <w:keepNext/>
              <w:keepLines/>
              <w:spacing w:before="60" w:after="60" w:line="276" w:lineRule="auto"/>
              <w:jc w:val="left"/>
              <w:rPr>
                <w:sz w:val="22"/>
                <w:szCs w:val="22"/>
              </w:rPr>
            </w:pPr>
            <w:bookmarkStart w:id="6" w:name="_Ref326620688"/>
            <w:r w:rsidRPr="00321D31">
              <w:rPr>
                <w:sz w:val="22"/>
                <w:szCs w:val="22"/>
              </w:rPr>
              <w:t xml:space="preserve">Figure </w:t>
            </w:r>
            <w:r w:rsidR="00185C05" w:rsidRPr="00321D31">
              <w:rPr>
                <w:sz w:val="22"/>
                <w:szCs w:val="22"/>
              </w:rPr>
              <w:fldChar w:fldCharType="begin"/>
            </w:r>
            <w:r w:rsidRPr="00321D31">
              <w:rPr>
                <w:sz w:val="22"/>
                <w:szCs w:val="22"/>
              </w:rPr>
              <w:instrText xml:space="preserve"> SEQ Figure \* ARABIC </w:instrText>
            </w:r>
            <w:r w:rsidR="00185C05" w:rsidRPr="00321D31">
              <w:rPr>
                <w:sz w:val="22"/>
                <w:szCs w:val="22"/>
              </w:rPr>
              <w:fldChar w:fldCharType="separate"/>
            </w:r>
            <w:r w:rsidRPr="00321D31">
              <w:rPr>
                <w:noProof/>
                <w:sz w:val="22"/>
                <w:szCs w:val="22"/>
              </w:rPr>
              <w:t>1</w:t>
            </w:r>
            <w:r w:rsidR="00185C05" w:rsidRPr="00321D31">
              <w:rPr>
                <w:sz w:val="22"/>
                <w:szCs w:val="22"/>
              </w:rPr>
              <w:fldChar w:fldCharType="end"/>
            </w:r>
            <w:bookmarkEnd w:id="6"/>
            <w:r w:rsidRPr="00321D31">
              <w:rPr>
                <w:sz w:val="22"/>
                <w:szCs w:val="22"/>
              </w:rPr>
              <w:t xml:space="preserve">. Growth in Euro Area Countries, </w:t>
            </w:r>
            <w:r w:rsidRPr="00321D31">
              <w:rPr>
                <w:sz w:val="22"/>
                <w:szCs w:val="22"/>
              </w:rPr>
              <w:lastRenderedPageBreak/>
              <w:t>Seasonally Adjusted (Percent)</w:t>
            </w:r>
          </w:p>
        </w:tc>
      </w:tr>
      <w:tr w:rsidR="0060585A" w:rsidRPr="00321D31" w:rsidTr="00321D31">
        <w:tc>
          <w:tcPr>
            <w:tcW w:w="5081" w:type="dxa"/>
          </w:tcPr>
          <w:p w:rsidR="0060585A" w:rsidRPr="00321D31" w:rsidRDefault="00A1042F" w:rsidP="00321D31">
            <w:pPr>
              <w:spacing w:line="276" w:lineRule="auto"/>
              <w:rPr>
                <w:b/>
                <w:bCs/>
              </w:rPr>
            </w:pPr>
            <w:r>
              <w:rPr>
                <w:b/>
                <w:noProof/>
              </w:rPr>
              <w:lastRenderedPageBreak/>
              <w:drawing>
                <wp:inline distT="0" distB="0" distL="0" distR="0">
                  <wp:extent cx="3028950" cy="17716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028950" cy="1771650"/>
                          </a:xfrm>
                          <a:prstGeom prst="rect">
                            <a:avLst/>
                          </a:prstGeom>
                          <a:noFill/>
                          <a:ln w="9525">
                            <a:noFill/>
                            <a:miter lim="800000"/>
                            <a:headEnd/>
                            <a:tailEnd/>
                          </a:ln>
                        </pic:spPr>
                      </pic:pic>
                    </a:graphicData>
                  </a:graphic>
                </wp:inline>
              </w:drawing>
            </w:r>
          </w:p>
        </w:tc>
      </w:tr>
      <w:tr w:rsidR="0060585A" w:rsidRPr="00321D31" w:rsidTr="00321D31">
        <w:tc>
          <w:tcPr>
            <w:tcW w:w="5081" w:type="dxa"/>
          </w:tcPr>
          <w:p w:rsidR="0060585A" w:rsidRPr="00321D31" w:rsidRDefault="0060585A" w:rsidP="00321D31">
            <w:pPr>
              <w:keepNext/>
              <w:spacing w:before="60" w:after="40" w:line="276" w:lineRule="auto"/>
              <w:rPr>
                <w:i/>
                <w:sz w:val="18"/>
                <w:szCs w:val="18"/>
              </w:rPr>
            </w:pPr>
            <w:r w:rsidRPr="00321D31">
              <w:rPr>
                <w:i/>
                <w:sz w:val="18"/>
                <w:szCs w:val="18"/>
              </w:rPr>
              <w:t xml:space="preserve">Source: Eurostat, World Bank staff calculations. </w:t>
            </w:r>
          </w:p>
          <w:p w:rsidR="0060585A" w:rsidRPr="00321D31" w:rsidRDefault="0060585A" w:rsidP="00321D31">
            <w:pPr>
              <w:keepNext/>
              <w:spacing w:before="60" w:after="40" w:line="276" w:lineRule="auto"/>
              <w:rPr>
                <w:i/>
                <w:sz w:val="18"/>
                <w:szCs w:val="18"/>
              </w:rPr>
            </w:pPr>
            <w:r w:rsidRPr="00321D31">
              <w:rPr>
                <w:i/>
                <w:sz w:val="18"/>
                <w:szCs w:val="18"/>
              </w:rPr>
              <w:t>Note: Euro area (EA), Germany (DE), France (FR), Spain (ES), Italy (IT)</w:t>
            </w:r>
          </w:p>
        </w:tc>
      </w:tr>
    </w:tbl>
    <w:p w:rsidR="0060585A" w:rsidRDefault="0060585A" w:rsidP="00E41045">
      <w:pPr>
        <w:spacing w:line="276" w:lineRule="auto"/>
        <w:rPr>
          <w:bCs/>
        </w:rPr>
      </w:pPr>
      <w:r>
        <w:rPr>
          <w:b/>
          <w:bCs/>
        </w:rPr>
        <w:t>M</w:t>
      </w:r>
      <w:r w:rsidRPr="00EE5C71">
        <w:rPr>
          <w:b/>
          <w:bCs/>
        </w:rPr>
        <w:t xml:space="preserve">arket jitters from the </w:t>
      </w:r>
      <w:r>
        <w:rPr>
          <w:b/>
          <w:bCs/>
        </w:rPr>
        <w:t>e</w:t>
      </w:r>
      <w:r w:rsidRPr="00EE5C71">
        <w:rPr>
          <w:b/>
          <w:bCs/>
        </w:rPr>
        <w:t xml:space="preserve">uro area </w:t>
      </w:r>
      <w:r>
        <w:rPr>
          <w:b/>
          <w:bCs/>
        </w:rPr>
        <w:t xml:space="preserve">are not only impeding </w:t>
      </w:r>
      <w:r w:rsidRPr="00EE5C71">
        <w:rPr>
          <w:b/>
          <w:bCs/>
        </w:rPr>
        <w:t>economic activity in Europe</w:t>
      </w:r>
      <w:r>
        <w:rPr>
          <w:b/>
          <w:bCs/>
        </w:rPr>
        <w:t xml:space="preserve">, they are </w:t>
      </w:r>
      <w:r w:rsidRPr="00EE5C71">
        <w:rPr>
          <w:b/>
          <w:bCs/>
        </w:rPr>
        <w:t>threaten</w:t>
      </w:r>
      <w:r>
        <w:rPr>
          <w:b/>
          <w:bCs/>
        </w:rPr>
        <w:t>ing</w:t>
      </w:r>
      <w:r w:rsidRPr="00EE5C71">
        <w:rPr>
          <w:b/>
          <w:bCs/>
        </w:rPr>
        <w:t xml:space="preserve"> economic recovery</w:t>
      </w:r>
      <w:r>
        <w:rPr>
          <w:b/>
          <w:bCs/>
        </w:rPr>
        <w:t xml:space="preserve"> globally</w:t>
      </w:r>
      <w:r w:rsidRPr="00EE5C71">
        <w:rPr>
          <w:b/>
          <w:bCs/>
        </w:rPr>
        <w:t>.</w:t>
      </w:r>
      <w:r>
        <w:rPr>
          <w:bCs/>
        </w:rPr>
        <w:t xml:space="preserve"> </w:t>
      </w:r>
      <w:r w:rsidRPr="00EE5C71">
        <w:rPr>
          <w:bCs/>
        </w:rPr>
        <w:t xml:space="preserve">After </w:t>
      </w:r>
      <w:r>
        <w:rPr>
          <w:bCs/>
        </w:rPr>
        <w:t>a modest</w:t>
      </w:r>
      <w:r w:rsidRPr="00EE5C71">
        <w:rPr>
          <w:bCs/>
        </w:rPr>
        <w:t xml:space="preserve"> recovery in the first half of 2011, economic conditions </w:t>
      </w:r>
      <w:r>
        <w:rPr>
          <w:bCs/>
        </w:rPr>
        <w:t xml:space="preserve">in the euro area have </w:t>
      </w:r>
      <w:r w:rsidRPr="00EE5C71">
        <w:rPr>
          <w:bCs/>
        </w:rPr>
        <w:t xml:space="preserve">deteriorated. </w:t>
      </w:r>
      <w:r>
        <w:rPr>
          <w:bCs/>
        </w:rPr>
        <w:t xml:space="preserve">Efforts to generate economic growth in the southern periphery of the euro area have not yet succeeded, and the ambitious fiscal consolidation agenda is retarding recovery. As a consequence, euro area growth </w:t>
      </w:r>
      <w:r w:rsidRPr="00343A84">
        <w:rPr>
          <w:bCs/>
        </w:rPr>
        <w:t>turned negative in the fourth quarter of 2011</w:t>
      </w:r>
      <w:r>
        <w:rPr>
          <w:bCs/>
        </w:rPr>
        <w:t xml:space="preserve"> in </w:t>
      </w:r>
      <w:r w:rsidRPr="00343A84">
        <w:rPr>
          <w:bCs/>
        </w:rPr>
        <w:t>almost all countries</w:t>
      </w:r>
      <w:r>
        <w:rPr>
          <w:bCs/>
        </w:rPr>
        <w:t>, showing negative quarter-on-quarter growth rates</w:t>
      </w:r>
      <w:r w:rsidRPr="00343A84">
        <w:rPr>
          <w:bCs/>
        </w:rPr>
        <w:t xml:space="preserve"> (</w:t>
      </w:r>
      <w:fldSimple w:instr=" REF _Ref326620688 \h  \* MERGEFORMAT ">
        <w:r w:rsidRPr="005D6031">
          <w:rPr>
            <w:bCs/>
          </w:rPr>
          <w:t>Figure 1</w:t>
        </w:r>
      </w:fldSimple>
      <w:r w:rsidRPr="00343A84">
        <w:rPr>
          <w:bCs/>
        </w:rPr>
        <w:t xml:space="preserve">). The </w:t>
      </w:r>
      <w:r>
        <w:rPr>
          <w:bCs/>
        </w:rPr>
        <w:t>e</w:t>
      </w:r>
      <w:r w:rsidRPr="00343A84">
        <w:rPr>
          <w:bCs/>
        </w:rPr>
        <w:t>uro area escaped recession in</w:t>
      </w:r>
      <w:r>
        <w:rPr>
          <w:bCs/>
        </w:rPr>
        <w:t xml:space="preserve"> the first quarter of 2012 mainly thanks to the performance of the German economy. However, </w:t>
      </w:r>
      <w:r w:rsidRPr="00704CAE">
        <w:rPr>
          <w:bCs/>
        </w:rPr>
        <w:t>recent business</w:t>
      </w:r>
      <w:r>
        <w:rPr>
          <w:bCs/>
        </w:rPr>
        <w:t xml:space="preserve"> </w:t>
      </w:r>
      <w:r w:rsidRPr="00704CAE">
        <w:rPr>
          <w:bCs/>
        </w:rPr>
        <w:t xml:space="preserve">surveys </w:t>
      </w:r>
      <w:r>
        <w:rPr>
          <w:bCs/>
        </w:rPr>
        <w:t xml:space="preserve">suggest the euro area economy is again contracting in the second quarter of 2012. </w:t>
      </w:r>
    </w:p>
    <w:p w:rsidR="0060585A" w:rsidRDefault="0060585A" w:rsidP="00E41045">
      <w:pPr>
        <w:spacing w:line="276" w:lineRule="auto"/>
        <w:rPr>
          <w:bCs/>
        </w:rPr>
      </w:pPr>
    </w:p>
    <w:tbl>
      <w:tblPr>
        <w:tblpPr w:leftFromText="180" w:rightFromText="180" w:vertAnchor="text" w:horzAnchor="margin" w:tblpXSpec="right" w:tblpY="131"/>
        <w:tblW w:w="5238" w:type="dxa"/>
        <w:tblLook w:val="00A0"/>
      </w:tblPr>
      <w:tblGrid>
        <w:gridCol w:w="5238"/>
      </w:tblGrid>
      <w:tr w:rsidR="0060585A" w:rsidRPr="00321D31" w:rsidTr="00321D31">
        <w:trPr>
          <w:trHeight w:val="419"/>
        </w:trPr>
        <w:tc>
          <w:tcPr>
            <w:tcW w:w="5238" w:type="dxa"/>
          </w:tcPr>
          <w:p w:rsidR="0060585A" w:rsidRPr="00321D31" w:rsidRDefault="0060585A" w:rsidP="00321D31">
            <w:pPr>
              <w:pStyle w:val="Caption"/>
              <w:keepNext/>
              <w:keepLines/>
              <w:spacing w:before="60" w:after="60" w:line="276" w:lineRule="auto"/>
              <w:rPr>
                <w:sz w:val="22"/>
                <w:szCs w:val="22"/>
              </w:rPr>
            </w:pPr>
            <w:r w:rsidRPr="00321D31">
              <w:rPr>
                <w:sz w:val="22"/>
                <w:szCs w:val="22"/>
              </w:rPr>
              <w:t xml:space="preserve">Figure </w:t>
            </w:r>
            <w:r w:rsidR="00185C05" w:rsidRPr="00321D31">
              <w:rPr>
                <w:sz w:val="22"/>
                <w:szCs w:val="22"/>
              </w:rPr>
              <w:fldChar w:fldCharType="begin"/>
            </w:r>
            <w:r w:rsidRPr="00321D31">
              <w:rPr>
                <w:sz w:val="22"/>
                <w:szCs w:val="22"/>
              </w:rPr>
              <w:instrText xml:space="preserve"> SEQ Figure \* ARABIC </w:instrText>
            </w:r>
            <w:r w:rsidR="00185C05" w:rsidRPr="00321D31">
              <w:rPr>
                <w:sz w:val="22"/>
                <w:szCs w:val="22"/>
              </w:rPr>
              <w:fldChar w:fldCharType="separate"/>
            </w:r>
            <w:r w:rsidRPr="00321D31">
              <w:rPr>
                <w:noProof/>
                <w:sz w:val="22"/>
                <w:szCs w:val="22"/>
              </w:rPr>
              <w:t>2</w:t>
            </w:r>
            <w:r w:rsidR="00185C05" w:rsidRPr="00321D31">
              <w:rPr>
                <w:sz w:val="22"/>
                <w:szCs w:val="22"/>
              </w:rPr>
              <w:fldChar w:fldCharType="end"/>
            </w:r>
            <w:r w:rsidRPr="00321D31">
              <w:rPr>
                <w:sz w:val="22"/>
                <w:szCs w:val="22"/>
              </w:rPr>
              <w:t xml:space="preserve">. CDS Spreads in Europe (Basis points) </w:t>
            </w:r>
          </w:p>
        </w:tc>
      </w:tr>
      <w:tr w:rsidR="0060585A" w:rsidRPr="00321D31" w:rsidTr="00321D31">
        <w:trPr>
          <w:trHeight w:val="3089"/>
        </w:trPr>
        <w:tc>
          <w:tcPr>
            <w:tcW w:w="5238" w:type="dxa"/>
          </w:tcPr>
          <w:p w:rsidR="0060585A" w:rsidRPr="00321D31" w:rsidRDefault="00A1042F" w:rsidP="00321D31">
            <w:pPr>
              <w:pStyle w:val="Caption"/>
              <w:keepNext/>
              <w:keepLines/>
              <w:spacing w:before="60" w:after="60" w:line="276" w:lineRule="auto"/>
              <w:rPr>
                <w:sz w:val="22"/>
                <w:szCs w:val="22"/>
              </w:rPr>
            </w:pPr>
            <w:r>
              <w:rPr>
                <w:b w:val="0"/>
                <w:noProof/>
              </w:rPr>
              <w:drawing>
                <wp:inline distT="0" distB="0" distL="0" distR="0">
                  <wp:extent cx="3067050" cy="1809750"/>
                  <wp:effectExtent l="19050" t="0" r="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3067050" cy="1809750"/>
                          </a:xfrm>
                          <a:prstGeom prst="rect">
                            <a:avLst/>
                          </a:prstGeom>
                          <a:noFill/>
                          <a:ln w="9525">
                            <a:noFill/>
                            <a:miter lim="800000"/>
                            <a:headEnd/>
                            <a:tailEnd/>
                          </a:ln>
                        </pic:spPr>
                      </pic:pic>
                    </a:graphicData>
                  </a:graphic>
                </wp:inline>
              </w:drawing>
            </w:r>
          </w:p>
        </w:tc>
      </w:tr>
      <w:tr w:rsidR="0060585A" w:rsidRPr="00321D31" w:rsidTr="00321D31">
        <w:trPr>
          <w:trHeight w:val="890"/>
        </w:trPr>
        <w:tc>
          <w:tcPr>
            <w:tcW w:w="5238" w:type="dxa"/>
          </w:tcPr>
          <w:p w:rsidR="0060585A" w:rsidRPr="00321D31" w:rsidRDefault="0060585A" w:rsidP="00321D31">
            <w:pPr>
              <w:keepNext/>
              <w:spacing w:before="60" w:after="40" w:line="276" w:lineRule="auto"/>
              <w:rPr>
                <w:sz w:val="18"/>
                <w:szCs w:val="18"/>
              </w:rPr>
            </w:pPr>
            <w:r w:rsidRPr="00321D31">
              <w:rPr>
                <w:i/>
                <w:sz w:val="18"/>
                <w:szCs w:val="18"/>
              </w:rPr>
              <w:t xml:space="preserve">Source: </w:t>
            </w:r>
            <w:r w:rsidRPr="00321D31">
              <w:rPr>
                <w:sz w:val="18"/>
                <w:szCs w:val="18"/>
              </w:rPr>
              <w:t>Bloomberg, World Bank staff calculations.</w:t>
            </w:r>
          </w:p>
          <w:p w:rsidR="0060585A" w:rsidRPr="00321D31" w:rsidRDefault="0060585A" w:rsidP="00321D31">
            <w:pPr>
              <w:keepNext/>
              <w:spacing w:before="60" w:after="40" w:line="276" w:lineRule="auto"/>
              <w:rPr>
                <w:i/>
                <w:sz w:val="18"/>
                <w:szCs w:val="18"/>
              </w:rPr>
            </w:pPr>
            <w:r w:rsidRPr="00321D31">
              <w:rPr>
                <w:i/>
                <w:sz w:val="18"/>
                <w:szCs w:val="18"/>
              </w:rPr>
              <w:t>Note: Greece (EL), IE (Ireland), Spain (ES), Italy (IT), Portugal (PT)</w:t>
            </w:r>
          </w:p>
        </w:tc>
      </w:tr>
    </w:tbl>
    <w:p w:rsidR="0060585A" w:rsidRDefault="0060585A" w:rsidP="00E41045">
      <w:pPr>
        <w:spacing w:line="276" w:lineRule="auto"/>
        <w:rPr>
          <w:bCs/>
        </w:rPr>
      </w:pPr>
      <w:r>
        <w:rPr>
          <w:b/>
          <w:bCs/>
        </w:rPr>
        <w:t xml:space="preserve">Bold policy interventions from late 2011 and early 2012 provided some short-lived relief. </w:t>
      </w:r>
      <w:r w:rsidRPr="00EE5C71">
        <w:rPr>
          <w:bCs/>
        </w:rPr>
        <w:t xml:space="preserve">The fourth quarter of 2011 and the first quarter of 2012 </w:t>
      </w:r>
      <w:r>
        <w:rPr>
          <w:bCs/>
        </w:rPr>
        <w:t>were</w:t>
      </w:r>
      <w:r w:rsidRPr="00EE5C71">
        <w:rPr>
          <w:bCs/>
        </w:rPr>
        <w:t xml:space="preserve"> marked </w:t>
      </w:r>
      <w:r>
        <w:rPr>
          <w:bCs/>
        </w:rPr>
        <w:t>by</w:t>
      </w:r>
      <w:r w:rsidRPr="00EE5C71">
        <w:rPr>
          <w:bCs/>
        </w:rPr>
        <w:t xml:space="preserve"> unprecedented policy interventions in Europe, </w:t>
      </w:r>
      <w:r>
        <w:rPr>
          <w:bCs/>
        </w:rPr>
        <w:t xml:space="preserve">among them </w:t>
      </w:r>
      <w:r w:rsidRPr="00EE5C71">
        <w:rPr>
          <w:bCs/>
        </w:rPr>
        <w:t>agree</w:t>
      </w:r>
      <w:r>
        <w:rPr>
          <w:bCs/>
        </w:rPr>
        <w:t>ment</w:t>
      </w:r>
      <w:r w:rsidRPr="00EE5C71">
        <w:rPr>
          <w:bCs/>
        </w:rPr>
        <w:t xml:space="preserve"> with private creditors </w:t>
      </w:r>
      <w:r>
        <w:rPr>
          <w:bCs/>
        </w:rPr>
        <w:t xml:space="preserve">on a </w:t>
      </w:r>
      <w:r w:rsidRPr="00EE5C71">
        <w:rPr>
          <w:bCs/>
        </w:rPr>
        <w:t xml:space="preserve">rescue package </w:t>
      </w:r>
      <w:r>
        <w:rPr>
          <w:bCs/>
        </w:rPr>
        <w:t xml:space="preserve">for </w:t>
      </w:r>
      <w:r w:rsidRPr="00EE5C71">
        <w:rPr>
          <w:bCs/>
        </w:rPr>
        <w:t>Greece, EU government commitments under the Fiscal Compact</w:t>
      </w:r>
      <w:r>
        <w:rPr>
          <w:bCs/>
        </w:rPr>
        <w:t xml:space="preserve">, </w:t>
      </w:r>
      <w:r w:rsidRPr="00EE5C71">
        <w:rPr>
          <w:bCs/>
        </w:rPr>
        <w:t>the €1 trillion long-term refinancing operations (LTRO)</w:t>
      </w:r>
      <w:r>
        <w:rPr>
          <w:bCs/>
        </w:rPr>
        <w:t xml:space="preserve"> of the European Central Bank (ECB)</w:t>
      </w:r>
      <w:r w:rsidRPr="00EE5C71">
        <w:rPr>
          <w:bCs/>
        </w:rPr>
        <w:t>,</w:t>
      </w:r>
      <w:r w:rsidRPr="00EE5C71">
        <w:rPr>
          <w:bCs/>
          <w:vertAlign w:val="superscript"/>
        </w:rPr>
        <w:footnoteReference w:id="1"/>
      </w:r>
      <w:r w:rsidRPr="00EE5C71">
        <w:rPr>
          <w:bCs/>
        </w:rPr>
        <w:t xml:space="preserve"> and </w:t>
      </w:r>
      <w:r>
        <w:rPr>
          <w:bCs/>
        </w:rPr>
        <w:t xml:space="preserve">reinforcement of the </w:t>
      </w:r>
      <w:r w:rsidRPr="00EE5C71">
        <w:rPr>
          <w:bCs/>
        </w:rPr>
        <w:t xml:space="preserve">European </w:t>
      </w:r>
      <w:r>
        <w:rPr>
          <w:bCs/>
        </w:rPr>
        <w:t xml:space="preserve">crisis-management firewall by combining the </w:t>
      </w:r>
      <w:r w:rsidRPr="00B155A3">
        <w:rPr>
          <w:bCs/>
        </w:rPr>
        <w:t>European Stability Mechanism and the</w:t>
      </w:r>
      <w:r>
        <w:rPr>
          <w:bCs/>
        </w:rPr>
        <w:t xml:space="preserve"> </w:t>
      </w:r>
      <w:r w:rsidRPr="00B155A3">
        <w:rPr>
          <w:bCs/>
        </w:rPr>
        <w:t>European Financial Stability Facility</w:t>
      </w:r>
      <w:r w:rsidRPr="00EE5C71">
        <w:rPr>
          <w:bCs/>
        </w:rPr>
        <w:t xml:space="preserve">. </w:t>
      </w:r>
      <w:r>
        <w:rPr>
          <w:bCs/>
        </w:rPr>
        <w:t xml:space="preserve"> As a result, equity prices rebounded, money markets and corporate bond spreads declined, and CDS spreads for both banks and countries narrowed. H</w:t>
      </w:r>
      <w:r w:rsidRPr="00EE5C71">
        <w:rPr>
          <w:bCs/>
        </w:rPr>
        <w:t xml:space="preserve">owever, </w:t>
      </w:r>
      <w:r>
        <w:rPr>
          <w:bCs/>
        </w:rPr>
        <w:t xml:space="preserve">uncertainty </w:t>
      </w:r>
      <w:r w:rsidRPr="00EE5C71">
        <w:rPr>
          <w:bCs/>
        </w:rPr>
        <w:t xml:space="preserve">on European financial markets </w:t>
      </w:r>
      <w:r>
        <w:rPr>
          <w:bCs/>
        </w:rPr>
        <w:t xml:space="preserve">again </w:t>
      </w:r>
      <w:r w:rsidRPr="00EE5C71">
        <w:rPr>
          <w:bCs/>
        </w:rPr>
        <w:t xml:space="preserve">surged </w:t>
      </w:r>
      <w:r>
        <w:rPr>
          <w:bCs/>
        </w:rPr>
        <w:t xml:space="preserve">in spring 2012 after elections in France and Greece and </w:t>
      </w:r>
      <w:r>
        <w:rPr>
          <w:bCs/>
        </w:rPr>
        <w:lastRenderedPageBreak/>
        <w:t xml:space="preserve">further uncertainties about the Spanish banking sector generated </w:t>
      </w:r>
      <w:r w:rsidRPr="00EE5C71">
        <w:rPr>
          <w:bCs/>
        </w:rPr>
        <w:t xml:space="preserve">renewed concerns about the sustainability of public finances </w:t>
      </w:r>
      <w:r>
        <w:rPr>
          <w:bCs/>
        </w:rPr>
        <w:t xml:space="preserve">in </w:t>
      </w:r>
      <w:r w:rsidRPr="00EE5C71">
        <w:rPr>
          <w:bCs/>
        </w:rPr>
        <w:t xml:space="preserve">peripheral </w:t>
      </w:r>
      <w:r>
        <w:rPr>
          <w:bCs/>
        </w:rPr>
        <w:t xml:space="preserve">EU </w:t>
      </w:r>
      <w:r w:rsidRPr="00EE5C71">
        <w:rPr>
          <w:bCs/>
        </w:rPr>
        <w:t>economies</w:t>
      </w:r>
      <w:r>
        <w:rPr>
          <w:bCs/>
        </w:rPr>
        <w:t xml:space="preserve">. </w:t>
      </w:r>
    </w:p>
    <w:p w:rsidR="0060585A" w:rsidRDefault="0060585A" w:rsidP="00E41045">
      <w:pPr>
        <w:spacing w:line="276" w:lineRule="auto"/>
        <w:rPr>
          <w:bCs/>
        </w:rPr>
      </w:pPr>
    </w:p>
    <w:p w:rsidR="0060585A" w:rsidRDefault="0060585A" w:rsidP="00E41045">
      <w:pPr>
        <w:spacing w:line="276" w:lineRule="auto"/>
        <w:rPr>
          <w:bCs/>
        </w:rPr>
      </w:pPr>
      <w:r w:rsidRPr="004D2396">
        <w:rPr>
          <w:b/>
          <w:bCs/>
        </w:rPr>
        <w:t xml:space="preserve">Calming financial markets will require </w:t>
      </w:r>
      <w:r>
        <w:rPr>
          <w:b/>
          <w:bCs/>
        </w:rPr>
        <w:t xml:space="preserve">that countries make </w:t>
      </w:r>
      <w:r w:rsidRPr="004D2396">
        <w:rPr>
          <w:b/>
          <w:bCs/>
        </w:rPr>
        <w:t xml:space="preserve">credible commitments to </w:t>
      </w:r>
      <w:r>
        <w:rPr>
          <w:b/>
          <w:bCs/>
        </w:rPr>
        <w:t>re</w:t>
      </w:r>
      <w:r w:rsidRPr="004D2396">
        <w:rPr>
          <w:b/>
          <w:bCs/>
        </w:rPr>
        <w:t>solv</w:t>
      </w:r>
      <w:r>
        <w:rPr>
          <w:b/>
          <w:bCs/>
        </w:rPr>
        <w:t>e</w:t>
      </w:r>
      <w:r w:rsidRPr="004D2396">
        <w:rPr>
          <w:b/>
          <w:bCs/>
        </w:rPr>
        <w:t xml:space="preserve"> </w:t>
      </w:r>
      <w:r>
        <w:rPr>
          <w:b/>
          <w:bCs/>
        </w:rPr>
        <w:t xml:space="preserve">their </w:t>
      </w:r>
      <w:r w:rsidRPr="004D2396">
        <w:rPr>
          <w:b/>
          <w:bCs/>
        </w:rPr>
        <w:t xml:space="preserve">macroeconomic imbalances </w:t>
      </w:r>
      <w:r>
        <w:rPr>
          <w:b/>
          <w:bCs/>
        </w:rPr>
        <w:t xml:space="preserve">supported by </w:t>
      </w:r>
      <w:r w:rsidRPr="004D2396">
        <w:rPr>
          <w:b/>
          <w:bCs/>
        </w:rPr>
        <w:t xml:space="preserve">substantial </w:t>
      </w:r>
      <w:r>
        <w:rPr>
          <w:b/>
          <w:bCs/>
        </w:rPr>
        <w:t xml:space="preserve">coordination of </w:t>
      </w:r>
      <w:r w:rsidRPr="004D2396">
        <w:rPr>
          <w:b/>
          <w:bCs/>
        </w:rPr>
        <w:t xml:space="preserve">economic policy </w:t>
      </w:r>
      <w:r>
        <w:rPr>
          <w:b/>
          <w:bCs/>
        </w:rPr>
        <w:t xml:space="preserve">within </w:t>
      </w:r>
      <w:r w:rsidRPr="004D2396">
        <w:rPr>
          <w:b/>
          <w:bCs/>
        </w:rPr>
        <w:t>the EU</w:t>
      </w:r>
      <w:r>
        <w:rPr>
          <w:bCs/>
        </w:rPr>
        <w:t>. So far, t</w:t>
      </w:r>
      <w:r w:rsidRPr="00704CAE">
        <w:rPr>
          <w:bCs/>
        </w:rPr>
        <w:t xml:space="preserve">he </w:t>
      </w:r>
      <w:r>
        <w:rPr>
          <w:bCs/>
        </w:rPr>
        <w:t xml:space="preserve">lack </w:t>
      </w:r>
      <w:r w:rsidRPr="00704CAE">
        <w:rPr>
          <w:bCs/>
        </w:rPr>
        <w:t xml:space="preserve">of easy answers and </w:t>
      </w:r>
      <w:r>
        <w:rPr>
          <w:bCs/>
        </w:rPr>
        <w:t xml:space="preserve">of </w:t>
      </w:r>
      <w:r w:rsidRPr="00704CAE">
        <w:rPr>
          <w:bCs/>
        </w:rPr>
        <w:t>political</w:t>
      </w:r>
      <w:r>
        <w:rPr>
          <w:bCs/>
        </w:rPr>
        <w:t xml:space="preserve"> </w:t>
      </w:r>
      <w:r w:rsidRPr="00704CAE">
        <w:rPr>
          <w:bCs/>
        </w:rPr>
        <w:t xml:space="preserve">consensus to address </w:t>
      </w:r>
      <w:r>
        <w:rPr>
          <w:bCs/>
        </w:rPr>
        <w:t>e</w:t>
      </w:r>
      <w:r w:rsidRPr="00704CAE">
        <w:rPr>
          <w:bCs/>
        </w:rPr>
        <w:t xml:space="preserve">uro </w:t>
      </w:r>
      <w:r>
        <w:rPr>
          <w:bCs/>
        </w:rPr>
        <w:t>a</w:t>
      </w:r>
      <w:r w:rsidRPr="00704CAE">
        <w:rPr>
          <w:bCs/>
        </w:rPr>
        <w:t>rea woes adds to market uncertainty,</w:t>
      </w:r>
      <w:r>
        <w:rPr>
          <w:bCs/>
        </w:rPr>
        <w:t xml:space="preserve"> </w:t>
      </w:r>
      <w:r w:rsidRPr="00704CAE">
        <w:rPr>
          <w:bCs/>
        </w:rPr>
        <w:t xml:space="preserve">worsening financial conditions and </w:t>
      </w:r>
      <w:r>
        <w:rPr>
          <w:bCs/>
        </w:rPr>
        <w:t xml:space="preserve">depressing </w:t>
      </w:r>
      <w:r w:rsidRPr="00704CAE">
        <w:rPr>
          <w:bCs/>
        </w:rPr>
        <w:t>economic activity</w:t>
      </w:r>
      <w:r>
        <w:rPr>
          <w:bCs/>
        </w:rPr>
        <w:t xml:space="preserve">. </w:t>
      </w:r>
    </w:p>
    <w:p w:rsidR="0060585A" w:rsidRDefault="0060585A" w:rsidP="00E41045">
      <w:pPr>
        <w:spacing w:line="276" w:lineRule="auto"/>
        <w:rPr>
          <w:bCs/>
        </w:rPr>
      </w:pPr>
    </w:p>
    <w:p w:rsidR="0060585A" w:rsidRDefault="0060585A" w:rsidP="00E41045">
      <w:pPr>
        <w:spacing w:line="276" w:lineRule="auto"/>
        <w:rPr>
          <w:bCs/>
        </w:rPr>
      </w:pPr>
      <w:r>
        <w:rPr>
          <w:b/>
          <w:bCs/>
        </w:rPr>
        <w:t xml:space="preserve">Given resurgent economic </w:t>
      </w:r>
      <w:r w:rsidRPr="00E46D6B">
        <w:rPr>
          <w:b/>
          <w:bCs/>
        </w:rPr>
        <w:t>volatility and uncertainty</w:t>
      </w:r>
      <w:r>
        <w:rPr>
          <w:b/>
          <w:bCs/>
        </w:rPr>
        <w:t>,</w:t>
      </w:r>
      <w:r w:rsidRPr="00E46D6B">
        <w:rPr>
          <w:b/>
          <w:bCs/>
        </w:rPr>
        <w:t xml:space="preserve"> </w:t>
      </w:r>
      <w:r>
        <w:rPr>
          <w:b/>
          <w:bCs/>
        </w:rPr>
        <w:t xml:space="preserve">especially in the euro area, </w:t>
      </w:r>
      <w:r w:rsidRPr="00E46D6B">
        <w:rPr>
          <w:b/>
          <w:bCs/>
        </w:rPr>
        <w:t xml:space="preserve">global growth will </w:t>
      </w:r>
      <w:r>
        <w:rPr>
          <w:b/>
          <w:bCs/>
        </w:rPr>
        <w:t xml:space="preserve">be at best </w:t>
      </w:r>
      <w:r w:rsidRPr="00E46D6B">
        <w:rPr>
          <w:b/>
          <w:bCs/>
        </w:rPr>
        <w:t xml:space="preserve">modest in 2012 and accelerate </w:t>
      </w:r>
      <w:r>
        <w:rPr>
          <w:b/>
          <w:bCs/>
        </w:rPr>
        <w:t>only over</w:t>
      </w:r>
      <w:r w:rsidRPr="00E46D6B">
        <w:rPr>
          <w:b/>
          <w:bCs/>
        </w:rPr>
        <w:t xml:space="preserve"> the medium term.</w:t>
      </w:r>
      <w:r>
        <w:rPr>
          <w:b/>
          <w:bCs/>
        </w:rPr>
        <w:t xml:space="preserve"> </w:t>
      </w:r>
      <w:r w:rsidRPr="004D2396">
        <w:rPr>
          <w:bCs/>
        </w:rPr>
        <w:t>The baseline scenario for this report assumes that a major Euro area crisis is avoided.</w:t>
      </w:r>
      <w:r>
        <w:rPr>
          <w:bCs/>
        </w:rPr>
        <w:t xml:space="preserve"> </w:t>
      </w:r>
      <w:r w:rsidRPr="008A1A98">
        <w:rPr>
          <w:bCs/>
        </w:rPr>
        <w:t>Provided that there is no major crisis in Europe, global GDP is projected to increase 2.5 percent in 2012 and reach 3.0 percent in 2013 (</w:t>
      </w:r>
      <w:fldSimple w:instr=" REF _Ref326621860 \h  \* MERGEFORMAT ">
        <w:r w:rsidRPr="005D6031">
          <w:rPr>
            <w:bCs/>
          </w:rPr>
          <w:t>Table 1</w:t>
        </w:r>
      </w:fldSimple>
      <w:r w:rsidRPr="008A1A98">
        <w:rPr>
          <w:bCs/>
        </w:rPr>
        <w:t>). Growth in the OECD countries is expected to expand</w:t>
      </w:r>
      <w:r>
        <w:rPr>
          <w:bCs/>
        </w:rPr>
        <w:t xml:space="preserve"> by</w:t>
      </w:r>
      <w:r w:rsidRPr="008A1A98">
        <w:rPr>
          <w:bCs/>
        </w:rPr>
        <w:t xml:space="preserve"> only 1.3 percent this year, </w:t>
      </w:r>
      <w:r>
        <w:rPr>
          <w:bCs/>
        </w:rPr>
        <w:t xml:space="preserve">depressed primarily </w:t>
      </w:r>
      <w:r w:rsidRPr="008A1A98">
        <w:rPr>
          <w:bCs/>
        </w:rPr>
        <w:t>by banking-sector deleveraging</w:t>
      </w:r>
      <w:r w:rsidRPr="00E46D6B">
        <w:rPr>
          <w:bCs/>
        </w:rPr>
        <w:t xml:space="preserve"> and </w:t>
      </w:r>
      <w:r>
        <w:rPr>
          <w:bCs/>
        </w:rPr>
        <w:t xml:space="preserve">continuing </w:t>
      </w:r>
      <w:r w:rsidRPr="00E46D6B">
        <w:rPr>
          <w:bCs/>
        </w:rPr>
        <w:t>fiscal consolidation</w:t>
      </w:r>
      <w:r>
        <w:rPr>
          <w:bCs/>
        </w:rPr>
        <w:t xml:space="preserve">. </w:t>
      </w:r>
      <w:r w:rsidRPr="00E46D6B">
        <w:rPr>
          <w:bCs/>
        </w:rPr>
        <w:t xml:space="preserve">As these pressures ease in 2013, </w:t>
      </w:r>
      <w:r>
        <w:rPr>
          <w:bCs/>
        </w:rPr>
        <w:t xml:space="preserve">GDP growth in the </w:t>
      </w:r>
      <w:r w:rsidRPr="00E46D6B">
        <w:rPr>
          <w:bCs/>
        </w:rPr>
        <w:t xml:space="preserve">high-income </w:t>
      </w:r>
      <w:r>
        <w:rPr>
          <w:bCs/>
        </w:rPr>
        <w:t xml:space="preserve">OECD </w:t>
      </w:r>
      <w:r w:rsidRPr="00E46D6B">
        <w:rPr>
          <w:bCs/>
        </w:rPr>
        <w:t xml:space="preserve">is projected to firm </w:t>
      </w:r>
      <w:r>
        <w:rPr>
          <w:bCs/>
        </w:rPr>
        <w:t>up at 1.8</w:t>
      </w:r>
      <w:r w:rsidRPr="00E46D6B">
        <w:rPr>
          <w:bCs/>
        </w:rPr>
        <w:t xml:space="preserve"> percent in </w:t>
      </w:r>
      <w:r>
        <w:rPr>
          <w:bCs/>
        </w:rPr>
        <w:t xml:space="preserve">2013, but growth in the euro area will be negative (–0.3 percent). On the upside, should </w:t>
      </w:r>
      <w:r w:rsidRPr="00343A84">
        <w:rPr>
          <w:bCs/>
        </w:rPr>
        <w:t xml:space="preserve">European policymakers be able to </w:t>
      </w:r>
      <w:r>
        <w:rPr>
          <w:bCs/>
        </w:rPr>
        <w:t xml:space="preserve">confine </w:t>
      </w:r>
      <w:r w:rsidRPr="00343A84">
        <w:rPr>
          <w:bCs/>
        </w:rPr>
        <w:t xml:space="preserve">the </w:t>
      </w:r>
      <w:r>
        <w:rPr>
          <w:bCs/>
        </w:rPr>
        <w:t>e</w:t>
      </w:r>
      <w:r w:rsidRPr="00343A84">
        <w:rPr>
          <w:bCs/>
        </w:rPr>
        <w:t>uro area crisis to the periphery countries,</w:t>
      </w:r>
      <w:r>
        <w:rPr>
          <w:bCs/>
        </w:rPr>
        <w:t xml:space="preserve"> GDP growth would strengthen to 0.7 percent in 2013. </w:t>
      </w:r>
    </w:p>
    <w:p w:rsidR="0060585A" w:rsidRDefault="0060585A" w:rsidP="00E41045">
      <w:pPr>
        <w:spacing w:line="276" w:lineRule="auto"/>
        <w:rPr>
          <w:bCs/>
        </w:rPr>
      </w:pPr>
    </w:p>
    <w:p w:rsidR="0060585A" w:rsidRDefault="0060585A" w:rsidP="00E41045">
      <w:pPr>
        <w:spacing w:line="276" w:lineRule="auto"/>
      </w:pPr>
      <w:r>
        <w:rPr>
          <w:b/>
          <w:bCs/>
        </w:rPr>
        <w:t>There are s</w:t>
      </w:r>
      <w:r w:rsidRPr="004D2396">
        <w:rPr>
          <w:b/>
          <w:bCs/>
        </w:rPr>
        <w:t>ubstantial risks to the near</w:t>
      </w:r>
      <w:r>
        <w:rPr>
          <w:b/>
          <w:bCs/>
        </w:rPr>
        <w:t>-</w:t>
      </w:r>
      <w:r w:rsidRPr="004D2396">
        <w:rPr>
          <w:b/>
          <w:bCs/>
        </w:rPr>
        <w:t>term global outlook</w:t>
      </w:r>
      <w:r>
        <w:rPr>
          <w:b/>
          <w:bCs/>
        </w:rPr>
        <w:t xml:space="preserve">.  </w:t>
      </w:r>
      <w:r w:rsidRPr="004D2396">
        <w:rPr>
          <w:bCs/>
        </w:rPr>
        <w:t xml:space="preserve">There is deep uncertainty about </w:t>
      </w:r>
      <w:r>
        <w:rPr>
          <w:bCs/>
        </w:rPr>
        <w:t xml:space="preserve">what </w:t>
      </w:r>
      <w:r w:rsidRPr="004D2396">
        <w:rPr>
          <w:bCs/>
        </w:rPr>
        <w:t xml:space="preserve">the outcome of the </w:t>
      </w:r>
      <w:r>
        <w:rPr>
          <w:bCs/>
        </w:rPr>
        <w:t xml:space="preserve">euro area crisis </w:t>
      </w:r>
      <w:r w:rsidRPr="004D2396">
        <w:rPr>
          <w:bCs/>
        </w:rPr>
        <w:t xml:space="preserve">might imply for </w:t>
      </w:r>
      <w:r>
        <w:rPr>
          <w:bCs/>
        </w:rPr>
        <w:t xml:space="preserve">both </w:t>
      </w:r>
      <w:r w:rsidRPr="004D2396">
        <w:rPr>
          <w:bCs/>
        </w:rPr>
        <w:t xml:space="preserve">European and global economies. The greatest risks are a disorderly outcome of the Greek crisis, </w:t>
      </w:r>
      <w:r>
        <w:rPr>
          <w:bCs/>
        </w:rPr>
        <w:t xml:space="preserve">a </w:t>
      </w:r>
      <w:r w:rsidRPr="004D2396">
        <w:rPr>
          <w:bCs/>
        </w:rPr>
        <w:t xml:space="preserve">lack of credible economic programs in </w:t>
      </w:r>
      <w:r>
        <w:rPr>
          <w:bCs/>
        </w:rPr>
        <w:t xml:space="preserve">other </w:t>
      </w:r>
      <w:r w:rsidRPr="004D2396">
        <w:rPr>
          <w:bCs/>
        </w:rPr>
        <w:t xml:space="preserve">countries affected, and a shortfall of external resources to support them, </w:t>
      </w:r>
      <w:r>
        <w:rPr>
          <w:bCs/>
        </w:rPr>
        <w:t xml:space="preserve">any of </w:t>
      </w:r>
      <w:r w:rsidRPr="004D2396">
        <w:rPr>
          <w:bCs/>
        </w:rPr>
        <w:t>which could trigger an epidemic of contagion.</w:t>
      </w:r>
      <w:r>
        <w:rPr>
          <w:bCs/>
        </w:rPr>
        <w:t xml:space="preserve"> Moreover</w:t>
      </w:r>
      <w:r w:rsidRPr="004D2396">
        <w:rPr>
          <w:bCs/>
        </w:rPr>
        <w:t xml:space="preserve">, </w:t>
      </w:r>
      <w:r>
        <w:rPr>
          <w:bCs/>
        </w:rPr>
        <w:t>e</w:t>
      </w:r>
      <w:r w:rsidRPr="004D2396">
        <w:rPr>
          <w:bCs/>
        </w:rPr>
        <w:t xml:space="preserve">xpectations </w:t>
      </w:r>
      <w:r>
        <w:rPr>
          <w:bCs/>
        </w:rPr>
        <w:t xml:space="preserve">are clearly </w:t>
      </w:r>
      <w:r w:rsidRPr="004D2396">
        <w:rPr>
          <w:bCs/>
        </w:rPr>
        <w:t xml:space="preserve">crucial </w:t>
      </w:r>
      <w:r>
        <w:rPr>
          <w:bCs/>
        </w:rPr>
        <w:t xml:space="preserve">to </w:t>
      </w:r>
      <w:r w:rsidRPr="004D2396">
        <w:rPr>
          <w:bCs/>
        </w:rPr>
        <w:t>how events unfold.</w:t>
      </w:r>
      <w:r>
        <w:rPr>
          <w:bCs/>
        </w:rPr>
        <w:t xml:space="preserve">  Apart from </w:t>
      </w:r>
      <w:r w:rsidRPr="004D2396">
        <w:rPr>
          <w:bCs/>
        </w:rPr>
        <w:t xml:space="preserve">the turmoil in </w:t>
      </w:r>
      <w:r>
        <w:rPr>
          <w:bCs/>
        </w:rPr>
        <w:t xml:space="preserve">the euro </w:t>
      </w:r>
      <w:r w:rsidRPr="004D2396">
        <w:rPr>
          <w:bCs/>
        </w:rPr>
        <w:t xml:space="preserve">area, the world economy </w:t>
      </w:r>
      <w:r>
        <w:rPr>
          <w:bCs/>
        </w:rPr>
        <w:t>may</w:t>
      </w:r>
      <w:r w:rsidRPr="004D2396">
        <w:rPr>
          <w:bCs/>
        </w:rPr>
        <w:t xml:space="preserve"> still </w:t>
      </w:r>
      <w:r>
        <w:rPr>
          <w:bCs/>
        </w:rPr>
        <w:t xml:space="preserve">need to </w:t>
      </w:r>
      <w:r w:rsidRPr="004D2396">
        <w:rPr>
          <w:bCs/>
        </w:rPr>
        <w:t xml:space="preserve">deal with </w:t>
      </w:r>
      <w:r>
        <w:rPr>
          <w:bCs/>
        </w:rPr>
        <w:t xml:space="preserve">potential </w:t>
      </w:r>
      <w:r w:rsidRPr="004D2396">
        <w:rPr>
          <w:bCs/>
        </w:rPr>
        <w:t>headwinds from reduced capital inflows,fiscal and banking-sector consolidations in high-income countries</w:t>
      </w:r>
      <w:r>
        <w:rPr>
          <w:bCs/>
        </w:rPr>
        <w:t xml:space="preserve"> and </w:t>
      </w:r>
      <w:r w:rsidRPr="004D2396">
        <w:rPr>
          <w:bCs/>
        </w:rPr>
        <w:t xml:space="preserve">higher </w:t>
      </w:r>
      <w:r>
        <w:rPr>
          <w:bCs/>
        </w:rPr>
        <w:t xml:space="preserve">than current </w:t>
      </w:r>
      <w:r w:rsidRPr="004D2396">
        <w:rPr>
          <w:bCs/>
        </w:rPr>
        <w:t xml:space="preserve">oil prices. All of these factors will </w:t>
      </w:r>
      <w:r>
        <w:rPr>
          <w:bCs/>
        </w:rPr>
        <w:t>tamp down</w:t>
      </w:r>
      <w:r w:rsidRPr="004D2396">
        <w:rPr>
          <w:bCs/>
        </w:rPr>
        <w:t xml:space="preserve"> growth.</w:t>
      </w:r>
      <w:r>
        <w:rPr>
          <w:bCs/>
        </w:rPr>
        <w:t xml:space="preserve"> </w:t>
      </w:r>
    </w:p>
    <w:p w:rsidR="0060585A" w:rsidRDefault="0060585A" w:rsidP="00E41045">
      <w:pPr>
        <w:spacing w:line="276" w:lineRule="auto"/>
        <w:rPr>
          <w:bCs/>
        </w:rPr>
      </w:pPr>
      <w:r>
        <w:rPr>
          <w:bCs/>
        </w:rPr>
        <w:t xml:space="preserve"> </w:t>
      </w:r>
    </w:p>
    <w:p w:rsidR="0060585A" w:rsidRDefault="0060585A" w:rsidP="00E41045">
      <w:pPr>
        <w:spacing w:line="276" w:lineRule="auto"/>
        <w:rPr>
          <w:bCs/>
        </w:rPr>
      </w:pPr>
    </w:p>
    <w:p w:rsidR="0060585A" w:rsidRPr="00F72EC5" w:rsidRDefault="0060585A" w:rsidP="00F72EC5">
      <w:pPr>
        <w:spacing w:after="200" w:line="276" w:lineRule="auto"/>
        <w:jc w:val="left"/>
      </w:pPr>
      <w:r w:rsidRPr="00EE5C71">
        <w:br w:type="page"/>
      </w:r>
    </w:p>
    <w:p w:rsidR="0060585A" w:rsidRDefault="0060585A" w:rsidP="00D40FDC">
      <w:pPr>
        <w:pStyle w:val="ChapterTitle"/>
      </w:pPr>
      <w:bookmarkStart w:id="7" w:name="_Toc328295591"/>
      <w:r>
        <w:lastRenderedPageBreak/>
        <w:t>Recent</w:t>
      </w:r>
      <w:r w:rsidRPr="00DC0989">
        <w:t xml:space="preserve"> </w:t>
      </w:r>
      <w:r>
        <w:t>Developments in the EU11</w:t>
      </w:r>
      <w:bookmarkEnd w:id="7"/>
    </w:p>
    <w:p w:rsidR="0060585A" w:rsidRPr="0073734A" w:rsidRDefault="0060585A" w:rsidP="007C638E">
      <w:pPr>
        <w:pStyle w:val="IntenseQuote"/>
      </w:pPr>
      <w:r w:rsidRPr="0073734A">
        <w:t xml:space="preserve">Solid Economic Growth </w:t>
      </w:r>
      <w:r>
        <w:t xml:space="preserve">in 2011 </w:t>
      </w:r>
      <w:r w:rsidRPr="0073734A">
        <w:t>Despite Severe External Volatility</w:t>
      </w:r>
    </w:p>
    <w:p w:rsidR="0060585A" w:rsidRDefault="0060585A" w:rsidP="00E41045">
      <w:pPr>
        <w:pStyle w:val="Heading2"/>
        <w:spacing w:line="276" w:lineRule="auto"/>
        <w:rPr>
          <w:rFonts w:ascii="Cambria" w:hAnsi="Cambria"/>
          <w:b w:val="0"/>
          <w:color w:val="1F497D"/>
          <w:sz w:val="22"/>
          <w:szCs w:val="22"/>
          <w:lang w:val="en-US"/>
        </w:rPr>
      </w:pPr>
      <w:r>
        <w:rPr>
          <w:rFonts w:ascii="Cambria" w:hAnsi="Cambria"/>
          <w:b w:val="0"/>
          <w:color w:val="1F497D"/>
          <w:sz w:val="22"/>
          <w:szCs w:val="22"/>
          <w:lang w:val="en-US"/>
        </w:rPr>
        <w:t>Even with the strains in the international economic environment, the EU11 grew solidly in 2011. Its 3.1</w:t>
      </w:r>
      <w:r w:rsidRPr="00683057">
        <w:rPr>
          <w:rFonts w:ascii="Cambria" w:hAnsi="Cambria"/>
          <w:b w:val="0"/>
          <w:color w:val="1F497D"/>
          <w:sz w:val="22"/>
          <w:szCs w:val="22"/>
          <w:lang w:val="en-US"/>
        </w:rPr>
        <w:t xml:space="preserve"> percent growth in 2011 was relatively broad-based and exceeded </w:t>
      </w:r>
      <w:r>
        <w:rPr>
          <w:rFonts w:ascii="Cambria" w:hAnsi="Cambria"/>
          <w:b w:val="0"/>
          <w:color w:val="1F497D"/>
          <w:sz w:val="22"/>
          <w:szCs w:val="22"/>
          <w:lang w:val="en-US"/>
        </w:rPr>
        <w:t xml:space="preserve">the </w:t>
      </w:r>
      <w:r w:rsidRPr="00683057">
        <w:rPr>
          <w:rFonts w:ascii="Cambria" w:hAnsi="Cambria"/>
          <w:b w:val="0"/>
          <w:color w:val="1F497D"/>
          <w:sz w:val="22"/>
          <w:szCs w:val="22"/>
          <w:lang w:val="en-US"/>
        </w:rPr>
        <w:t xml:space="preserve">2.0 percent </w:t>
      </w:r>
      <w:r>
        <w:rPr>
          <w:rFonts w:ascii="Cambria" w:hAnsi="Cambria"/>
          <w:b w:val="0"/>
          <w:color w:val="1F497D"/>
          <w:sz w:val="22"/>
          <w:szCs w:val="22"/>
          <w:lang w:val="en-US"/>
        </w:rPr>
        <w:t>growth in 2010</w:t>
      </w:r>
      <w:r w:rsidRPr="00683057">
        <w:rPr>
          <w:rFonts w:ascii="Cambria" w:hAnsi="Cambria"/>
          <w:b w:val="0"/>
          <w:color w:val="1F497D"/>
          <w:sz w:val="22"/>
          <w:szCs w:val="22"/>
          <w:lang w:val="en-US"/>
        </w:rPr>
        <w:t>.</w:t>
      </w:r>
      <w:r>
        <w:rPr>
          <w:rFonts w:ascii="Cambria" w:hAnsi="Cambria"/>
          <w:b w:val="0"/>
          <w:color w:val="1F497D"/>
          <w:sz w:val="22"/>
          <w:szCs w:val="22"/>
          <w:lang w:val="en-US"/>
        </w:rPr>
        <w:t xml:space="preserve"> EU11 g</w:t>
      </w:r>
      <w:r w:rsidRPr="00683057">
        <w:rPr>
          <w:rFonts w:ascii="Cambria" w:hAnsi="Cambria"/>
          <w:b w:val="0"/>
          <w:color w:val="1F497D"/>
          <w:sz w:val="22"/>
          <w:szCs w:val="22"/>
          <w:lang w:val="en-US"/>
        </w:rPr>
        <w:t>rowth was driven by manufactu</w:t>
      </w:r>
      <w:r>
        <w:rPr>
          <w:rFonts w:ascii="Cambria" w:hAnsi="Cambria"/>
          <w:b w:val="0"/>
          <w:color w:val="1F497D"/>
          <w:sz w:val="22"/>
          <w:szCs w:val="22"/>
          <w:lang w:val="en-US"/>
        </w:rPr>
        <w:t>ring</w:t>
      </w:r>
      <w:r w:rsidRPr="00683057">
        <w:rPr>
          <w:rFonts w:ascii="Cambria" w:hAnsi="Cambria"/>
          <w:b w:val="0"/>
          <w:color w:val="1F497D"/>
          <w:sz w:val="22"/>
          <w:szCs w:val="22"/>
          <w:lang w:val="en-US"/>
        </w:rPr>
        <w:t xml:space="preserve"> and construction, as investment continued to recover.</w:t>
      </w:r>
      <w:r>
        <w:rPr>
          <w:rFonts w:ascii="Cambria" w:hAnsi="Cambria"/>
          <w:b w:val="0"/>
          <w:color w:val="1F497D"/>
          <w:sz w:val="22"/>
          <w:szCs w:val="22"/>
          <w:lang w:val="en-US"/>
        </w:rPr>
        <w:t xml:space="preserve">  The growth momentum was subsiding in every consecutive quarter of 2011 and further in the first quarter of 2012, </w:t>
      </w:r>
      <w:r w:rsidRPr="00D40FDC">
        <w:rPr>
          <w:rFonts w:ascii="Cambria" w:hAnsi="Cambria"/>
          <w:b w:val="0"/>
          <w:color w:val="1F497D"/>
          <w:sz w:val="22"/>
          <w:szCs w:val="22"/>
          <w:lang w:val="en-US"/>
        </w:rPr>
        <w:t>as the region started to feel</w:t>
      </w:r>
      <w:r>
        <w:rPr>
          <w:rFonts w:ascii="Cambria" w:hAnsi="Cambria"/>
          <w:b w:val="0"/>
          <w:color w:val="1F497D"/>
          <w:sz w:val="22"/>
          <w:szCs w:val="22"/>
          <w:lang w:val="en-US"/>
        </w:rPr>
        <w:t xml:space="preserve"> the impact of the worsened external environment. </w:t>
      </w:r>
    </w:p>
    <w:p w:rsidR="0060585A" w:rsidRPr="00A60F8A" w:rsidRDefault="0060585A" w:rsidP="00E41045">
      <w:pPr>
        <w:spacing w:line="276" w:lineRule="auto"/>
        <w:rPr>
          <w:lang w:eastAsia="pl-PL"/>
        </w:rPr>
      </w:pPr>
    </w:p>
    <w:p w:rsidR="0060585A" w:rsidRDefault="0060585A" w:rsidP="00E41045">
      <w:pPr>
        <w:spacing w:before="120" w:after="60" w:line="276" w:lineRule="auto"/>
      </w:pPr>
      <w:r>
        <w:rPr>
          <w:b/>
        </w:rPr>
        <w:t xml:space="preserve">Although the momentum of </w:t>
      </w:r>
      <w:r w:rsidRPr="00EE5C71">
        <w:rPr>
          <w:b/>
        </w:rPr>
        <w:t xml:space="preserve">growth </w:t>
      </w:r>
      <w:r>
        <w:rPr>
          <w:b/>
        </w:rPr>
        <w:t xml:space="preserve">slowed </w:t>
      </w:r>
      <w:r w:rsidRPr="00EE5C71">
        <w:rPr>
          <w:b/>
        </w:rPr>
        <w:t xml:space="preserve">throughout Europe, </w:t>
      </w:r>
      <w:r w:rsidRPr="00F72C22">
        <w:rPr>
          <w:b/>
        </w:rPr>
        <w:t xml:space="preserve">EU11 </w:t>
      </w:r>
      <w:r>
        <w:rPr>
          <w:b/>
        </w:rPr>
        <w:t xml:space="preserve">economies grew </w:t>
      </w:r>
      <w:r w:rsidRPr="00F72C22">
        <w:rPr>
          <w:b/>
        </w:rPr>
        <w:t>strong</w:t>
      </w:r>
      <w:r>
        <w:rPr>
          <w:b/>
        </w:rPr>
        <w:t>ly</w:t>
      </w:r>
      <w:r w:rsidRPr="00F72C22">
        <w:rPr>
          <w:b/>
        </w:rPr>
        <w:t xml:space="preserve"> in 2011.</w:t>
      </w:r>
      <w:r>
        <w:rPr>
          <w:rStyle w:val="FootnoteReference"/>
          <w:b/>
        </w:rPr>
        <w:footnoteReference w:id="2"/>
      </w:r>
      <w:r w:rsidRPr="00F72C22">
        <w:t xml:space="preserve"> </w:t>
      </w:r>
      <w:r>
        <w:t>In t</w:t>
      </w:r>
      <w:r w:rsidRPr="00EE5C71">
        <w:t>he EU11 countries output accelerat</w:t>
      </w:r>
      <w:r>
        <w:t>ed</w:t>
      </w:r>
      <w:r w:rsidRPr="00EE5C71">
        <w:t xml:space="preserve"> </w:t>
      </w:r>
      <w:r>
        <w:t xml:space="preserve">by </w:t>
      </w:r>
      <w:r w:rsidRPr="00EE5C71">
        <w:t xml:space="preserve">3.1 percent in 2011 </w:t>
      </w:r>
      <w:r>
        <w:t xml:space="preserve">compared to </w:t>
      </w:r>
      <w:r w:rsidRPr="00EE5C71">
        <w:t>2 percent in 2010</w:t>
      </w:r>
      <w:r>
        <w:t xml:space="preserve"> (</w:t>
      </w:r>
      <w:fldSimple w:instr=" REF _Ref326622295 \h  \* MERGEFORMAT ">
        <w:r w:rsidRPr="005D6031">
          <w:t>Figure 3</w:t>
        </w:r>
      </w:fldSimple>
      <w:r>
        <w:t>)</w:t>
      </w:r>
      <w:r w:rsidRPr="00EE5C71">
        <w:t>.</w:t>
      </w:r>
      <w:r>
        <w:t xml:space="preserve"> Most countries in the region grew above their potential growth rates.  </w:t>
      </w:r>
      <w:r w:rsidRPr="00EE5C71">
        <w:t>All EU11 countries</w:t>
      </w:r>
      <w:r>
        <w:t xml:space="preserve"> other than </w:t>
      </w:r>
      <w:r w:rsidRPr="00EE5C71">
        <w:t>Slovenia recorded positive GDP growth in 2011.</w:t>
      </w:r>
      <w:r>
        <w:t xml:space="preserve"> </w:t>
      </w:r>
      <w:r w:rsidRPr="00EE5C71">
        <w:t>While in the first half of 2011 most EU11 countries continued to expand strongly, the growth momentum slowed toward the end of the year</w:t>
      </w:r>
      <w:r>
        <w:t>,</w:t>
      </w:r>
      <w:r w:rsidRPr="00EE5C71">
        <w:t xml:space="preserve"> when the region started to feel the impact of lingering concerns about European sovereign-debt markets, </w:t>
      </w:r>
      <w:r>
        <w:t xml:space="preserve">creeping </w:t>
      </w:r>
      <w:r w:rsidRPr="00EE5C71">
        <w:t>oil prices</w:t>
      </w:r>
      <w:r>
        <w:t>,</w:t>
      </w:r>
      <w:r w:rsidRPr="00EE5C71">
        <w:t xml:space="preserve"> and </w:t>
      </w:r>
      <w:r>
        <w:t xml:space="preserve">the </w:t>
      </w:r>
      <w:r w:rsidRPr="00EE5C71">
        <w:t>global slowdown.</w:t>
      </w:r>
      <w:r>
        <w:t xml:space="preserve"> </w:t>
      </w:r>
      <w:r w:rsidRPr="00EE5C71">
        <w:t>Nevertheless</w:t>
      </w:r>
      <w:r>
        <w:t>,</w:t>
      </w:r>
      <w:r w:rsidRPr="00EE5C71">
        <w:t xml:space="preserve"> growth in 2011 </w:t>
      </w:r>
      <w:r>
        <w:t xml:space="preserve">was strong enough to </w:t>
      </w:r>
      <w:r w:rsidRPr="00EE5C71">
        <w:t xml:space="preserve">allow the </w:t>
      </w:r>
      <w:r>
        <w:t xml:space="preserve">EU11 region </w:t>
      </w:r>
      <w:r w:rsidRPr="00EE5C71">
        <w:t>to recover its output losses from the global financial crisis.</w:t>
      </w:r>
      <w:r>
        <w:t xml:space="preserve"> </w:t>
      </w:r>
    </w:p>
    <w:tbl>
      <w:tblPr>
        <w:tblW w:w="9560" w:type="dxa"/>
        <w:jc w:val="center"/>
        <w:tblInd w:w="602" w:type="dxa"/>
        <w:tblLook w:val="00A0"/>
      </w:tblPr>
      <w:tblGrid>
        <w:gridCol w:w="4656"/>
        <w:gridCol w:w="4904"/>
      </w:tblGrid>
      <w:tr w:rsidR="0060585A" w:rsidRPr="00321D31" w:rsidTr="00390DCF">
        <w:trPr>
          <w:jc w:val="center"/>
        </w:trPr>
        <w:tc>
          <w:tcPr>
            <w:tcW w:w="9560" w:type="dxa"/>
            <w:gridSpan w:val="2"/>
          </w:tcPr>
          <w:p w:rsidR="0060585A" w:rsidRPr="00321D31" w:rsidRDefault="0060585A" w:rsidP="000C50E8">
            <w:pPr>
              <w:pStyle w:val="Caption"/>
              <w:keepNext/>
              <w:keepLines/>
              <w:spacing w:before="60" w:after="60" w:line="276" w:lineRule="auto"/>
              <w:jc w:val="left"/>
              <w:rPr>
                <w:sz w:val="22"/>
                <w:szCs w:val="22"/>
              </w:rPr>
            </w:pPr>
            <w:bookmarkStart w:id="8" w:name="_Ref326622295"/>
            <w:r w:rsidRPr="00321D31">
              <w:rPr>
                <w:sz w:val="22"/>
                <w:szCs w:val="22"/>
              </w:rPr>
              <w:t xml:space="preserve">Figure </w:t>
            </w:r>
            <w:r w:rsidR="00185C05" w:rsidRPr="00321D31">
              <w:rPr>
                <w:sz w:val="22"/>
                <w:szCs w:val="22"/>
              </w:rPr>
              <w:fldChar w:fldCharType="begin"/>
            </w:r>
            <w:r w:rsidRPr="00321D31">
              <w:rPr>
                <w:sz w:val="22"/>
                <w:szCs w:val="22"/>
              </w:rPr>
              <w:instrText xml:space="preserve"> SEQ Figure \* ARABIC </w:instrText>
            </w:r>
            <w:r w:rsidR="00185C05" w:rsidRPr="00321D31">
              <w:rPr>
                <w:sz w:val="22"/>
                <w:szCs w:val="22"/>
              </w:rPr>
              <w:fldChar w:fldCharType="separate"/>
            </w:r>
            <w:r w:rsidRPr="00321D31">
              <w:rPr>
                <w:noProof/>
                <w:sz w:val="22"/>
                <w:szCs w:val="22"/>
              </w:rPr>
              <w:t>3</w:t>
            </w:r>
            <w:r w:rsidR="00185C05" w:rsidRPr="00321D31">
              <w:rPr>
                <w:sz w:val="22"/>
                <w:szCs w:val="22"/>
              </w:rPr>
              <w:fldChar w:fldCharType="end"/>
            </w:r>
            <w:bookmarkEnd w:id="8"/>
            <w:r w:rsidRPr="00321D31">
              <w:rPr>
                <w:sz w:val="22"/>
                <w:szCs w:val="22"/>
              </w:rPr>
              <w:t>. GDP Growth in EU11 and EU15, percent</w:t>
            </w:r>
          </w:p>
        </w:tc>
      </w:tr>
      <w:tr w:rsidR="0060585A" w:rsidRPr="00D10DF0" w:rsidTr="00390DCF">
        <w:trPr>
          <w:jc w:val="center"/>
        </w:trPr>
        <w:tc>
          <w:tcPr>
            <w:tcW w:w="4484" w:type="dxa"/>
          </w:tcPr>
          <w:p w:rsidR="0060585A" w:rsidRPr="00321D31" w:rsidRDefault="0060585A" w:rsidP="00321D31">
            <w:pPr>
              <w:pStyle w:val="Caption"/>
              <w:keepNext/>
              <w:keepLines/>
              <w:spacing w:before="60" w:after="60" w:line="276" w:lineRule="auto"/>
              <w:jc w:val="center"/>
              <w:rPr>
                <w:sz w:val="24"/>
                <w:szCs w:val="24"/>
              </w:rPr>
            </w:pPr>
            <w:r w:rsidRPr="00321D31">
              <w:rPr>
                <w:sz w:val="22"/>
                <w:szCs w:val="22"/>
                <w:lang w:val="fr-FR"/>
              </w:rPr>
              <w:t>year-on-year 2009-2011</w:t>
            </w:r>
          </w:p>
        </w:tc>
        <w:tc>
          <w:tcPr>
            <w:tcW w:w="5076" w:type="dxa"/>
          </w:tcPr>
          <w:p w:rsidR="0060585A" w:rsidRPr="00321D31" w:rsidRDefault="0060585A" w:rsidP="00321D31">
            <w:pPr>
              <w:pStyle w:val="Caption"/>
              <w:keepNext/>
              <w:keepLines/>
              <w:spacing w:before="60" w:after="60" w:line="276" w:lineRule="auto"/>
              <w:jc w:val="center"/>
              <w:rPr>
                <w:b w:val="0"/>
                <w:bCs w:val="0"/>
                <w:sz w:val="22"/>
                <w:szCs w:val="22"/>
                <w:lang w:val="fr-FR"/>
              </w:rPr>
            </w:pPr>
            <w:r w:rsidRPr="00321D31">
              <w:rPr>
                <w:sz w:val="22"/>
                <w:szCs w:val="22"/>
                <w:lang w:val="fr-FR"/>
              </w:rPr>
              <w:t>quarter-on-quarter sa 1Q 11–1Q 12</w:t>
            </w:r>
          </w:p>
        </w:tc>
      </w:tr>
      <w:tr w:rsidR="0060585A" w:rsidRPr="00321D31" w:rsidTr="00390DCF">
        <w:trPr>
          <w:jc w:val="center"/>
        </w:trPr>
        <w:tc>
          <w:tcPr>
            <w:tcW w:w="4484" w:type="dxa"/>
          </w:tcPr>
          <w:p w:rsidR="0060585A" w:rsidRPr="00321D31" w:rsidRDefault="00A1042F" w:rsidP="00321D31">
            <w:pPr>
              <w:keepNext/>
              <w:keepLines/>
              <w:autoSpaceDE w:val="0"/>
              <w:autoSpaceDN w:val="0"/>
              <w:adjustRightInd w:val="0"/>
              <w:spacing w:line="276" w:lineRule="auto"/>
              <w:rPr>
                <w:b/>
                <w:highlight w:val="yellow"/>
              </w:rPr>
            </w:pPr>
            <w:r>
              <w:rPr>
                <w:b/>
                <w:noProof/>
              </w:rPr>
              <w:drawing>
                <wp:inline distT="0" distB="0" distL="0" distR="0">
                  <wp:extent cx="2800350" cy="16954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800350" cy="1695450"/>
                          </a:xfrm>
                          <a:prstGeom prst="rect">
                            <a:avLst/>
                          </a:prstGeom>
                          <a:noFill/>
                          <a:ln w="9525">
                            <a:noFill/>
                            <a:miter lim="800000"/>
                            <a:headEnd/>
                            <a:tailEnd/>
                          </a:ln>
                        </pic:spPr>
                      </pic:pic>
                    </a:graphicData>
                  </a:graphic>
                </wp:inline>
              </w:drawing>
            </w:r>
          </w:p>
        </w:tc>
        <w:tc>
          <w:tcPr>
            <w:tcW w:w="5076" w:type="dxa"/>
          </w:tcPr>
          <w:p w:rsidR="0060585A" w:rsidRPr="00321D31" w:rsidRDefault="00A1042F" w:rsidP="00321D31">
            <w:pPr>
              <w:keepNext/>
              <w:keepLines/>
              <w:autoSpaceDE w:val="0"/>
              <w:autoSpaceDN w:val="0"/>
              <w:adjustRightInd w:val="0"/>
              <w:spacing w:line="276" w:lineRule="auto"/>
              <w:rPr>
                <w:b/>
                <w:highlight w:val="yellow"/>
              </w:rPr>
            </w:pPr>
            <w:r>
              <w:rPr>
                <w:b/>
                <w:noProof/>
              </w:rPr>
              <w:drawing>
                <wp:inline distT="0" distB="0" distL="0" distR="0">
                  <wp:extent cx="2800350" cy="169545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800350" cy="1695450"/>
                          </a:xfrm>
                          <a:prstGeom prst="rect">
                            <a:avLst/>
                          </a:prstGeom>
                          <a:noFill/>
                          <a:ln w="9525">
                            <a:noFill/>
                            <a:miter lim="800000"/>
                            <a:headEnd/>
                            <a:tailEnd/>
                          </a:ln>
                        </pic:spPr>
                      </pic:pic>
                    </a:graphicData>
                  </a:graphic>
                </wp:inline>
              </w:drawing>
            </w:r>
          </w:p>
        </w:tc>
      </w:tr>
      <w:tr w:rsidR="0060585A" w:rsidRPr="00321D31" w:rsidTr="00390DCF">
        <w:trPr>
          <w:jc w:val="center"/>
        </w:trPr>
        <w:tc>
          <w:tcPr>
            <w:tcW w:w="9560" w:type="dxa"/>
            <w:gridSpan w:val="2"/>
          </w:tcPr>
          <w:p w:rsidR="0060585A" w:rsidRPr="00321D31" w:rsidRDefault="0060585A" w:rsidP="00321D31">
            <w:pPr>
              <w:keepNext/>
              <w:spacing w:before="60" w:after="40" w:line="276" w:lineRule="auto"/>
              <w:rPr>
                <w:i/>
                <w:sz w:val="18"/>
                <w:szCs w:val="18"/>
              </w:rPr>
            </w:pPr>
            <w:r w:rsidRPr="00321D31">
              <w:rPr>
                <w:i/>
                <w:sz w:val="18"/>
                <w:szCs w:val="18"/>
              </w:rPr>
              <w:t xml:space="preserve">Source: </w:t>
            </w:r>
            <w:r w:rsidRPr="00321D31">
              <w:rPr>
                <w:sz w:val="18"/>
                <w:szCs w:val="18"/>
              </w:rPr>
              <w:t>Eurostat, World Bank staff calculations.</w:t>
            </w:r>
            <w:r w:rsidRPr="00321D31">
              <w:rPr>
                <w:i/>
                <w:sz w:val="18"/>
                <w:szCs w:val="18"/>
              </w:rPr>
              <w:t xml:space="preserve"> </w:t>
            </w:r>
          </w:p>
        </w:tc>
      </w:tr>
    </w:tbl>
    <w:p w:rsidR="0060585A" w:rsidRDefault="0060585A" w:rsidP="00E41045">
      <w:pPr>
        <w:spacing w:before="120" w:after="60" w:line="276" w:lineRule="auto"/>
        <w:rPr>
          <w:b/>
        </w:rPr>
      </w:pPr>
    </w:p>
    <w:tbl>
      <w:tblPr>
        <w:tblpPr w:leftFromText="180" w:rightFromText="180" w:vertAnchor="text" w:horzAnchor="margin" w:tblpXSpec="right" w:tblpY="1982"/>
        <w:tblW w:w="4950" w:type="dxa"/>
        <w:tblLook w:val="00A0"/>
      </w:tblPr>
      <w:tblGrid>
        <w:gridCol w:w="4950"/>
      </w:tblGrid>
      <w:tr w:rsidR="0060585A" w:rsidRPr="00321D31" w:rsidTr="00321D31">
        <w:trPr>
          <w:trHeight w:val="760"/>
        </w:trPr>
        <w:tc>
          <w:tcPr>
            <w:tcW w:w="4950" w:type="dxa"/>
          </w:tcPr>
          <w:p w:rsidR="0060585A" w:rsidRPr="00321D31" w:rsidRDefault="0060585A" w:rsidP="000C50E8">
            <w:pPr>
              <w:pStyle w:val="Caption"/>
              <w:keepNext/>
              <w:keepLines/>
              <w:spacing w:before="60" w:after="60" w:line="276" w:lineRule="auto"/>
              <w:jc w:val="left"/>
              <w:rPr>
                <w:sz w:val="22"/>
                <w:szCs w:val="22"/>
              </w:rPr>
            </w:pPr>
            <w:bookmarkStart w:id="9" w:name="_Ref327262536"/>
            <w:r w:rsidRPr="00321D31">
              <w:rPr>
                <w:sz w:val="22"/>
                <w:szCs w:val="22"/>
              </w:rPr>
              <w:lastRenderedPageBreak/>
              <w:t xml:space="preserve">Figure </w:t>
            </w:r>
            <w:r w:rsidR="00185C05" w:rsidRPr="00321D31">
              <w:rPr>
                <w:sz w:val="22"/>
                <w:szCs w:val="22"/>
              </w:rPr>
              <w:fldChar w:fldCharType="begin"/>
            </w:r>
            <w:r w:rsidRPr="00321D31">
              <w:rPr>
                <w:sz w:val="22"/>
                <w:szCs w:val="22"/>
              </w:rPr>
              <w:instrText xml:space="preserve"> SEQ Figure \* ARABIC </w:instrText>
            </w:r>
            <w:r w:rsidR="00185C05" w:rsidRPr="00321D31">
              <w:rPr>
                <w:sz w:val="22"/>
                <w:szCs w:val="22"/>
              </w:rPr>
              <w:fldChar w:fldCharType="separate"/>
            </w:r>
            <w:r w:rsidRPr="00321D31">
              <w:rPr>
                <w:noProof/>
                <w:sz w:val="22"/>
                <w:szCs w:val="22"/>
              </w:rPr>
              <w:t>4</w:t>
            </w:r>
            <w:r w:rsidR="00185C05" w:rsidRPr="00321D31">
              <w:rPr>
                <w:sz w:val="22"/>
                <w:szCs w:val="22"/>
              </w:rPr>
              <w:fldChar w:fldCharType="end"/>
            </w:r>
            <w:bookmarkEnd w:id="9"/>
            <w:r w:rsidRPr="00321D31">
              <w:rPr>
                <w:sz w:val="22"/>
                <w:szCs w:val="22"/>
              </w:rPr>
              <w:t>. GDP Growth in EU11 countries, 2010 to 2011, percent</w:t>
            </w:r>
          </w:p>
        </w:tc>
      </w:tr>
      <w:tr w:rsidR="0060585A" w:rsidRPr="00321D31" w:rsidTr="00321D31">
        <w:trPr>
          <w:trHeight w:val="2946"/>
        </w:trPr>
        <w:tc>
          <w:tcPr>
            <w:tcW w:w="4950" w:type="dxa"/>
          </w:tcPr>
          <w:p w:rsidR="0060585A" w:rsidRPr="00321D31" w:rsidRDefault="00A1042F" w:rsidP="00321D31">
            <w:pPr>
              <w:pStyle w:val="Caption"/>
              <w:keepNext/>
              <w:keepLines/>
              <w:spacing w:before="60" w:after="60" w:line="276" w:lineRule="auto"/>
              <w:rPr>
                <w:sz w:val="22"/>
                <w:szCs w:val="22"/>
              </w:rPr>
            </w:pPr>
            <w:r>
              <w:rPr>
                <w:noProof/>
                <w:sz w:val="22"/>
                <w:szCs w:val="22"/>
              </w:rPr>
              <w:drawing>
                <wp:inline distT="0" distB="0" distL="0" distR="0">
                  <wp:extent cx="2762250" cy="22669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2762250" cy="2266950"/>
                          </a:xfrm>
                          <a:prstGeom prst="rect">
                            <a:avLst/>
                          </a:prstGeom>
                          <a:noFill/>
                          <a:ln w="9525">
                            <a:noFill/>
                            <a:miter lim="800000"/>
                            <a:headEnd/>
                            <a:tailEnd/>
                          </a:ln>
                        </pic:spPr>
                      </pic:pic>
                    </a:graphicData>
                  </a:graphic>
                </wp:inline>
              </w:drawing>
            </w:r>
          </w:p>
        </w:tc>
      </w:tr>
      <w:tr w:rsidR="0060585A" w:rsidRPr="00321D31" w:rsidTr="00321D31">
        <w:trPr>
          <w:trHeight w:val="380"/>
        </w:trPr>
        <w:tc>
          <w:tcPr>
            <w:tcW w:w="4950" w:type="dxa"/>
          </w:tcPr>
          <w:p w:rsidR="0060585A" w:rsidRPr="00321D31" w:rsidRDefault="0060585A" w:rsidP="00321D31">
            <w:pPr>
              <w:keepNext/>
              <w:spacing w:before="60" w:after="40" w:line="276" w:lineRule="auto"/>
              <w:rPr>
                <w:i/>
                <w:sz w:val="18"/>
                <w:szCs w:val="18"/>
              </w:rPr>
            </w:pPr>
            <w:r w:rsidRPr="00321D31">
              <w:rPr>
                <w:i/>
                <w:sz w:val="18"/>
                <w:szCs w:val="18"/>
              </w:rPr>
              <w:t xml:space="preserve">Source: </w:t>
            </w:r>
            <w:r w:rsidRPr="00321D31">
              <w:rPr>
                <w:sz w:val="18"/>
                <w:szCs w:val="18"/>
              </w:rPr>
              <w:t>Eurostat, World Bank staff calculations.</w:t>
            </w:r>
          </w:p>
        </w:tc>
      </w:tr>
    </w:tbl>
    <w:p w:rsidR="0060585A" w:rsidRDefault="0060585A" w:rsidP="00D40FDC">
      <w:pPr>
        <w:spacing w:line="276" w:lineRule="auto"/>
      </w:pPr>
      <w:r>
        <w:rPr>
          <w:b/>
        </w:rPr>
        <w:t>R</w:t>
      </w:r>
      <w:r w:rsidRPr="00EE5C71">
        <w:rPr>
          <w:b/>
        </w:rPr>
        <w:t xml:space="preserve">ecovery </w:t>
      </w:r>
      <w:r>
        <w:rPr>
          <w:b/>
        </w:rPr>
        <w:t>in the EU11 was uneven</w:t>
      </w:r>
      <w:r w:rsidRPr="00EE5C71">
        <w:rPr>
          <w:b/>
        </w:rPr>
        <w:t xml:space="preserve">. </w:t>
      </w:r>
      <w:r>
        <w:rPr>
          <w:b/>
        </w:rPr>
        <w:t xml:space="preserve"> </w:t>
      </w:r>
      <w:r w:rsidRPr="00AB08A5">
        <w:t xml:space="preserve">While the aggregate EU11 GDP was above the pre-crisis level – mainly due to strong performance of </w:t>
      </w:r>
      <w:r>
        <w:t xml:space="preserve">the </w:t>
      </w:r>
      <w:r w:rsidRPr="00AB08A5">
        <w:t xml:space="preserve">Polish, Slovak and Czech economies, – output levels in other countries were still below </w:t>
      </w:r>
      <w:r>
        <w:t xml:space="preserve">their </w:t>
      </w:r>
      <w:r w:rsidRPr="00AB08A5">
        <w:t>pre-crisis</w:t>
      </w:r>
      <w:r>
        <w:t xml:space="preserve"> levels</w:t>
      </w:r>
      <w:r w:rsidRPr="00AB08A5">
        <w:t>.</w:t>
      </w:r>
      <w:r>
        <w:rPr>
          <w:b/>
        </w:rPr>
        <w:t xml:space="preserve">  </w:t>
      </w:r>
      <w:r>
        <w:t>G</w:t>
      </w:r>
      <w:r w:rsidRPr="00EE5C71">
        <w:t xml:space="preserve">rowth rate differences </w:t>
      </w:r>
      <w:r>
        <w:t xml:space="preserve">increased not only </w:t>
      </w:r>
      <w:r w:rsidRPr="00EE5C71">
        <w:t xml:space="preserve">between the EU11 and EU15 </w:t>
      </w:r>
      <w:r>
        <w:t xml:space="preserve">but </w:t>
      </w:r>
      <w:r w:rsidRPr="00EE5C71">
        <w:t>also among the EU11 countries.</w:t>
      </w:r>
      <w:r>
        <w:rPr>
          <w:rStyle w:val="FootnoteReference"/>
        </w:rPr>
        <w:footnoteReference w:id="3"/>
      </w:r>
      <w:r w:rsidRPr="00EE5C71">
        <w:t xml:space="preserve"> The difference between the </w:t>
      </w:r>
      <w:r>
        <w:t>best</w:t>
      </w:r>
      <w:r w:rsidRPr="00EE5C71">
        <w:t xml:space="preserve"> and the worst performer</w:t>
      </w:r>
      <w:r>
        <w:t>s</w:t>
      </w:r>
      <w:r w:rsidRPr="00EE5C71">
        <w:t xml:space="preserve"> widened from 6 percent</w:t>
      </w:r>
      <w:r>
        <w:t>age point</w:t>
      </w:r>
      <w:r w:rsidRPr="00EE5C71">
        <w:t xml:space="preserve"> in 2010</w:t>
      </w:r>
      <w:r>
        <w:t xml:space="preserve"> </w:t>
      </w:r>
      <w:r w:rsidRPr="00EE5C71">
        <w:t xml:space="preserve">to 8 percentage points in 2011. Economic growth in 2011 </w:t>
      </w:r>
      <w:r>
        <w:t xml:space="preserve">exceeded 4 percent </w:t>
      </w:r>
      <w:r w:rsidRPr="00EE5C71">
        <w:t>in Estonia, Lithuania, Latvia</w:t>
      </w:r>
      <w:r>
        <w:t>,</w:t>
      </w:r>
      <w:r w:rsidRPr="00EE5C71">
        <w:t xml:space="preserve"> and Poland</w:t>
      </w:r>
      <w:r>
        <w:t xml:space="preserve"> (</w:t>
      </w:r>
      <w:fldSimple w:instr=" REF _Ref327262536 \h  \* MERGEFORMAT ">
        <w:r w:rsidRPr="005D6031">
          <w:t>Figure 4</w:t>
        </w:r>
      </w:fldSimple>
      <w:r>
        <w:t>).  After two years of negative growth, Romania’s GDP expanded by 2.5 percent, driven by a robust increase in industrial output and agricultural production. Growth in</w:t>
      </w:r>
      <w:r w:rsidRPr="00EE5C71">
        <w:t xml:space="preserve"> Bulgaria, </w:t>
      </w:r>
      <w:r>
        <w:t xml:space="preserve">the </w:t>
      </w:r>
      <w:r w:rsidRPr="00EE5C71">
        <w:t>Czech Republic</w:t>
      </w:r>
      <w:r>
        <w:t>,</w:t>
      </w:r>
      <w:r w:rsidRPr="00EE5C71">
        <w:t xml:space="preserve"> and Hungary</w:t>
      </w:r>
      <w:r>
        <w:t xml:space="preserve"> </w:t>
      </w:r>
      <w:r w:rsidRPr="00EE5C71">
        <w:t>hovered around 2 percent</w:t>
      </w:r>
      <w:r>
        <w:t xml:space="preserve">; and was close to zero in </w:t>
      </w:r>
      <w:r w:rsidRPr="00EE5C71">
        <w:t>Croatia and Slovenia</w:t>
      </w:r>
      <w:r>
        <w:t>.  The widening gaps in growth are worrying because they indicate that countries are not recovering as expected and the process of convergence to the EU15 living standards is likely to take longer.</w:t>
      </w:r>
      <w:r>
        <w:rPr>
          <w:rStyle w:val="FootnoteReference"/>
        </w:rPr>
        <w:footnoteReference w:id="4"/>
      </w:r>
      <w:r>
        <w:t xml:space="preserve"> </w:t>
      </w:r>
    </w:p>
    <w:p w:rsidR="0060585A" w:rsidRDefault="0060585A" w:rsidP="00D40FDC">
      <w:pPr>
        <w:spacing w:line="276" w:lineRule="auto"/>
      </w:pPr>
    </w:p>
    <w:p w:rsidR="0060585A" w:rsidRDefault="0060585A" w:rsidP="00D40FDC">
      <w:pPr>
        <w:spacing w:line="276" w:lineRule="auto"/>
      </w:pPr>
      <w:r>
        <w:rPr>
          <w:b/>
        </w:rPr>
        <w:t xml:space="preserve">The economic rebound in EU11 was driven by manufacturing. </w:t>
      </w:r>
      <w:r>
        <w:t xml:space="preserve">As in </w:t>
      </w:r>
      <w:r w:rsidRPr="00D771BC">
        <w:t>the EU15, manufacturing contributed the most to the</w:t>
      </w:r>
      <w:r w:rsidRPr="002230BA">
        <w:t xml:space="preserve"> expansion of </w:t>
      </w:r>
      <w:r>
        <w:t>output (</w:t>
      </w:r>
      <w:r w:rsidRPr="002230BA">
        <w:t>value added</w:t>
      </w:r>
      <w:r>
        <w:t>) in 2011. Growth in construction, supported by EU-cofinanced investment projects and favorable weather, was much stronger in the EU11 than in the EU15 (</w:t>
      </w:r>
      <w:fldSimple w:instr=" REF _Ref327262553 \h  \* MERGEFORMAT ">
        <w:r w:rsidRPr="005D6031">
          <w:t>Figure 5</w:t>
        </w:r>
      </w:fldSimple>
      <w:r>
        <w:t xml:space="preserve">). </w:t>
      </w:r>
    </w:p>
    <w:p w:rsidR="0060585A" w:rsidRPr="00D40FDC" w:rsidRDefault="0060585A" w:rsidP="00D40FDC">
      <w:pPr>
        <w:spacing w:line="276" w:lineRule="auto"/>
      </w:pPr>
    </w:p>
    <w:tbl>
      <w:tblPr>
        <w:tblW w:w="9583" w:type="dxa"/>
        <w:jc w:val="center"/>
        <w:tblInd w:w="671" w:type="dxa"/>
        <w:tblLook w:val="00A0"/>
      </w:tblPr>
      <w:tblGrid>
        <w:gridCol w:w="4716"/>
        <w:gridCol w:w="4867"/>
      </w:tblGrid>
      <w:tr w:rsidR="0060585A" w:rsidRPr="00321D31" w:rsidTr="00390DCF">
        <w:trPr>
          <w:jc w:val="center"/>
        </w:trPr>
        <w:tc>
          <w:tcPr>
            <w:tcW w:w="9583" w:type="dxa"/>
            <w:gridSpan w:val="2"/>
          </w:tcPr>
          <w:p w:rsidR="0060585A" w:rsidRPr="00321D31" w:rsidRDefault="0060585A" w:rsidP="000C50E8">
            <w:pPr>
              <w:pStyle w:val="Caption"/>
              <w:keepNext/>
              <w:keepLines/>
              <w:spacing w:before="60" w:after="60" w:line="276" w:lineRule="auto"/>
              <w:jc w:val="left"/>
              <w:rPr>
                <w:sz w:val="22"/>
                <w:szCs w:val="22"/>
              </w:rPr>
            </w:pPr>
            <w:bookmarkStart w:id="10" w:name="_Ref327262553"/>
            <w:r w:rsidRPr="00321D31">
              <w:rPr>
                <w:sz w:val="22"/>
                <w:szCs w:val="22"/>
              </w:rPr>
              <w:lastRenderedPageBreak/>
              <w:t xml:space="preserve">Figure </w:t>
            </w:r>
            <w:r w:rsidR="00185C05" w:rsidRPr="00321D31">
              <w:rPr>
                <w:sz w:val="22"/>
                <w:szCs w:val="22"/>
              </w:rPr>
              <w:fldChar w:fldCharType="begin"/>
            </w:r>
            <w:r w:rsidRPr="00321D31">
              <w:rPr>
                <w:sz w:val="22"/>
                <w:szCs w:val="22"/>
              </w:rPr>
              <w:instrText xml:space="preserve"> SEQ Figure \* ARABIC </w:instrText>
            </w:r>
            <w:r w:rsidR="00185C05" w:rsidRPr="00321D31">
              <w:rPr>
                <w:sz w:val="22"/>
                <w:szCs w:val="22"/>
              </w:rPr>
              <w:fldChar w:fldCharType="separate"/>
            </w:r>
            <w:r w:rsidRPr="00321D31">
              <w:rPr>
                <w:noProof/>
                <w:sz w:val="22"/>
                <w:szCs w:val="22"/>
              </w:rPr>
              <w:t>5</w:t>
            </w:r>
            <w:r w:rsidR="00185C05" w:rsidRPr="00321D31">
              <w:rPr>
                <w:sz w:val="22"/>
                <w:szCs w:val="22"/>
              </w:rPr>
              <w:fldChar w:fldCharType="end"/>
            </w:r>
            <w:bookmarkEnd w:id="10"/>
            <w:r w:rsidRPr="00321D31">
              <w:rPr>
                <w:sz w:val="22"/>
                <w:szCs w:val="22"/>
              </w:rPr>
              <w:t>. Contributions to Value-Added Growth</w:t>
            </w:r>
          </w:p>
        </w:tc>
      </w:tr>
      <w:tr w:rsidR="0060585A" w:rsidRPr="00321D31" w:rsidTr="00390DCF">
        <w:trPr>
          <w:jc w:val="center"/>
        </w:trPr>
        <w:tc>
          <w:tcPr>
            <w:tcW w:w="4464" w:type="dxa"/>
          </w:tcPr>
          <w:p w:rsidR="0060585A" w:rsidRPr="00321D31" w:rsidRDefault="0060585A" w:rsidP="00321D31">
            <w:pPr>
              <w:pStyle w:val="Caption"/>
              <w:keepNext/>
              <w:keepLines/>
              <w:spacing w:after="0" w:line="276" w:lineRule="auto"/>
              <w:jc w:val="center"/>
              <w:rPr>
                <w:sz w:val="22"/>
                <w:szCs w:val="22"/>
              </w:rPr>
            </w:pPr>
            <w:r w:rsidRPr="00321D31">
              <w:rPr>
                <w:sz w:val="22"/>
                <w:szCs w:val="22"/>
              </w:rPr>
              <w:t>EU11</w:t>
            </w:r>
          </w:p>
        </w:tc>
        <w:tc>
          <w:tcPr>
            <w:tcW w:w="5119" w:type="dxa"/>
          </w:tcPr>
          <w:p w:rsidR="0060585A" w:rsidRPr="00321D31" w:rsidRDefault="0060585A" w:rsidP="00321D31">
            <w:pPr>
              <w:pStyle w:val="Caption"/>
              <w:keepNext/>
              <w:keepLines/>
              <w:spacing w:after="0" w:line="276" w:lineRule="auto"/>
              <w:jc w:val="center"/>
              <w:rPr>
                <w:sz w:val="22"/>
                <w:szCs w:val="22"/>
              </w:rPr>
            </w:pPr>
            <w:r w:rsidRPr="00321D31">
              <w:rPr>
                <w:sz w:val="22"/>
                <w:szCs w:val="22"/>
              </w:rPr>
              <w:t>EU15</w:t>
            </w:r>
          </w:p>
        </w:tc>
      </w:tr>
      <w:tr w:rsidR="0060585A" w:rsidRPr="00321D31" w:rsidTr="00390DCF">
        <w:trPr>
          <w:jc w:val="center"/>
        </w:trPr>
        <w:tc>
          <w:tcPr>
            <w:tcW w:w="9583" w:type="dxa"/>
            <w:gridSpan w:val="2"/>
          </w:tcPr>
          <w:p w:rsidR="0060585A" w:rsidRPr="00321D31" w:rsidRDefault="00A1042F" w:rsidP="00321D31">
            <w:pPr>
              <w:pStyle w:val="Caption"/>
              <w:keepNext/>
              <w:keepLines/>
              <w:spacing w:before="40" w:after="0" w:line="276" w:lineRule="auto"/>
              <w:jc w:val="center"/>
              <w:rPr>
                <w:sz w:val="22"/>
                <w:szCs w:val="22"/>
              </w:rPr>
            </w:pPr>
            <w:r>
              <w:rPr>
                <w:noProof/>
                <w:sz w:val="22"/>
                <w:szCs w:val="22"/>
              </w:rPr>
              <w:drawing>
                <wp:inline distT="0" distB="0" distL="0" distR="0">
                  <wp:extent cx="4476750" cy="11430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l="3044" t="6328" r="3044" b="85243"/>
                          <a:stretch>
                            <a:fillRect/>
                          </a:stretch>
                        </pic:blipFill>
                        <pic:spPr bwMode="auto">
                          <a:xfrm>
                            <a:off x="0" y="0"/>
                            <a:ext cx="4476750" cy="114300"/>
                          </a:xfrm>
                          <a:prstGeom prst="rect">
                            <a:avLst/>
                          </a:prstGeom>
                          <a:noFill/>
                          <a:ln w="9525">
                            <a:noFill/>
                            <a:miter lim="800000"/>
                            <a:headEnd/>
                            <a:tailEnd/>
                          </a:ln>
                        </pic:spPr>
                      </pic:pic>
                    </a:graphicData>
                  </a:graphic>
                </wp:inline>
              </w:drawing>
            </w:r>
          </w:p>
        </w:tc>
      </w:tr>
      <w:tr w:rsidR="0060585A" w:rsidRPr="00321D31" w:rsidTr="00390DCF">
        <w:trPr>
          <w:jc w:val="center"/>
        </w:trPr>
        <w:tc>
          <w:tcPr>
            <w:tcW w:w="4464" w:type="dxa"/>
          </w:tcPr>
          <w:p w:rsidR="0060585A" w:rsidRPr="00321D31" w:rsidRDefault="00A1042F" w:rsidP="00321D31">
            <w:pPr>
              <w:spacing w:before="40" w:after="60" w:line="276" w:lineRule="auto"/>
              <w:rPr>
                <w:b/>
              </w:rPr>
            </w:pPr>
            <w:r>
              <w:rPr>
                <w:b/>
                <w:noProof/>
              </w:rPr>
              <w:drawing>
                <wp:inline distT="0" distB="0" distL="0" distR="0">
                  <wp:extent cx="2838450" cy="16192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2838450" cy="1619250"/>
                          </a:xfrm>
                          <a:prstGeom prst="rect">
                            <a:avLst/>
                          </a:prstGeom>
                          <a:noFill/>
                          <a:ln w="9525">
                            <a:noFill/>
                            <a:miter lim="800000"/>
                            <a:headEnd/>
                            <a:tailEnd/>
                          </a:ln>
                        </pic:spPr>
                      </pic:pic>
                    </a:graphicData>
                  </a:graphic>
                </wp:inline>
              </w:drawing>
            </w:r>
          </w:p>
        </w:tc>
        <w:tc>
          <w:tcPr>
            <w:tcW w:w="5119" w:type="dxa"/>
          </w:tcPr>
          <w:p w:rsidR="0060585A" w:rsidRPr="00321D31" w:rsidRDefault="00A1042F" w:rsidP="00321D31">
            <w:pPr>
              <w:spacing w:before="40" w:after="60" w:line="276" w:lineRule="auto"/>
              <w:rPr>
                <w:b/>
              </w:rPr>
            </w:pPr>
            <w:r>
              <w:rPr>
                <w:b/>
                <w:noProof/>
              </w:rPr>
              <w:drawing>
                <wp:inline distT="0" distB="0" distL="0" distR="0">
                  <wp:extent cx="2705100" cy="16002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2705100" cy="1600200"/>
                          </a:xfrm>
                          <a:prstGeom prst="rect">
                            <a:avLst/>
                          </a:prstGeom>
                          <a:noFill/>
                          <a:ln w="9525">
                            <a:noFill/>
                            <a:miter lim="800000"/>
                            <a:headEnd/>
                            <a:tailEnd/>
                          </a:ln>
                        </pic:spPr>
                      </pic:pic>
                    </a:graphicData>
                  </a:graphic>
                </wp:inline>
              </w:drawing>
            </w:r>
          </w:p>
        </w:tc>
      </w:tr>
      <w:tr w:rsidR="0060585A" w:rsidRPr="00321D31" w:rsidTr="00390DCF">
        <w:trPr>
          <w:jc w:val="center"/>
        </w:trPr>
        <w:tc>
          <w:tcPr>
            <w:tcW w:w="4464" w:type="dxa"/>
          </w:tcPr>
          <w:p w:rsidR="0060585A" w:rsidRPr="00321D31" w:rsidRDefault="0060585A" w:rsidP="00321D31">
            <w:pPr>
              <w:keepNext/>
              <w:spacing w:before="60" w:after="40" w:line="276" w:lineRule="auto"/>
              <w:rPr>
                <w:i/>
                <w:sz w:val="18"/>
                <w:szCs w:val="18"/>
              </w:rPr>
            </w:pPr>
            <w:r w:rsidRPr="00321D31">
              <w:rPr>
                <w:i/>
                <w:sz w:val="18"/>
                <w:szCs w:val="18"/>
              </w:rPr>
              <w:t xml:space="preserve">Source: </w:t>
            </w:r>
            <w:r w:rsidRPr="00321D31">
              <w:rPr>
                <w:sz w:val="18"/>
                <w:szCs w:val="18"/>
              </w:rPr>
              <w:t>Eurostat, World Bank staff calculations.</w:t>
            </w:r>
          </w:p>
          <w:p w:rsidR="0060585A" w:rsidRPr="00321D31" w:rsidRDefault="0060585A" w:rsidP="00321D31">
            <w:pPr>
              <w:keepNext/>
              <w:spacing w:before="60" w:after="40" w:line="276" w:lineRule="auto"/>
              <w:rPr>
                <w:i/>
                <w:sz w:val="18"/>
                <w:szCs w:val="18"/>
              </w:rPr>
            </w:pPr>
            <w:r w:rsidRPr="00321D31">
              <w:rPr>
                <w:i/>
                <w:sz w:val="18"/>
                <w:szCs w:val="18"/>
              </w:rPr>
              <w:t xml:space="preserve">Notes: </w:t>
            </w:r>
            <w:r w:rsidRPr="00321D31">
              <w:rPr>
                <w:sz w:val="18"/>
                <w:szCs w:val="18"/>
              </w:rPr>
              <w:t>Data for Croatia and Romania are not included.</w:t>
            </w:r>
          </w:p>
        </w:tc>
        <w:tc>
          <w:tcPr>
            <w:tcW w:w="5119" w:type="dxa"/>
          </w:tcPr>
          <w:p w:rsidR="0060585A" w:rsidRPr="00321D31" w:rsidRDefault="0060585A" w:rsidP="00321D31">
            <w:pPr>
              <w:keepNext/>
              <w:spacing w:before="60" w:after="40" w:line="276" w:lineRule="auto"/>
              <w:rPr>
                <w:i/>
                <w:sz w:val="18"/>
                <w:szCs w:val="18"/>
              </w:rPr>
            </w:pPr>
          </w:p>
        </w:tc>
      </w:tr>
    </w:tbl>
    <w:p w:rsidR="0060585A" w:rsidRPr="00EE5C71" w:rsidRDefault="0060585A" w:rsidP="00D40FDC">
      <w:pPr>
        <w:spacing w:line="276" w:lineRule="auto"/>
        <w:rPr>
          <w:b/>
        </w:rPr>
      </w:pPr>
    </w:p>
    <w:p w:rsidR="0060585A" w:rsidRDefault="0060585A" w:rsidP="00D40FDC">
      <w:pPr>
        <w:spacing w:line="276" w:lineRule="auto"/>
      </w:pPr>
      <w:r w:rsidRPr="00EE5C71">
        <w:rPr>
          <w:b/>
        </w:rPr>
        <w:t>EU11 economic growth was broad-based</w:t>
      </w:r>
      <w:r>
        <w:rPr>
          <w:b/>
        </w:rPr>
        <w:t xml:space="preserve"> in 2011</w:t>
      </w:r>
      <w:r w:rsidRPr="00EE5C71">
        <w:rPr>
          <w:b/>
        </w:rPr>
        <w:t>.</w:t>
      </w:r>
      <w:r>
        <w:rPr>
          <w:b/>
        </w:rPr>
        <w:t xml:space="preserve"> </w:t>
      </w:r>
      <w:r w:rsidRPr="00D40FDC">
        <w:t>A breakdown</w:t>
      </w:r>
      <w:r w:rsidRPr="00EE5C71">
        <w:t xml:space="preserve"> of GDP </w:t>
      </w:r>
      <w:r>
        <w:t xml:space="preserve">expenditure </w:t>
      </w:r>
      <w:r w:rsidRPr="00EE5C71">
        <w:t xml:space="preserve">components shows that </w:t>
      </w:r>
      <w:r>
        <w:t xml:space="preserve">EU11 </w:t>
      </w:r>
      <w:r w:rsidRPr="00EE5C71">
        <w:t>growth was balanced and driven by investment, net exports</w:t>
      </w:r>
      <w:r>
        <w:t>,</w:t>
      </w:r>
      <w:r w:rsidRPr="00EE5C71">
        <w:t xml:space="preserve"> and consumption</w:t>
      </w:r>
      <w:r>
        <w:t xml:space="preserve"> (</w:t>
      </w:r>
      <w:fldSimple w:instr=" REF _Ref327262598 \h  \* MERGEFORMAT ">
        <w:r w:rsidRPr="005D6031">
          <w:t>Figure 6</w:t>
        </w:r>
      </w:fldSimple>
      <w:r>
        <w:t xml:space="preserve">). </w:t>
      </w:r>
      <w:r w:rsidRPr="00EE5C71">
        <w:t xml:space="preserve">In contrast, external demand was </w:t>
      </w:r>
      <w:r>
        <w:t xml:space="preserve">what </w:t>
      </w:r>
      <w:r w:rsidRPr="00EE5C71">
        <w:t>main</w:t>
      </w:r>
      <w:r>
        <w:t>ly</w:t>
      </w:r>
      <w:r w:rsidRPr="00EE5C71">
        <w:t xml:space="preserve"> support</w:t>
      </w:r>
      <w:r>
        <w:t>ed</w:t>
      </w:r>
      <w:r w:rsidRPr="00EE5C71">
        <w:t xml:space="preserve"> growth in the EU15. Throughout the year, </w:t>
      </w:r>
      <w:r>
        <w:t xml:space="preserve">in the EU 11, </w:t>
      </w:r>
      <w:r w:rsidRPr="00EE5C71">
        <w:t>fuelled by projects co-financed</w:t>
      </w:r>
      <w:r>
        <w:t xml:space="preserve"> by the </w:t>
      </w:r>
      <w:r w:rsidRPr="00EE5C71">
        <w:t>EU</w:t>
      </w:r>
      <w:r>
        <w:t xml:space="preserve">, investment </w:t>
      </w:r>
      <w:r w:rsidRPr="00EE5C71">
        <w:t>increasingly supported growth</w:t>
      </w:r>
      <w:r>
        <w:t>. Meanwhile</w:t>
      </w:r>
      <w:r w:rsidRPr="00EE5C71">
        <w:t>, investment declined in EU15 countries amid uncertainty about near-term growth prospects and tight</w:t>
      </w:r>
      <w:r>
        <w:t>ened</w:t>
      </w:r>
      <w:r w:rsidRPr="00EE5C71">
        <w:t xml:space="preserve"> credit conditions. </w:t>
      </w:r>
      <w:r>
        <w:t xml:space="preserve"> In the EU11, </w:t>
      </w:r>
      <w:r w:rsidRPr="00EE5C71">
        <w:t xml:space="preserve">inventory, which </w:t>
      </w:r>
      <w:r>
        <w:t xml:space="preserve">had been a key </w:t>
      </w:r>
      <w:r w:rsidRPr="00EE5C71">
        <w:t xml:space="preserve">driver of growth in 2010, </w:t>
      </w:r>
      <w:r>
        <w:t xml:space="preserve">was </w:t>
      </w:r>
      <w:r w:rsidRPr="00EE5C71">
        <w:t xml:space="preserve">still </w:t>
      </w:r>
      <w:r>
        <w:t xml:space="preserve">a growth factor </w:t>
      </w:r>
      <w:r w:rsidRPr="00EE5C71">
        <w:t xml:space="preserve">in the first half </w:t>
      </w:r>
      <w:r>
        <w:t xml:space="preserve">of </w:t>
      </w:r>
      <w:r w:rsidRPr="00EE5C71">
        <w:t>2011</w:t>
      </w:r>
      <w:r>
        <w:t xml:space="preserve">.  Inventory began </w:t>
      </w:r>
      <w:r w:rsidRPr="00EE5C71">
        <w:t xml:space="preserve">to weigh on growth in the last quarter of </w:t>
      </w:r>
      <w:r>
        <w:t>2011 because of destocking as the</w:t>
      </w:r>
      <w:r w:rsidRPr="00EE5C71">
        <w:t xml:space="preserve"> outlook</w:t>
      </w:r>
      <w:r>
        <w:t xml:space="preserve"> deteriorated</w:t>
      </w:r>
      <w:r w:rsidRPr="00EE5C71">
        <w:t>.</w:t>
      </w:r>
      <w:r>
        <w:t xml:space="preserve"> </w:t>
      </w:r>
    </w:p>
    <w:p w:rsidR="0060585A" w:rsidRDefault="0060585A" w:rsidP="00D40FDC">
      <w:pPr>
        <w:spacing w:line="276" w:lineRule="auto"/>
      </w:pPr>
    </w:p>
    <w:tbl>
      <w:tblPr>
        <w:tblW w:w="9558" w:type="dxa"/>
        <w:jc w:val="center"/>
        <w:tblInd w:w="594" w:type="dxa"/>
        <w:tblLook w:val="00A0"/>
      </w:tblPr>
      <w:tblGrid>
        <w:gridCol w:w="4806"/>
        <w:gridCol w:w="4806"/>
      </w:tblGrid>
      <w:tr w:rsidR="0060585A" w:rsidRPr="00321D31" w:rsidTr="00390DCF">
        <w:trPr>
          <w:jc w:val="center"/>
        </w:trPr>
        <w:tc>
          <w:tcPr>
            <w:tcW w:w="9558" w:type="dxa"/>
            <w:gridSpan w:val="2"/>
          </w:tcPr>
          <w:p w:rsidR="0060585A" w:rsidRPr="00321D31" w:rsidRDefault="0060585A" w:rsidP="000C50E8">
            <w:pPr>
              <w:pStyle w:val="Caption"/>
              <w:keepNext/>
              <w:keepLines/>
              <w:spacing w:before="60" w:after="60" w:line="276" w:lineRule="auto"/>
              <w:jc w:val="left"/>
              <w:rPr>
                <w:sz w:val="22"/>
                <w:szCs w:val="22"/>
              </w:rPr>
            </w:pPr>
            <w:bookmarkStart w:id="11" w:name="_Ref327262598"/>
            <w:r w:rsidRPr="00321D31">
              <w:rPr>
                <w:sz w:val="22"/>
                <w:szCs w:val="22"/>
              </w:rPr>
              <w:t xml:space="preserve">Figure </w:t>
            </w:r>
            <w:r w:rsidR="00185C05" w:rsidRPr="00321D31">
              <w:rPr>
                <w:sz w:val="22"/>
                <w:szCs w:val="22"/>
              </w:rPr>
              <w:fldChar w:fldCharType="begin"/>
            </w:r>
            <w:r w:rsidRPr="00321D31">
              <w:rPr>
                <w:sz w:val="22"/>
                <w:szCs w:val="22"/>
              </w:rPr>
              <w:instrText xml:space="preserve"> SEQ Figure \* ARABIC </w:instrText>
            </w:r>
            <w:r w:rsidR="00185C05" w:rsidRPr="00321D31">
              <w:rPr>
                <w:sz w:val="22"/>
                <w:szCs w:val="22"/>
              </w:rPr>
              <w:fldChar w:fldCharType="separate"/>
            </w:r>
            <w:r w:rsidRPr="00321D31">
              <w:rPr>
                <w:noProof/>
                <w:sz w:val="22"/>
                <w:szCs w:val="22"/>
              </w:rPr>
              <w:t>6</w:t>
            </w:r>
            <w:r w:rsidR="00185C05" w:rsidRPr="00321D31">
              <w:rPr>
                <w:sz w:val="22"/>
                <w:szCs w:val="22"/>
              </w:rPr>
              <w:fldChar w:fldCharType="end"/>
            </w:r>
            <w:bookmarkEnd w:id="11"/>
            <w:r w:rsidRPr="00321D31">
              <w:rPr>
                <w:sz w:val="22"/>
                <w:szCs w:val="22"/>
              </w:rPr>
              <w:t>. Contributors to GDP Growth, EU11 and EU15, percent</w:t>
            </w:r>
          </w:p>
        </w:tc>
      </w:tr>
      <w:tr w:rsidR="0060585A" w:rsidRPr="00321D31" w:rsidTr="00390DCF">
        <w:trPr>
          <w:jc w:val="center"/>
        </w:trPr>
        <w:tc>
          <w:tcPr>
            <w:tcW w:w="4581" w:type="dxa"/>
          </w:tcPr>
          <w:p w:rsidR="0060585A" w:rsidRPr="00321D31" w:rsidRDefault="0060585A" w:rsidP="00321D31">
            <w:pPr>
              <w:pStyle w:val="Caption"/>
              <w:keepNext/>
              <w:keepLines/>
              <w:spacing w:after="0" w:line="276" w:lineRule="auto"/>
              <w:jc w:val="center"/>
              <w:rPr>
                <w:sz w:val="22"/>
                <w:szCs w:val="22"/>
              </w:rPr>
            </w:pPr>
            <w:r w:rsidRPr="00321D31">
              <w:rPr>
                <w:sz w:val="22"/>
                <w:szCs w:val="22"/>
              </w:rPr>
              <w:t>EU11</w:t>
            </w:r>
          </w:p>
        </w:tc>
        <w:tc>
          <w:tcPr>
            <w:tcW w:w="4977" w:type="dxa"/>
          </w:tcPr>
          <w:p w:rsidR="0060585A" w:rsidRPr="00321D31" w:rsidRDefault="0060585A" w:rsidP="00321D31">
            <w:pPr>
              <w:pStyle w:val="Caption"/>
              <w:keepNext/>
              <w:keepLines/>
              <w:spacing w:after="0" w:line="276" w:lineRule="auto"/>
              <w:jc w:val="center"/>
              <w:rPr>
                <w:sz w:val="22"/>
                <w:szCs w:val="22"/>
              </w:rPr>
            </w:pPr>
            <w:r w:rsidRPr="00321D31">
              <w:rPr>
                <w:sz w:val="22"/>
                <w:szCs w:val="22"/>
              </w:rPr>
              <w:t>EU15</w:t>
            </w:r>
          </w:p>
        </w:tc>
      </w:tr>
      <w:tr w:rsidR="0060585A" w:rsidRPr="00321D31" w:rsidTr="00390DCF">
        <w:trPr>
          <w:jc w:val="center"/>
        </w:trPr>
        <w:tc>
          <w:tcPr>
            <w:tcW w:w="4581" w:type="dxa"/>
          </w:tcPr>
          <w:p w:rsidR="0060585A" w:rsidRPr="00321D31" w:rsidRDefault="00A1042F" w:rsidP="00321D31">
            <w:pPr>
              <w:spacing w:line="276" w:lineRule="auto"/>
              <w:rPr>
                <w:b/>
              </w:rPr>
            </w:pPr>
            <w:r>
              <w:rPr>
                <w:b/>
                <w:noProof/>
              </w:rPr>
              <w:drawing>
                <wp:inline distT="0" distB="0" distL="0" distR="0">
                  <wp:extent cx="2895600" cy="17145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2895600" cy="1714500"/>
                          </a:xfrm>
                          <a:prstGeom prst="rect">
                            <a:avLst/>
                          </a:prstGeom>
                          <a:noFill/>
                          <a:ln w="9525">
                            <a:noFill/>
                            <a:miter lim="800000"/>
                            <a:headEnd/>
                            <a:tailEnd/>
                          </a:ln>
                        </pic:spPr>
                      </pic:pic>
                    </a:graphicData>
                  </a:graphic>
                </wp:inline>
              </w:drawing>
            </w:r>
          </w:p>
        </w:tc>
        <w:tc>
          <w:tcPr>
            <w:tcW w:w="4977" w:type="dxa"/>
          </w:tcPr>
          <w:p w:rsidR="0060585A" w:rsidRPr="00321D31" w:rsidRDefault="00A1042F" w:rsidP="00321D31">
            <w:pPr>
              <w:spacing w:line="276" w:lineRule="auto"/>
              <w:rPr>
                <w:b/>
              </w:rPr>
            </w:pPr>
            <w:r>
              <w:rPr>
                <w:b/>
                <w:noProof/>
              </w:rPr>
              <w:drawing>
                <wp:inline distT="0" distB="0" distL="0" distR="0">
                  <wp:extent cx="2895600" cy="1733550"/>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2895600" cy="1733550"/>
                          </a:xfrm>
                          <a:prstGeom prst="rect">
                            <a:avLst/>
                          </a:prstGeom>
                          <a:noFill/>
                          <a:ln w="9525">
                            <a:noFill/>
                            <a:miter lim="800000"/>
                            <a:headEnd/>
                            <a:tailEnd/>
                          </a:ln>
                        </pic:spPr>
                      </pic:pic>
                    </a:graphicData>
                  </a:graphic>
                </wp:inline>
              </w:drawing>
            </w:r>
          </w:p>
        </w:tc>
      </w:tr>
      <w:tr w:rsidR="0060585A" w:rsidRPr="00321D31" w:rsidTr="00390DCF">
        <w:trPr>
          <w:jc w:val="center"/>
        </w:trPr>
        <w:tc>
          <w:tcPr>
            <w:tcW w:w="4581" w:type="dxa"/>
          </w:tcPr>
          <w:p w:rsidR="0060585A" w:rsidRPr="00321D31" w:rsidRDefault="0060585A" w:rsidP="00321D31">
            <w:pPr>
              <w:keepNext/>
              <w:spacing w:before="60" w:after="40" w:line="276" w:lineRule="auto"/>
              <w:rPr>
                <w:sz w:val="18"/>
                <w:szCs w:val="18"/>
              </w:rPr>
            </w:pPr>
            <w:r w:rsidRPr="00321D31">
              <w:rPr>
                <w:i/>
                <w:sz w:val="18"/>
                <w:szCs w:val="18"/>
              </w:rPr>
              <w:t xml:space="preserve">Source: </w:t>
            </w:r>
            <w:r w:rsidRPr="00321D31">
              <w:rPr>
                <w:sz w:val="18"/>
                <w:szCs w:val="18"/>
              </w:rPr>
              <w:t>Eurostat, World Bank staff calculations.</w:t>
            </w:r>
          </w:p>
          <w:p w:rsidR="0060585A" w:rsidRPr="00321D31" w:rsidRDefault="0060585A" w:rsidP="00321D31">
            <w:pPr>
              <w:keepNext/>
              <w:spacing w:before="60" w:after="40" w:line="276" w:lineRule="auto"/>
              <w:rPr>
                <w:i/>
                <w:sz w:val="18"/>
                <w:szCs w:val="18"/>
              </w:rPr>
            </w:pPr>
            <w:r w:rsidRPr="00321D31">
              <w:rPr>
                <w:i/>
                <w:sz w:val="18"/>
                <w:szCs w:val="18"/>
              </w:rPr>
              <w:t>Note:</w:t>
            </w:r>
            <w:r w:rsidRPr="00321D31">
              <w:rPr>
                <w:sz w:val="18"/>
                <w:szCs w:val="18"/>
              </w:rPr>
              <w:t xml:space="preserve"> Other refers to statistical discrepancy</w:t>
            </w:r>
          </w:p>
        </w:tc>
        <w:tc>
          <w:tcPr>
            <w:tcW w:w="4977" w:type="dxa"/>
          </w:tcPr>
          <w:p w:rsidR="0060585A" w:rsidRPr="00321D31" w:rsidRDefault="0060585A" w:rsidP="00321D31">
            <w:pPr>
              <w:spacing w:line="276" w:lineRule="auto"/>
              <w:rPr>
                <w:i/>
                <w:sz w:val="20"/>
              </w:rPr>
            </w:pPr>
          </w:p>
        </w:tc>
      </w:tr>
    </w:tbl>
    <w:p w:rsidR="0060585A" w:rsidRDefault="0060585A" w:rsidP="00D40FDC">
      <w:pPr>
        <w:spacing w:line="276" w:lineRule="auto"/>
        <w:rPr>
          <w:b/>
        </w:rPr>
      </w:pPr>
    </w:p>
    <w:p w:rsidR="0060585A" w:rsidRDefault="0060585A" w:rsidP="00D40FDC">
      <w:pPr>
        <w:spacing w:line="276" w:lineRule="auto"/>
      </w:pPr>
      <w:r>
        <w:rPr>
          <w:b/>
        </w:rPr>
        <w:lastRenderedPageBreak/>
        <w:t>T</w:t>
      </w:r>
      <w:r w:rsidRPr="00EE5C71">
        <w:rPr>
          <w:b/>
        </w:rPr>
        <w:t xml:space="preserve">he </w:t>
      </w:r>
      <w:r>
        <w:rPr>
          <w:b/>
        </w:rPr>
        <w:t xml:space="preserve">broad-based EU11 </w:t>
      </w:r>
      <w:r w:rsidRPr="00EE5C71">
        <w:rPr>
          <w:b/>
        </w:rPr>
        <w:t xml:space="preserve">growth conceals large country differences. </w:t>
      </w:r>
      <w:r w:rsidRPr="00EE5C71">
        <w:t xml:space="preserve">Despite lower demand for EU11 exports in several European trade partners, exports </w:t>
      </w:r>
      <w:r>
        <w:t xml:space="preserve">stayed </w:t>
      </w:r>
      <w:r w:rsidRPr="00EE5C71">
        <w:t>strong throughout 2011</w:t>
      </w:r>
      <w:r>
        <w:t xml:space="preserve">. EU11 exports rose on the back of </w:t>
      </w:r>
      <w:r w:rsidRPr="00EE5C71">
        <w:t>competitiveness gains stemming from the real depreciation of currencies</w:t>
      </w:r>
      <w:r>
        <w:t xml:space="preserve"> </w:t>
      </w:r>
      <w:r w:rsidRPr="00EE5C71">
        <w:t>and declining unit labor costs.</w:t>
      </w:r>
      <w:r w:rsidRPr="00E31054">
        <w:rPr>
          <w:vertAlign w:val="superscript"/>
        </w:rPr>
        <w:footnoteReference w:id="5"/>
      </w:r>
      <w:r w:rsidRPr="00EE5C71">
        <w:t xml:space="preserve"> In fact, in Slovakia, the Czech Republic, Hungary</w:t>
      </w:r>
      <w:r>
        <w:t>,</w:t>
      </w:r>
      <w:r w:rsidRPr="00EE5C71">
        <w:t xml:space="preserve"> and Bulgaria</w:t>
      </w:r>
      <w:r>
        <w:t xml:space="preserve"> </w:t>
      </w:r>
      <w:r w:rsidRPr="00EE5C71">
        <w:t>growth was driven primarily by net exports</w:t>
      </w:r>
      <w:r>
        <w:t xml:space="preserve"> (</w:t>
      </w:r>
      <w:fldSimple w:instr=" REF _Ref327262686 \h  \* MERGEFORMAT ">
        <w:r w:rsidRPr="005D6031">
          <w:t>Figure 7</w:t>
        </w:r>
      </w:fldSimple>
      <w:r>
        <w:t>)</w:t>
      </w:r>
      <w:r w:rsidRPr="00EE5C71">
        <w:t xml:space="preserve">. </w:t>
      </w:r>
      <w:r>
        <w:t>D</w:t>
      </w:r>
      <w:r w:rsidRPr="00EE5C71">
        <w:t>omestic demand</w:t>
      </w:r>
      <w:r>
        <w:t>,</w:t>
      </w:r>
      <w:r w:rsidRPr="00EE5C71">
        <w:t xml:space="preserve"> </w:t>
      </w:r>
      <w:r>
        <w:t xml:space="preserve">supported </w:t>
      </w:r>
      <w:r w:rsidRPr="00EE5C71">
        <w:t>by both consumption and investment</w:t>
      </w:r>
      <w:r>
        <w:t>,</w:t>
      </w:r>
      <w:r w:rsidRPr="00EE5C71">
        <w:t xml:space="preserve"> </w:t>
      </w:r>
      <w:r>
        <w:t xml:space="preserve">was a major contributor to </w:t>
      </w:r>
      <w:r w:rsidRPr="00EE5C71">
        <w:t>growth in Estonia, Latvia, Lithuania, Poland</w:t>
      </w:r>
      <w:r>
        <w:t>,</w:t>
      </w:r>
      <w:r w:rsidRPr="00EE5C71">
        <w:t xml:space="preserve"> and to a lesser extent Romania. </w:t>
      </w:r>
      <w:r>
        <w:t xml:space="preserve">This is particularly striking in the Baltic countries, where growth in private consumption is accompanied with declines in credit to the private sector. The strong private consumption growth can be contributed to large improvements in the labor market there. In Estonia, the strong growth in private consumption also resulted from a relatively high saving rate and increases in disposable income. </w:t>
      </w:r>
      <w:r w:rsidRPr="00EE5C71">
        <w:t>In Croatia and Slovenia, economic growth underperformed the EU11 average</w:t>
      </w:r>
      <w:r>
        <w:t xml:space="preserve">, </w:t>
      </w:r>
      <w:r w:rsidRPr="00EE5C71">
        <w:t xml:space="preserve">mainly </w:t>
      </w:r>
      <w:r>
        <w:t xml:space="preserve">because of drastic </w:t>
      </w:r>
      <w:r w:rsidRPr="00EE5C71">
        <w:t>retrenchment in investment.</w:t>
      </w:r>
      <w:r>
        <w:t xml:space="preserve"> In Slovenia, this was a consequence of the contraction of the construction sector after its boom in the pre-crisis period. </w:t>
      </w:r>
      <w:r w:rsidRPr="00EE5C71">
        <w:t xml:space="preserve"> </w:t>
      </w:r>
    </w:p>
    <w:p w:rsidR="0060585A" w:rsidRPr="00EE5C71" w:rsidRDefault="0060585A" w:rsidP="00D40FDC">
      <w:pPr>
        <w:spacing w:line="276" w:lineRule="auto"/>
      </w:pPr>
    </w:p>
    <w:tbl>
      <w:tblPr>
        <w:tblW w:w="9549" w:type="dxa"/>
        <w:jc w:val="center"/>
        <w:tblInd w:w="324" w:type="dxa"/>
        <w:tblLook w:val="00A0"/>
      </w:tblPr>
      <w:tblGrid>
        <w:gridCol w:w="5321"/>
        <w:gridCol w:w="4228"/>
      </w:tblGrid>
      <w:tr w:rsidR="0060585A" w:rsidRPr="00321D31" w:rsidTr="000C50E8">
        <w:trPr>
          <w:jc w:val="center"/>
        </w:trPr>
        <w:tc>
          <w:tcPr>
            <w:tcW w:w="9549" w:type="dxa"/>
            <w:gridSpan w:val="2"/>
          </w:tcPr>
          <w:p w:rsidR="0060585A" w:rsidRPr="00321D31" w:rsidRDefault="0060585A" w:rsidP="000C50E8">
            <w:pPr>
              <w:pStyle w:val="Caption"/>
              <w:keepNext/>
              <w:keepLines/>
              <w:spacing w:before="60" w:after="60" w:line="276" w:lineRule="auto"/>
              <w:jc w:val="left"/>
              <w:rPr>
                <w:sz w:val="22"/>
                <w:szCs w:val="22"/>
              </w:rPr>
            </w:pPr>
            <w:bookmarkStart w:id="12" w:name="_Ref327262686"/>
            <w:r w:rsidRPr="00321D31">
              <w:rPr>
                <w:sz w:val="22"/>
                <w:szCs w:val="22"/>
              </w:rPr>
              <w:t xml:space="preserve">Figure </w:t>
            </w:r>
            <w:r w:rsidR="00185C05" w:rsidRPr="00321D31">
              <w:rPr>
                <w:sz w:val="22"/>
                <w:szCs w:val="22"/>
              </w:rPr>
              <w:fldChar w:fldCharType="begin"/>
            </w:r>
            <w:r w:rsidRPr="00321D31">
              <w:rPr>
                <w:sz w:val="22"/>
                <w:szCs w:val="22"/>
              </w:rPr>
              <w:instrText xml:space="preserve"> SEQ Figure \* ARABIC </w:instrText>
            </w:r>
            <w:r w:rsidR="00185C05" w:rsidRPr="00321D31">
              <w:rPr>
                <w:sz w:val="22"/>
                <w:szCs w:val="22"/>
              </w:rPr>
              <w:fldChar w:fldCharType="separate"/>
            </w:r>
            <w:r w:rsidRPr="00321D31">
              <w:rPr>
                <w:noProof/>
                <w:sz w:val="22"/>
                <w:szCs w:val="22"/>
              </w:rPr>
              <w:t>7</w:t>
            </w:r>
            <w:r w:rsidR="00185C05" w:rsidRPr="00321D31">
              <w:rPr>
                <w:sz w:val="22"/>
                <w:szCs w:val="22"/>
              </w:rPr>
              <w:fldChar w:fldCharType="end"/>
            </w:r>
            <w:bookmarkEnd w:id="12"/>
            <w:r w:rsidRPr="00321D31">
              <w:rPr>
                <w:sz w:val="22"/>
                <w:szCs w:val="22"/>
              </w:rPr>
              <w:t>. Contributors to GDP Growth, EU11 Countries, 1Q–4Q 2011</w:t>
            </w:r>
          </w:p>
        </w:tc>
      </w:tr>
      <w:tr w:rsidR="0060585A" w:rsidRPr="00321D31" w:rsidTr="000C50E8">
        <w:trPr>
          <w:jc w:val="center"/>
        </w:trPr>
        <w:tc>
          <w:tcPr>
            <w:tcW w:w="9549" w:type="dxa"/>
            <w:gridSpan w:val="2"/>
          </w:tcPr>
          <w:p w:rsidR="0060585A" w:rsidRPr="00321D31" w:rsidRDefault="00A1042F" w:rsidP="00321D31">
            <w:pPr>
              <w:autoSpaceDE w:val="0"/>
              <w:autoSpaceDN w:val="0"/>
              <w:adjustRightInd w:val="0"/>
              <w:spacing w:line="276" w:lineRule="auto"/>
              <w:jc w:val="center"/>
              <w:rPr>
                <w:b/>
                <w:highlight w:val="yellow"/>
              </w:rPr>
            </w:pPr>
            <w:r>
              <w:rPr>
                <w:b/>
                <w:noProof/>
              </w:rPr>
              <w:drawing>
                <wp:inline distT="0" distB="0" distL="0" distR="0">
                  <wp:extent cx="5695950" cy="20383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5695950" cy="2038350"/>
                          </a:xfrm>
                          <a:prstGeom prst="rect">
                            <a:avLst/>
                          </a:prstGeom>
                          <a:noFill/>
                          <a:ln w="9525">
                            <a:noFill/>
                            <a:miter lim="800000"/>
                            <a:headEnd/>
                            <a:tailEnd/>
                          </a:ln>
                        </pic:spPr>
                      </pic:pic>
                    </a:graphicData>
                  </a:graphic>
                </wp:inline>
              </w:drawing>
            </w:r>
          </w:p>
        </w:tc>
      </w:tr>
      <w:tr w:rsidR="0060585A" w:rsidRPr="00321D31" w:rsidTr="000C50E8">
        <w:trPr>
          <w:jc w:val="center"/>
        </w:trPr>
        <w:tc>
          <w:tcPr>
            <w:tcW w:w="5321" w:type="dxa"/>
          </w:tcPr>
          <w:p w:rsidR="0060585A" w:rsidRPr="00321D31" w:rsidRDefault="0060585A" w:rsidP="00321D31">
            <w:pPr>
              <w:keepNext/>
              <w:spacing w:before="60" w:after="40" w:line="276" w:lineRule="auto"/>
              <w:rPr>
                <w:i/>
                <w:sz w:val="18"/>
                <w:szCs w:val="18"/>
              </w:rPr>
            </w:pPr>
            <w:r w:rsidRPr="00321D31">
              <w:rPr>
                <w:i/>
                <w:sz w:val="18"/>
                <w:szCs w:val="18"/>
              </w:rPr>
              <w:t xml:space="preserve">Source: </w:t>
            </w:r>
            <w:r w:rsidRPr="00321D31">
              <w:rPr>
                <w:sz w:val="18"/>
                <w:szCs w:val="18"/>
              </w:rPr>
              <w:t>Eurostat, World Bank staff calculations.</w:t>
            </w:r>
          </w:p>
        </w:tc>
        <w:tc>
          <w:tcPr>
            <w:tcW w:w="4228" w:type="dxa"/>
          </w:tcPr>
          <w:p w:rsidR="0060585A" w:rsidRPr="00321D31" w:rsidRDefault="0060585A" w:rsidP="00321D31">
            <w:pPr>
              <w:spacing w:line="276" w:lineRule="auto"/>
              <w:rPr>
                <w:i/>
                <w:sz w:val="20"/>
              </w:rPr>
            </w:pPr>
          </w:p>
        </w:tc>
      </w:tr>
    </w:tbl>
    <w:p w:rsidR="0060585A" w:rsidRDefault="0060585A" w:rsidP="00E41045">
      <w:pPr>
        <w:spacing w:before="120" w:after="120" w:line="276" w:lineRule="auto"/>
      </w:pPr>
      <w:r w:rsidRPr="00EE5C71">
        <w:rPr>
          <w:b/>
        </w:rPr>
        <w:t xml:space="preserve">With </w:t>
      </w:r>
      <w:r>
        <w:rPr>
          <w:b/>
        </w:rPr>
        <w:t xml:space="preserve">the </w:t>
      </w:r>
      <w:r w:rsidRPr="00EE5C71">
        <w:rPr>
          <w:b/>
        </w:rPr>
        <w:t xml:space="preserve">mild recession in the </w:t>
      </w:r>
      <w:r>
        <w:rPr>
          <w:b/>
        </w:rPr>
        <w:t>e</w:t>
      </w:r>
      <w:r w:rsidRPr="00EE5C71">
        <w:rPr>
          <w:b/>
        </w:rPr>
        <w:t>uro area, EU11 economic activity moderated in the first months of 2012.</w:t>
      </w:r>
      <w:r>
        <w:rPr>
          <w:b/>
        </w:rPr>
        <w:t xml:space="preserve">  </w:t>
      </w:r>
      <w:r>
        <w:t xml:space="preserve">Quarterly </w:t>
      </w:r>
      <w:r w:rsidRPr="00EE5C71">
        <w:t xml:space="preserve">GDP estimates in the first quarter of 2012 point to a </w:t>
      </w:r>
      <w:r>
        <w:t xml:space="preserve">continued </w:t>
      </w:r>
      <w:r w:rsidRPr="00EE5C71">
        <w:t>slowdown in</w:t>
      </w:r>
      <w:r>
        <w:t xml:space="preserve"> EU11 countries</w:t>
      </w:r>
      <w:r w:rsidRPr="00EE5C71">
        <w:t xml:space="preserve">.  </w:t>
      </w:r>
      <w:r>
        <w:t xml:space="preserve">The GDP is expected to have increased by 1.7 percent, down from 2.5 percent growth in the fourth quarter 2011.  </w:t>
      </w:r>
      <w:r w:rsidRPr="00EE5C71">
        <w:t xml:space="preserve">In addition, high frequency indicators, such as retail sales, industrial production, exports and imports, show weak growth in </w:t>
      </w:r>
      <w:r>
        <w:t xml:space="preserve">both </w:t>
      </w:r>
      <w:r w:rsidRPr="00EE5C71">
        <w:t>EU11 and EU15</w:t>
      </w:r>
      <w:r>
        <w:t xml:space="preserve"> (</w:t>
      </w:r>
      <w:fldSimple w:instr=" REF _Ref308260513 \h  \* MERGEFORMAT ">
        <w:r w:rsidRPr="005D6031">
          <w:t>Figure 8</w:t>
        </w:r>
      </w:fldSimple>
      <w:r>
        <w:t>)</w:t>
      </w:r>
      <w:r w:rsidRPr="00EE5C71">
        <w:t xml:space="preserve">. </w:t>
      </w:r>
      <w:r>
        <w:t xml:space="preserve"> </w:t>
      </w:r>
      <w:r w:rsidRPr="00EE5C71">
        <w:t xml:space="preserve">Consumer and business confidence </w:t>
      </w:r>
      <w:r>
        <w:t xml:space="preserve">are still </w:t>
      </w:r>
      <w:r w:rsidRPr="00EE5C71">
        <w:t>depressed.</w:t>
      </w:r>
      <w:r>
        <w:t xml:space="preserve"> </w:t>
      </w:r>
    </w:p>
    <w:tbl>
      <w:tblPr>
        <w:tblW w:w="9641" w:type="dxa"/>
        <w:jc w:val="center"/>
        <w:tblInd w:w="521" w:type="dxa"/>
        <w:tblLook w:val="00A0"/>
      </w:tblPr>
      <w:tblGrid>
        <w:gridCol w:w="4656"/>
        <w:gridCol w:w="4985"/>
      </w:tblGrid>
      <w:tr w:rsidR="0060585A" w:rsidRPr="00321D31" w:rsidTr="00390DCF">
        <w:trPr>
          <w:jc w:val="center"/>
        </w:trPr>
        <w:tc>
          <w:tcPr>
            <w:tcW w:w="9641" w:type="dxa"/>
            <w:gridSpan w:val="2"/>
          </w:tcPr>
          <w:p w:rsidR="0060585A" w:rsidRPr="00321D31" w:rsidRDefault="0060585A" w:rsidP="000C50E8">
            <w:pPr>
              <w:pStyle w:val="Caption"/>
              <w:keepNext/>
              <w:keepLines/>
              <w:spacing w:before="60" w:after="60" w:line="276" w:lineRule="auto"/>
              <w:jc w:val="left"/>
              <w:rPr>
                <w:sz w:val="22"/>
                <w:szCs w:val="22"/>
              </w:rPr>
            </w:pPr>
            <w:bookmarkStart w:id="13" w:name="_Ref308260513"/>
            <w:r w:rsidRPr="00321D31">
              <w:rPr>
                <w:sz w:val="22"/>
                <w:szCs w:val="22"/>
              </w:rPr>
              <w:lastRenderedPageBreak/>
              <w:t xml:space="preserve">Figure </w:t>
            </w:r>
            <w:r w:rsidR="00185C05" w:rsidRPr="00321D31">
              <w:rPr>
                <w:sz w:val="22"/>
                <w:szCs w:val="22"/>
              </w:rPr>
              <w:fldChar w:fldCharType="begin"/>
            </w:r>
            <w:r w:rsidRPr="00321D31">
              <w:rPr>
                <w:sz w:val="22"/>
                <w:szCs w:val="22"/>
              </w:rPr>
              <w:instrText xml:space="preserve"> SEQ Figure \* ARABIC </w:instrText>
            </w:r>
            <w:r w:rsidR="00185C05" w:rsidRPr="00321D31">
              <w:rPr>
                <w:sz w:val="22"/>
                <w:szCs w:val="22"/>
              </w:rPr>
              <w:fldChar w:fldCharType="separate"/>
            </w:r>
            <w:r w:rsidRPr="00321D31">
              <w:rPr>
                <w:noProof/>
                <w:sz w:val="22"/>
                <w:szCs w:val="22"/>
              </w:rPr>
              <w:t>8</w:t>
            </w:r>
            <w:r w:rsidR="00185C05" w:rsidRPr="00321D31">
              <w:rPr>
                <w:sz w:val="22"/>
                <w:szCs w:val="22"/>
              </w:rPr>
              <w:fldChar w:fldCharType="end"/>
            </w:r>
            <w:bookmarkEnd w:id="13"/>
            <w:r w:rsidRPr="00321D31">
              <w:rPr>
                <w:sz w:val="22"/>
                <w:szCs w:val="22"/>
              </w:rPr>
              <w:t>. High-Frequency Indicators, EU11 and EU15, percent</w:t>
            </w:r>
          </w:p>
        </w:tc>
      </w:tr>
      <w:tr w:rsidR="0060585A" w:rsidRPr="00321D31" w:rsidTr="00390DCF">
        <w:trPr>
          <w:jc w:val="center"/>
        </w:trPr>
        <w:tc>
          <w:tcPr>
            <w:tcW w:w="4560" w:type="dxa"/>
          </w:tcPr>
          <w:p w:rsidR="0060585A" w:rsidRPr="00321D31" w:rsidRDefault="0060585A" w:rsidP="00321D31">
            <w:pPr>
              <w:pStyle w:val="Caption"/>
              <w:keepNext/>
              <w:keepLines/>
              <w:spacing w:after="0" w:line="276" w:lineRule="auto"/>
              <w:jc w:val="center"/>
              <w:rPr>
                <w:sz w:val="22"/>
                <w:szCs w:val="22"/>
              </w:rPr>
            </w:pPr>
            <w:r w:rsidRPr="00321D31">
              <w:rPr>
                <w:sz w:val="22"/>
                <w:szCs w:val="22"/>
              </w:rPr>
              <w:t>Industrial Production and Retail Sales</w:t>
            </w:r>
          </w:p>
        </w:tc>
        <w:tc>
          <w:tcPr>
            <w:tcW w:w="5081" w:type="dxa"/>
          </w:tcPr>
          <w:p w:rsidR="0060585A" w:rsidRPr="00321D31" w:rsidRDefault="0060585A" w:rsidP="00321D31">
            <w:pPr>
              <w:pStyle w:val="Caption"/>
              <w:keepNext/>
              <w:keepLines/>
              <w:spacing w:after="0" w:line="276" w:lineRule="auto"/>
              <w:jc w:val="center"/>
              <w:rPr>
                <w:sz w:val="22"/>
                <w:szCs w:val="22"/>
              </w:rPr>
            </w:pPr>
            <w:r w:rsidRPr="00321D31">
              <w:rPr>
                <w:sz w:val="22"/>
                <w:szCs w:val="22"/>
              </w:rPr>
              <w:t>Exports and Imports</w:t>
            </w:r>
          </w:p>
        </w:tc>
      </w:tr>
      <w:tr w:rsidR="0060585A" w:rsidRPr="00321D31" w:rsidTr="00390DCF">
        <w:trPr>
          <w:jc w:val="center"/>
        </w:trPr>
        <w:tc>
          <w:tcPr>
            <w:tcW w:w="4560" w:type="dxa"/>
          </w:tcPr>
          <w:p w:rsidR="0060585A" w:rsidRPr="00321D31" w:rsidRDefault="00A1042F" w:rsidP="00321D31">
            <w:pPr>
              <w:keepNext/>
              <w:keepLines/>
              <w:autoSpaceDE w:val="0"/>
              <w:autoSpaceDN w:val="0"/>
              <w:adjustRightInd w:val="0"/>
              <w:spacing w:line="276" w:lineRule="auto"/>
              <w:rPr>
                <w:b/>
                <w:highlight w:val="yellow"/>
              </w:rPr>
            </w:pPr>
            <w:r>
              <w:rPr>
                <w:b/>
                <w:noProof/>
              </w:rPr>
              <w:drawing>
                <wp:inline distT="0" distB="0" distL="0" distR="0">
                  <wp:extent cx="2800350" cy="16954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2800350" cy="1695450"/>
                          </a:xfrm>
                          <a:prstGeom prst="rect">
                            <a:avLst/>
                          </a:prstGeom>
                          <a:noFill/>
                          <a:ln w="9525">
                            <a:noFill/>
                            <a:miter lim="800000"/>
                            <a:headEnd/>
                            <a:tailEnd/>
                          </a:ln>
                        </pic:spPr>
                      </pic:pic>
                    </a:graphicData>
                  </a:graphic>
                </wp:inline>
              </w:drawing>
            </w:r>
          </w:p>
        </w:tc>
        <w:tc>
          <w:tcPr>
            <w:tcW w:w="5081" w:type="dxa"/>
          </w:tcPr>
          <w:p w:rsidR="0060585A" w:rsidRPr="00321D31" w:rsidRDefault="00A1042F" w:rsidP="00321D31">
            <w:pPr>
              <w:keepNext/>
              <w:keepLines/>
              <w:autoSpaceDE w:val="0"/>
              <w:autoSpaceDN w:val="0"/>
              <w:adjustRightInd w:val="0"/>
              <w:spacing w:line="276" w:lineRule="auto"/>
              <w:rPr>
                <w:b/>
                <w:highlight w:val="yellow"/>
              </w:rPr>
            </w:pPr>
            <w:r>
              <w:rPr>
                <w:b/>
                <w:noProof/>
              </w:rPr>
              <w:drawing>
                <wp:inline distT="0" distB="0" distL="0" distR="0">
                  <wp:extent cx="2800350" cy="16954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2800350" cy="1695450"/>
                          </a:xfrm>
                          <a:prstGeom prst="rect">
                            <a:avLst/>
                          </a:prstGeom>
                          <a:noFill/>
                          <a:ln w="9525">
                            <a:noFill/>
                            <a:miter lim="800000"/>
                            <a:headEnd/>
                            <a:tailEnd/>
                          </a:ln>
                        </pic:spPr>
                      </pic:pic>
                    </a:graphicData>
                  </a:graphic>
                </wp:inline>
              </w:drawing>
            </w:r>
          </w:p>
        </w:tc>
      </w:tr>
      <w:tr w:rsidR="0060585A" w:rsidRPr="00321D31" w:rsidTr="00390DCF">
        <w:trPr>
          <w:jc w:val="center"/>
        </w:trPr>
        <w:tc>
          <w:tcPr>
            <w:tcW w:w="9641" w:type="dxa"/>
            <w:gridSpan w:val="2"/>
          </w:tcPr>
          <w:p w:rsidR="0060585A" w:rsidRPr="00321D31" w:rsidRDefault="0060585A" w:rsidP="00321D31">
            <w:pPr>
              <w:keepNext/>
              <w:spacing w:before="60" w:after="40" w:line="276" w:lineRule="auto"/>
              <w:rPr>
                <w:i/>
                <w:sz w:val="18"/>
                <w:szCs w:val="18"/>
              </w:rPr>
            </w:pPr>
            <w:r w:rsidRPr="00321D31">
              <w:rPr>
                <w:i/>
                <w:sz w:val="18"/>
                <w:szCs w:val="18"/>
              </w:rPr>
              <w:t xml:space="preserve">Source: </w:t>
            </w:r>
            <w:r w:rsidRPr="00321D31">
              <w:rPr>
                <w:sz w:val="18"/>
                <w:szCs w:val="18"/>
              </w:rPr>
              <w:t>Eurostat, World Bank staff calculations.</w:t>
            </w:r>
          </w:p>
          <w:p w:rsidR="0060585A" w:rsidRPr="00321D31" w:rsidRDefault="0060585A" w:rsidP="00321D31">
            <w:pPr>
              <w:keepNext/>
              <w:spacing w:before="60" w:after="40" w:line="276" w:lineRule="auto"/>
              <w:rPr>
                <w:i/>
                <w:sz w:val="18"/>
                <w:szCs w:val="18"/>
              </w:rPr>
            </w:pPr>
            <w:r w:rsidRPr="00321D31">
              <w:rPr>
                <w:i/>
                <w:sz w:val="18"/>
                <w:szCs w:val="18"/>
              </w:rPr>
              <w:t xml:space="preserve">Notes: </w:t>
            </w:r>
            <w:r w:rsidRPr="00321D31">
              <w:rPr>
                <w:sz w:val="18"/>
                <w:szCs w:val="18"/>
              </w:rPr>
              <w:t>3M moving average growth rates (y-o-y).</w:t>
            </w:r>
          </w:p>
        </w:tc>
      </w:tr>
    </w:tbl>
    <w:p w:rsidR="0060585A" w:rsidRPr="00EE5C71" w:rsidRDefault="0060585A" w:rsidP="00E41045">
      <w:pPr>
        <w:spacing w:after="200" w:line="276" w:lineRule="auto"/>
        <w:rPr>
          <w:rFonts w:cs="Cambria-Bold"/>
          <w:b/>
          <w:bCs/>
          <w:color w:val="4F83BE"/>
        </w:rPr>
      </w:pPr>
    </w:p>
    <w:p w:rsidR="0060585A" w:rsidRPr="00046DAC" w:rsidRDefault="0060585A" w:rsidP="007C638E">
      <w:pPr>
        <w:pStyle w:val="IntenseQuote"/>
      </w:pPr>
      <w:r w:rsidRPr="00046DAC">
        <w:t xml:space="preserve">Narrowing External Imbalances, Robust FDI, and Stable External Debt Levels </w:t>
      </w:r>
    </w:p>
    <w:p w:rsidR="0060585A" w:rsidRPr="001B12FD" w:rsidRDefault="0060585A" w:rsidP="00E41045">
      <w:pPr>
        <w:spacing w:after="200" w:line="276" w:lineRule="auto"/>
        <w:rPr>
          <w:rFonts w:cs="Arial"/>
          <w:bCs/>
          <w:i/>
          <w:iCs/>
          <w:color w:val="1F497D"/>
          <w:sz w:val="22"/>
          <w:szCs w:val="22"/>
          <w:lang w:eastAsia="pl-PL"/>
        </w:rPr>
      </w:pPr>
      <w:r w:rsidRPr="00683057">
        <w:rPr>
          <w:rFonts w:cs="Arial"/>
          <w:bCs/>
          <w:i/>
          <w:iCs/>
          <w:color w:val="1F497D"/>
          <w:sz w:val="22"/>
          <w:szCs w:val="22"/>
          <w:lang w:eastAsia="pl-PL"/>
        </w:rPr>
        <w:t xml:space="preserve">Despite </w:t>
      </w:r>
      <w:r>
        <w:rPr>
          <w:rFonts w:cs="Arial"/>
          <w:bCs/>
          <w:i/>
          <w:iCs/>
          <w:color w:val="1F497D"/>
          <w:sz w:val="22"/>
          <w:szCs w:val="22"/>
          <w:lang w:eastAsia="pl-PL"/>
        </w:rPr>
        <w:t xml:space="preserve">a marked </w:t>
      </w:r>
      <w:r w:rsidRPr="00683057">
        <w:rPr>
          <w:rFonts w:cs="Arial"/>
          <w:bCs/>
          <w:i/>
          <w:iCs/>
          <w:color w:val="1F497D"/>
          <w:sz w:val="22"/>
          <w:szCs w:val="22"/>
          <w:lang w:eastAsia="pl-PL"/>
        </w:rPr>
        <w:t xml:space="preserve">slowdown in external demand, </w:t>
      </w:r>
      <w:r>
        <w:rPr>
          <w:rFonts w:cs="Arial"/>
          <w:bCs/>
          <w:i/>
          <w:iCs/>
          <w:color w:val="1F497D"/>
          <w:sz w:val="22"/>
          <w:szCs w:val="22"/>
          <w:lang w:eastAsia="pl-PL"/>
        </w:rPr>
        <w:t xml:space="preserve">the </w:t>
      </w:r>
      <w:r w:rsidRPr="00683057">
        <w:rPr>
          <w:rFonts w:cs="Arial"/>
          <w:bCs/>
          <w:i/>
          <w:iCs/>
          <w:color w:val="1F497D"/>
          <w:sz w:val="22"/>
          <w:szCs w:val="22"/>
          <w:lang w:eastAsia="pl-PL"/>
        </w:rPr>
        <w:t xml:space="preserve">EU11 current account balance improvements in 2011 stemmed from stronger exports rather than weaker imports. FDI flows </w:t>
      </w:r>
      <w:r>
        <w:rPr>
          <w:rFonts w:cs="Arial"/>
          <w:bCs/>
          <w:i/>
          <w:iCs/>
          <w:color w:val="1F497D"/>
          <w:sz w:val="22"/>
          <w:szCs w:val="22"/>
          <w:lang w:eastAsia="pl-PL"/>
        </w:rPr>
        <w:t>in</w:t>
      </w:r>
      <w:r w:rsidRPr="00683057">
        <w:rPr>
          <w:rFonts w:cs="Arial"/>
          <w:bCs/>
          <w:i/>
          <w:iCs/>
          <w:color w:val="1F497D"/>
          <w:sz w:val="22"/>
          <w:szCs w:val="22"/>
          <w:lang w:eastAsia="pl-PL"/>
        </w:rPr>
        <w:t xml:space="preserve">to </w:t>
      </w:r>
      <w:r>
        <w:rPr>
          <w:rFonts w:cs="Arial"/>
          <w:bCs/>
          <w:i/>
          <w:iCs/>
          <w:color w:val="1F497D"/>
          <w:sz w:val="22"/>
          <w:szCs w:val="22"/>
          <w:lang w:eastAsia="pl-PL"/>
        </w:rPr>
        <w:t xml:space="preserve">the </w:t>
      </w:r>
      <w:r w:rsidRPr="00683057">
        <w:rPr>
          <w:rFonts w:cs="Arial"/>
          <w:bCs/>
          <w:i/>
          <w:iCs/>
          <w:color w:val="1F497D"/>
          <w:sz w:val="22"/>
          <w:szCs w:val="22"/>
          <w:lang w:eastAsia="pl-PL"/>
        </w:rPr>
        <w:t>EU11 remained robust</w:t>
      </w:r>
      <w:r>
        <w:rPr>
          <w:rFonts w:cs="Arial"/>
          <w:bCs/>
          <w:i/>
          <w:iCs/>
          <w:color w:val="1F497D"/>
          <w:sz w:val="22"/>
          <w:szCs w:val="22"/>
          <w:lang w:eastAsia="pl-PL"/>
        </w:rPr>
        <w:t>,</w:t>
      </w:r>
      <w:r w:rsidRPr="00683057">
        <w:rPr>
          <w:rFonts w:cs="Arial"/>
          <w:bCs/>
          <w:i/>
          <w:iCs/>
          <w:color w:val="1F497D"/>
          <w:sz w:val="22"/>
          <w:szCs w:val="22"/>
          <w:lang w:eastAsia="pl-PL"/>
        </w:rPr>
        <w:t xml:space="preserve"> and external debt levels stabilized.</w:t>
      </w:r>
    </w:p>
    <w:p w:rsidR="0060585A" w:rsidRDefault="0060585A" w:rsidP="00E41045">
      <w:pPr>
        <w:spacing w:line="276" w:lineRule="auto"/>
        <w:rPr>
          <w:b/>
        </w:rPr>
      </w:pPr>
    </w:p>
    <w:p w:rsidR="0060585A" w:rsidRPr="00EE5C71" w:rsidRDefault="0060585A" w:rsidP="00E41045">
      <w:pPr>
        <w:spacing w:line="276" w:lineRule="auto"/>
        <w:rPr>
          <w:b/>
        </w:rPr>
      </w:pPr>
      <w:r w:rsidRPr="00EE5C71">
        <w:rPr>
          <w:b/>
        </w:rPr>
        <w:t>After a</w:t>
      </w:r>
      <w:r>
        <w:rPr>
          <w:b/>
        </w:rPr>
        <w:t xml:space="preserve"> solid </w:t>
      </w:r>
      <w:r w:rsidRPr="00EE5C71">
        <w:rPr>
          <w:b/>
        </w:rPr>
        <w:t xml:space="preserve">performance in 2010, </w:t>
      </w:r>
      <w:r>
        <w:rPr>
          <w:b/>
        </w:rPr>
        <w:t xml:space="preserve">growth in </w:t>
      </w:r>
      <w:r w:rsidRPr="00EE5C71">
        <w:rPr>
          <w:b/>
        </w:rPr>
        <w:t xml:space="preserve">global trade decelerated in 2011 and </w:t>
      </w:r>
      <w:r>
        <w:rPr>
          <w:b/>
        </w:rPr>
        <w:t xml:space="preserve">is expected to slow </w:t>
      </w:r>
      <w:r w:rsidRPr="00EE5C71">
        <w:rPr>
          <w:b/>
        </w:rPr>
        <w:t xml:space="preserve">further in 2012. </w:t>
      </w:r>
      <w:r>
        <w:rPr>
          <w:b/>
        </w:rPr>
        <w:t xml:space="preserve"> </w:t>
      </w:r>
      <w:r w:rsidRPr="00EE5C71">
        <w:t xml:space="preserve">Global trade lost momentum in 2011 </w:t>
      </w:r>
      <w:r>
        <w:t xml:space="preserve">because of </w:t>
      </w:r>
      <w:r w:rsidRPr="00EE5C71">
        <w:t>the high base effect from the previous year, weakening economic activity in Europe, natural disasters in Japan and Thailand</w:t>
      </w:r>
      <w:r>
        <w:t>,</w:t>
      </w:r>
      <w:r w:rsidRPr="00EE5C71">
        <w:t xml:space="preserve"> and geopolitical tensions in the Middle East and North Africa (</w:t>
      </w:r>
      <w:fldSimple w:instr=" REF _Ref326162207 \h  \* MERGEFORMAT ">
        <w:r w:rsidRPr="00EE5C71">
          <w:t xml:space="preserve">Figure </w:t>
        </w:r>
        <w:r>
          <w:t>9</w:t>
        </w:r>
      </w:fldSimple>
      <w:r w:rsidRPr="00EE5C71">
        <w:t xml:space="preserve">). The slowdown </w:t>
      </w:r>
      <w:r>
        <w:t xml:space="preserve">in trade </w:t>
      </w:r>
      <w:r w:rsidRPr="00EE5C71">
        <w:t xml:space="preserve">was more pronounced in the EU15 than </w:t>
      </w:r>
      <w:r>
        <w:t xml:space="preserve">in </w:t>
      </w:r>
      <w:r w:rsidRPr="00EE5C71">
        <w:t xml:space="preserve">the EU11 </w:t>
      </w:r>
      <w:r>
        <w:t xml:space="preserve">because </w:t>
      </w:r>
      <w:r w:rsidRPr="00EE5C71">
        <w:t>economic growth</w:t>
      </w:r>
      <w:r>
        <w:t xml:space="preserve"> there was slower</w:t>
      </w:r>
      <w:r w:rsidRPr="00EE5C71">
        <w:t>.</w:t>
      </w:r>
      <w:r>
        <w:t xml:space="preserve">  </w:t>
      </w:r>
      <w:r w:rsidRPr="00EE5C71">
        <w:t xml:space="preserve">As a result, the EU15 trade growth rate dropped from </w:t>
      </w:r>
      <w:r>
        <w:t xml:space="preserve">nearly </w:t>
      </w:r>
      <w:r w:rsidRPr="00EE5C71">
        <w:t>10 percent in 2010 to less than 5 percent in 2011.</w:t>
      </w:r>
      <w:r>
        <w:t xml:space="preserve"> Though the slowdown in EU15 trade activity also affected the </w:t>
      </w:r>
      <w:r w:rsidRPr="00EE5C71">
        <w:t xml:space="preserve">EU11, </w:t>
      </w:r>
      <w:r>
        <w:t>its growth stay</w:t>
      </w:r>
      <w:r w:rsidRPr="00EE5C71">
        <w:t xml:space="preserve">ed close to </w:t>
      </w:r>
      <w:r w:rsidRPr="000D0A84">
        <w:t>10</w:t>
      </w:r>
      <w:r w:rsidRPr="00EE5C71">
        <w:t xml:space="preserve"> percent.</w:t>
      </w:r>
    </w:p>
    <w:p w:rsidR="0060585A" w:rsidRPr="00EE5C71" w:rsidRDefault="0060585A" w:rsidP="00E41045">
      <w:pPr>
        <w:spacing w:line="276" w:lineRule="auto"/>
        <w:rPr>
          <w:b/>
        </w:rPr>
      </w:pPr>
    </w:p>
    <w:p w:rsidR="0060585A" w:rsidRDefault="0060585A" w:rsidP="00E41045">
      <w:pPr>
        <w:spacing w:line="276" w:lineRule="auto"/>
      </w:pPr>
      <w:r>
        <w:rPr>
          <w:b/>
        </w:rPr>
        <w:t>In 2011, b</w:t>
      </w:r>
      <w:r w:rsidRPr="00EE5C71">
        <w:rPr>
          <w:b/>
        </w:rPr>
        <w:t>oth exports and imports weakened</w:t>
      </w:r>
      <w:r>
        <w:rPr>
          <w:b/>
        </w:rPr>
        <w:t>, but the growth rates remained positive</w:t>
      </w:r>
      <w:r w:rsidRPr="00EE5C71">
        <w:rPr>
          <w:b/>
        </w:rPr>
        <w:t xml:space="preserve">. </w:t>
      </w:r>
      <w:r w:rsidRPr="00EE5C71">
        <w:t xml:space="preserve">The deceleration in global growth led to </w:t>
      </w:r>
      <w:r>
        <w:t xml:space="preserve">a </w:t>
      </w:r>
      <w:r w:rsidRPr="00EE5C71">
        <w:t>decrease in export growth.</w:t>
      </w:r>
      <w:r>
        <w:t xml:space="preserve"> </w:t>
      </w:r>
      <w:r w:rsidRPr="00EE5C71">
        <w:t>At the same time, the deterioratin</w:t>
      </w:r>
      <w:r>
        <w:t>g</w:t>
      </w:r>
      <w:r w:rsidRPr="00EE5C71">
        <w:t xml:space="preserve"> economic situation in the EU, </w:t>
      </w:r>
      <w:r>
        <w:t xml:space="preserve">especially </w:t>
      </w:r>
      <w:r w:rsidRPr="00EE5C71">
        <w:t xml:space="preserve">the weakening of domestic demand, weighed </w:t>
      </w:r>
      <w:r>
        <w:t xml:space="preserve">heavily </w:t>
      </w:r>
      <w:r w:rsidRPr="00EE5C71">
        <w:t>on imports (</w:t>
      </w:r>
      <w:fldSimple w:instr=" REF _Ref326160838 \h  \* MERGEFORMAT ">
        <w:r w:rsidRPr="00EE5C71">
          <w:t xml:space="preserve">Figure </w:t>
        </w:r>
        <w:r>
          <w:rPr>
            <w:noProof/>
          </w:rPr>
          <w:t>10</w:t>
        </w:r>
      </w:fldSimple>
      <w:r w:rsidRPr="00EE5C71">
        <w:t xml:space="preserve">). </w:t>
      </w:r>
      <w:r>
        <w:t>Nevertheless exports were growing faster than i</w:t>
      </w:r>
      <w:r w:rsidRPr="00EE5C71">
        <w:t xml:space="preserve">mports </w:t>
      </w:r>
      <w:r>
        <w:t xml:space="preserve">leading </w:t>
      </w:r>
      <w:r w:rsidRPr="00EE5C71">
        <w:t xml:space="preserve">to </w:t>
      </w:r>
      <w:r>
        <w:t xml:space="preserve">trade making a </w:t>
      </w:r>
      <w:r w:rsidRPr="00EE5C71">
        <w:t xml:space="preserve">positive net contribution to growth. This trend is likely to </w:t>
      </w:r>
      <w:r>
        <w:t xml:space="preserve">continue </w:t>
      </w:r>
      <w:r w:rsidRPr="00EE5C71">
        <w:t xml:space="preserve">through 2012. </w:t>
      </w:r>
    </w:p>
    <w:p w:rsidR="0060585A" w:rsidRPr="00EE5C71" w:rsidRDefault="0060585A" w:rsidP="00E41045">
      <w:pPr>
        <w:spacing w:line="276" w:lineRule="auto"/>
        <w:rPr>
          <w:b/>
        </w:rPr>
      </w:pPr>
    </w:p>
    <w:tbl>
      <w:tblPr>
        <w:tblW w:w="9641" w:type="dxa"/>
        <w:jc w:val="center"/>
        <w:tblInd w:w="521" w:type="dxa"/>
        <w:tblLook w:val="00A0"/>
      </w:tblPr>
      <w:tblGrid>
        <w:gridCol w:w="4716"/>
        <w:gridCol w:w="4925"/>
      </w:tblGrid>
      <w:tr w:rsidR="0060585A" w:rsidRPr="00321D31" w:rsidTr="00390DCF">
        <w:trPr>
          <w:jc w:val="center"/>
        </w:trPr>
        <w:tc>
          <w:tcPr>
            <w:tcW w:w="4560" w:type="dxa"/>
          </w:tcPr>
          <w:p w:rsidR="0060585A" w:rsidRPr="00321D31" w:rsidRDefault="0060585A" w:rsidP="000C50E8">
            <w:pPr>
              <w:pStyle w:val="Caption"/>
              <w:keepNext/>
              <w:spacing w:before="60" w:after="60" w:line="276" w:lineRule="auto"/>
              <w:jc w:val="left"/>
              <w:rPr>
                <w:sz w:val="24"/>
                <w:szCs w:val="24"/>
              </w:rPr>
            </w:pPr>
            <w:bookmarkStart w:id="14" w:name="_Ref326162207"/>
            <w:r w:rsidRPr="00321D31">
              <w:rPr>
                <w:sz w:val="24"/>
                <w:szCs w:val="24"/>
              </w:rPr>
              <w:lastRenderedPageBreak/>
              <w:t xml:space="preserve">Figure </w:t>
            </w:r>
            <w:r w:rsidR="00185C05" w:rsidRPr="00321D31">
              <w:rPr>
                <w:sz w:val="24"/>
                <w:szCs w:val="24"/>
              </w:rPr>
              <w:fldChar w:fldCharType="begin"/>
            </w:r>
            <w:r w:rsidRPr="00321D31">
              <w:rPr>
                <w:sz w:val="24"/>
                <w:szCs w:val="24"/>
              </w:rPr>
              <w:instrText xml:space="preserve"> SEQ Figure \* ARABIC </w:instrText>
            </w:r>
            <w:r w:rsidR="00185C05" w:rsidRPr="00321D31">
              <w:rPr>
                <w:sz w:val="24"/>
                <w:szCs w:val="24"/>
              </w:rPr>
              <w:fldChar w:fldCharType="separate"/>
            </w:r>
            <w:r w:rsidRPr="00321D31">
              <w:rPr>
                <w:noProof/>
                <w:sz w:val="24"/>
                <w:szCs w:val="24"/>
              </w:rPr>
              <w:t>9</w:t>
            </w:r>
            <w:r w:rsidR="00185C05" w:rsidRPr="00321D31">
              <w:rPr>
                <w:sz w:val="24"/>
                <w:szCs w:val="24"/>
              </w:rPr>
              <w:fldChar w:fldCharType="end"/>
            </w:r>
            <w:bookmarkEnd w:id="14"/>
            <w:r w:rsidRPr="00321D31">
              <w:rPr>
                <w:sz w:val="24"/>
                <w:szCs w:val="24"/>
              </w:rPr>
              <w:t>. Growth in Trade in Goods and Services (Percent)</w:t>
            </w:r>
          </w:p>
        </w:tc>
        <w:tc>
          <w:tcPr>
            <w:tcW w:w="5081" w:type="dxa"/>
          </w:tcPr>
          <w:p w:rsidR="0060585A" w:rsidRPr="00321D31" w:rsidRDefault="0060585A" w:rsidP="000C50E8">
            <w:pPr>
              <w:pStyle w:val="Caption"/>
              <w:keepNext/>
              <w:spacing w:before="60" w:after="60" w:line="276" w:lineRule="auto"/>
              <w:jc w:val="left"/>
              <w:rPr>
                <w:sz w:val="24"/>
                <w:szCs w:val="24"/>
              </w:rPr>
            </w:pPr>
            <w:bookmarkStart w:id="15" w:name="_Ref326160838"/>
            <w:r w:rsidRPr="00321D31">
              <w:rPr>
                <w:sz w:val="24"/>
                <w:szCs w:val="24"/>
              </w:rPr>
              <w:t xml:space="preserve">Figure </w:t>
            </w:r>
            <w:r w:rsidR="00185C05" w:rsidRPr="00321D31">
              <w:rPr>
                <w:sz w:val="24"/>
                <w:szCs w:val="24"/>
              </w:rPr>
              <w:fldChar w:fldCharType="begin"/>
            </w:r>
            <w:r w:rsidRPr="00321D31">
              <w:rPr>
                <w:sz w:val="24"/>
                <w:szCs w:val="24"/>
              </w:rPr>
              <w:instrText xml:space="preserve"> SEQ Figure \* ARABIC </w:instrText>
            </w:r>
            <w:r w:rsidR="00185C05" w:rsidRPr="00321D31">
              <w:rPr>
                <w:sz w:val="24"/>
                <w:szCs w:val="24"/>
              </w:rPr>
              <w:fldChar w:fldCharType="separate"/>
            </w:r>
            <w:r w:rsidRPr="00321D31">
              <w:rPr>
                <w:noProof/>
                <w:sz w:val="24"/>
                <w:szCs w:val="24"/>
              </w:rPr>
              <w:t>10</w:t>
            </w:r>
            <w:r w:rsidR="00185C05" w:rsidRPr="00321D31">
              <w:rPr>
                <w:sz w:val="24"/>
                <w:szCs w:val="24"/>
              </w:rPr>
              <w:fldChar w:fldCharType="end"/>
            </w:r>
            <w:bookmarkEnd w:id="15"/>
            <w:r w:rsidRPr="00321D31">
              <w:rPr>
                <w:sz w:val="24"/>
                <w:szCs w:val="24"/>
              </w:rPr>
              <w:t>. Growth in Exports and Imports of</w:t>
            </w:r>
            <w:r w:rsidRPr="00321D31">
              <w:rPr>
                <w:b w:val="0"/>
                <w:bCs w:val="0"/>
                <w:color w:val="auto"/>
                <w:sz w:val="24"/>
                <w:szCs w:val="24"/>
              </w:rPr>
              <w:t xml:space="preserve"> </w:t>
            </w:r>
            <w:r w:rsidRPr="00321D31">
              <w:rPr>
                <w:sz w:val="24"/>
                <w:szCs w:val="24"/>
              </w:rPr>
              <w:t>Goods and Services (Percent)</w:t>
            </w:r>
          </w:p>
        </w:tc>
      </w:tr>
      <w:tr w:rsidR="0060585A" w:rsidRPr="00321D31" w:rsidTr="00390DCF">
        <w:trPr>
          <w:jc w:val="center"/>
        </w:trPr>
        <w:tc>
          <w:tcPr>
            <w:tcW w:w="4560" w:type="dxa"/>
          </w:tcPr>
          <w:p w:rsidR="0060585A" w:rsidRPr="00321D31" w:rsidRDefault="00A1042F" w:rsidP="00321D31">
            <w:pPr>
              <w:autoSpaceDE w:val="0"/>
              <w:autoSpaceDN w:val="0"/>
              <w:adjustRightInd w:val="0"/>
              <w:spacing w:line="276" w:lineRule="auto"/>
              <w:rPr>
                <w:b/>
                <w:highlight w:val="yellow"/>
              </w:rPr>
            </w:pPr>
            <w:r>
              <w:rPr>
                <w:b/>
                <w:noProof/>
              </w:rPr>
              <w:drawing>
                <wp:inline distT="0" distB="0" distL="0" distR="0">
                  <wp:extent cx="2838450" cy="23431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2838450" cy="2343150"/>
                          </a:xfrm>
                          <a:prstGeom prst="rect">
                            <a:avLst/>
                          </a:prstGeom>
                          <a:noFill/>
                          <a:ln w="9525">
                            <a:noFill/>
                            <a:miter lim="800000"/>
                            <a:headEnd/>
                            <a:tailEnd/>
                          </a:ln>
                        </pic:spPr>
                      </pic:pic>
                    </a:graphicData>
                  </a:graphic>
                </wp:inline>
              </w:drawing>
            </w:r>
          </w:p>
        </w:tc>
        <w:tc>
          <w:tcPr>
            <w:tcW w:w="5081" w:type="dxa"/>
          </w:tcPr>
          <w:p w:rsidR="0060585A" w:rsidRPr="00321D31" w:rsidRDefault="00A1042F" w:rsidP="00321D31">
            <w:pPr>
              <w:spacing w:line="276" w:lineRule="auto"/>
              <w:rPr>
                <w:b/>
              </w:rPr>
            </w:pPr>
            <w:r>
              <w:rPr>
                <w:b/>
                <w:noProof/>
              </w:rPr>
              <w:drawing>
                <wp:inline distT="0" distB="0" distL="0" distR="0">
                  <wp:extent cx="2838450" cy="23431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2838450" cy="2343150"/>
                          </a:xfrm>
                          <a:prstGeom prst="rect">
                            <a:avLst/>
                          </a:prstGeom>
                          <a:noFill/>
                          <a:ln w="9525">
                            <a:noFill/>
                            <a:miter lim="800000"/>
                            <a:headEnd/>
                            <a:tailEnd/>
                          </a:ln>
                        </pic:spPr>
                      </pic:pic>
                    </a:graphicData>
                  </a:graphic>
                </wp:inline>
              </w:drawing>
            </w:r>
          </w:p>
        </w:tc>
      </w:tr>
      <w:tr w:rsidR="0060585A" w:rsidRPr="00321D31" w:rsidTr="00390DCF">
        <w:trPr>
          <w:jc w:val="center"/>
        </w:trPr>
        <w:tc>
          <w:tcPr>
            <w:tcW w:w="4560" w:type="dxa"/>
          </w:tcPr>
          <w:p w:rsidR="0060585A" w:rsidRPr="00321D31" w:rsidRDefault="0060585A" w:rsidP="00321D31">
            <w:pPr>
              <w:keepNext/>
              <w:spacing w:before="60" w:after="40" w:line="276" w:lineRule="auto"/>
              <w:rPr>
                <w:i/>
                <w:sz w:val="18"/>
                <w:szCs w:val="18"/>
              </w:rPr>
            </w:pPr>
            <w:r w:rsidRPr="00321D31">
              <w:rPr>
                <w:i/>
                <w:sz w:val="18"/>
                <w:szCs w:val="18"/>
              </w:rPr>
              <w:t xml:space="preserve">Source: </w:t>
            </w:r>
            <w:r w:rsidRPr="00321D31">
              <w:rPr>
                <w:sz w:val="18"/>
                <w:szCs w:val="18"/>
              </w:rPr>
              <w:t>Eurostat, European Commission Spring Forecasts May 2012, World Bank staff, Global Economic Prospects, June 2012.</w:t>
            </w:r>
          </w:p>
          <w:p w:rsidR="0060585A" w:rsidRPr="00321D31" w:rsidRDefault="0060585A" w:rsidP="00321D31">
            <w:pPr>
              <w:keepNext/>
              <w:spacing w:before="60" w:after="40" w:line="276" w:lineRule="auto"/>
              <w:rPr>
                <w:i/>
                <w:sz w:val="18"/>
                <w:szCs w:val="18"/>
              </w:rPr>
            </w:pPr>
            <w:r w:rsidRPr="00321D31">
              <w:rPr>
                <w:i/>
                <w:sz w:val="18"/>
                <w:szCs w:val="18"/>
              </w:rPr>
              <w:t xml:space="preserve">Notes: </w:t>
            </w:r>
            <w:r w:rsidRPr="00321D31">
              <w:rPr>
                <w:sz w:val="18"/>
                <w:szCs w:val="18"/>
              </w:rPr>
              <w:t>Regional aggregates include intraregional trade</w:t>
            </w:r>
            <w:r w:rsidRPr="00321D31">
              <w:rPr>
                <w:i/>
                <w:sz w:val="18"/>
                <w:szCs w:val="18"/>
              </w:rPr>
              <w:t>.</w:t>
            </w:r>
          </w:p>
        </w:tc>
        <w:tc>
          <w:tcPr>
            <w:tcW w:w="5081" w:type="dxa"/>
          </w:tcPr>
          <w:p w:rsidR="0060585A" w:rsidRPr="00321D31" w:rsidRDefault="0060585A" w:rsidP="00321D31">
            <w:pPr>
              <w:keepNext/>
              <w:spacing w:before="60" w:after="40" w:line="276" w:lineRule="auto"/>
              <w:rPr>
                <w:i/>
                <w:sz w:val="18"/>
                <w:szCs w:val="18"/>
              </w:rPr>
            </w:pPr>
            <w:r w:rsidRPr="00321D31">
              <w:rPr>
                <w:i/>
                <w:sz w:val="18"/>
                <w:szCs w:val="18"/>
              </w:rPr>
              <w:t xml:space="preserve">Source: </w:t>
            </w:r>
            <w:r w:rsidRPr="00321D31">
              <w:rPr>
                <w:sz w:val="18"/>
                <w:szCs w:val="18"/>
              </w:rPr>
              <w:t>Eurostat, World Bank staff calculations.</w:t>
            </w:r>
          </w:p>
          <w:p w:rsidR="0060585A" w:rsidRPr="00321D31" w:rsidRDefault="0060585A" w:rsidP="00321D31">
            <w:pPr>
              <w:keepNext/>
              <w:spacing w:before="60" w:after="40" w:line="276" w:lineRule="auto"/>
              <w:rPr>
                <w:i/>
                <w:sz w:val="18"/>
                <w:szCs w:val="18"/>
              </w:rPr>
            </w:pPr>
            <w:r w:rsidRPr="00321D31">
              <w:rPr>
                <w:i/>
                <w:sz w:val="18"/>
                <w:szCs w:val="18"/>
              </w:rPr>
              <w:t xml:space="preserve">Notes: </w:t>
            </w:r>
            <w:r w:rsidRPr="00321D31">
              <w:rPr>
                <w:sz w:val="18"/>
                <w:szCs w:val="18"/>
              </w:rPr>
              <w:t>Regional aggregates include intraregional trade.</w:t>
            </w:r>
          </w:p>
        </w:tc>
      </w:tr>
    </w:tbl>
    <w:p w:rsidR="0060585A" w:rsidRPr="00EE5C71" w:rsidRDefault="0060585A" w:rsidP="00E41045">
      <w:pPr>
        <w:spacing w:line="276" w:lineRule="auto"/>
        <w:rPr>
          <w:b/>
        </w:rPr>
      </w:pPr>
    </w:p>
    <w:p w:rsidR="0060585A" w:rsidRDefault="0060585A">
      <w:pPr>
        <w:spacing w:after="200" w:line="276" w:lineRule="auto"/>
        <w:jc w:val="left"/>
        <w:rPr>
          <w:b/>
        </w:rPr>
      </w:pPr>
    </w:p>
    <w:p w:rsidR="0060585A" w:rsidRDefault="0060585A" w:rsidP="0011491B">
      <w:pPr>
        <w:spacing w:line="276" w:lineRule="auto"/>
      </w:pPr>
      <w:r w:rsidRPr="004362B4">
        <w:rPr>
          <w:b/>
        </w:rPr>
        <w:t xml:space="preserve">While </w:t>
      </w:r>
      <w:r>
        <w:rPr>
          <w:b/>
        </w:rPr>
        <w:t xml:space="preserve">in 2011 </w:t>
      </w:r>
      <w:r w:rsidRPr="004362B4">
        <w:rPr>
          <w:b/>
        </w:rPr>
        <w:t xml:space="preserve">export growth slowed compared to 2010 almost everywhere in the EU11, it </w:t>
      </w:r>
      <w:r>
        <w:rPr>
          <w:b/>
        </w:rPr>
        <w:t xml:space="preserve">was still </w:t>
      </w:r>
      <w:r w:rsidRPr="004362B4">
        <w:rPr>
          <w:b/>
        </w:rPr>
        <w:t>solid, reflecting improvements in external competitiveness</w:t>
      </w:r>
      <w:r>
        <w:rPr>
          <w:b/>
        </w:rPr>
        <w:t xml:space="preserve"> and solid economic performance of Germany </w:t>
      </w:r>
      <w:r w:rsidRPr="004362B4">
        <w:t>(</w:t>
      </w:r>
      <w:fldSimple w:instr=" REF _Ref326160926 \h  \* MERGEFORMAT ">
        <w:r w:rsidRPr="005D6031">
          <w:t>Figure 11</w:t>
        </w:r>
      </w:fldSimple>
      <w:r w:rsidRPr="004362B4">
        <w:t>).</w:t>
      </w:r>
      <w:r w:rsidRPr="004362B4">
        <w:rPr>
          <w:b/>
        </w:rPr>
        <w:t xml:space="preserve"> </w:t>
      </w:r>
      <w:r w:rsidRPr="00E31054">
        <w:t>Supported by a rebound in manufacturing</w:t>
      </w:r>
      <w:r>
        <w:t>,</w:t>
      </w:r>
      <w:r w:rsidRPr="00E31054">
        <w:t xml:space="preserve"> </w:t>
      </w:r>
      <w:r>
        <w:t>e</w:t>
      </w:r>
      <w:r w:rsidRPr="00CE200B">
        <w:t xml:space="preserve">xports grew </w:t>
      </w:r>
      <w:r>
        <w:t xml:space="preserve">substantially </w:t>
      </w:r>
      <w:r w:rsidRPr="00CE200B">
        <w:t xml:space="preserve">in Slovakia and the </w:t>
      </w:r>
      <w:r w:rsidRPr="004362B4">
        <w:t>Czech Republic</w:t>
      </w:r>
      <w:r>
        <w:t>.  I</w:t>
      </w:r>
      <w:r w:rsidRPr="004362B4">
        <w:t>n Romania, Hungary</w:t>
      </w:r>
      <w:r>
        <w:t>,</w:t>
      </w:r>
      <w:r w:rsidRPr="004362B4">
        <w:t xml:space="preserve"> and Poland </w:t>
      </w:r>
      <w:r>
        <w:t>d</w:t>
      </w:r>
      <w:r w:rsidRPr="004362B4">
        <w:t>epreciating currencies helped export</w:t>
      </w:r>
      <w:r>
        <w:t>s</w:t>
      </w:r>
      <w:r w:rsidRPr="004362B4">
        <w:t xml:space="preserve"> </w:t>
      </w:r>
      <w:r>
        <w:t xml:space="preserve">to </w:t>
      </w:r>
      <w:r w:rsidRPr="004362B4">
        <w:t xml:space="preserve">grow, </w:t>
      </w:r>
      <w:r>
        <w:t xml:space="preserve">although more slowly </w:t>
      </w:r>
      <w:r w:rsidRPr="004362B4">
        <w:t xml:space="preserve">than in 2010. Across the EU11, </w:t>
      </w:r>
      <w:r>
        <w:t xml:space="preserve">the </w:t>
      </w:r>
      <w:r w:rsidRPr="004362B4">
        <w:t xml:space="preserve">performance </w:t>
      </w:r>
      <w:r>
        <w:t xml:space="preserve">of merchandise exports </w:t>
      </w:r>
      <w:r w:rsidRPr="004362B4">
        <w:t>was remarkably strong</w:t>
      </w:r>
      <w:r>
        <w:t>. I</w:t>
      </w:r>
      <w:r w:rsidRPr="004362B4">
        <w:t xml:space="preserve">n </w:t>
      </w:r>
      <w:r>
        <w:t xml:space="preserve">part this performance </w:t>
      </w:r>
      <w:r w:rsidRPr="004362B4">
        <w:t>reflect</w:t>
      </w:r>
      <w:r>
        <w:t>s</w:t>
      </w:r>
      <w:r w:rsidRPr="004362B4">
        <w:t xml:space="preserve"> existing structural obstacles in t</w:t>
      </w:r>
      <w:r>
        <w:t xml:space="preserve">rade of services across borders such as </w:t>
      </w:r>
      <w:r w:rsidRPr="0011491B">
        <w:t>complex administrative and legal requirements</w:t>
      </w:r>
      <w:r>
        <w:t xml:space="preserve"> as well as the lack of easily accessible, clear and correct information regarding national requirements to enter a market, among others.</w:t>
      </w:r>
    </w:p>
    <w:p w:rsidR="0060585A" w:rsidRDefault="0060585A" w:rsidP="00E41045">
      <w:pPr>
        <w:spacing w:line="276" w:lineRule="auto"/>
      </w:pPr>
    </w:p>
    <w:p w:rsidR="0060585A" w:rsidRDefault="0060585A" w:rsidP="00E41045">
      <w:pPr>
        <w:spacing w:line="276" w:lineRule="auto"/>
      </w:pPr>
      <w:r w:rsidRPr="004362B4">
        <w:rPr>
          <w:b/>
        </w:rPr>
        <w:t xml:space="preserve">In countries </w:t>
      </w:r>
      <w:r>
        <w:rPr>
          <w:b/>
        </w:rPr>
        <w:t xml:space="preserve">where </w:t>
      </w:r>
      <w:r w:rsidRPr="004362B4">
        <w:rPr>
          <w:b/>
        </w:rPr>
        <w:t xml:space="preserve">domestic demand </w:t>
      </w:r>
      <w:r>
        <w:rPr>
          <w:b/>
        </w:rPr>
        <w:t xml:space="preserve">was recovering, </w:t>
      </w:r>
      <w:r w:rsidRPr="004362B4">
        <w:rPr>
          <w:b/>
        </w:rPr>
        <w:t>imports surged faster than exports</w:t>
      </w:r>
      <w:r>
        <w:rPr>
          <w:b/>
        </w:rPr>
        <w:t xml:space="preserve">. </w:t>
      </w:r>
      <w:r w:rsidRPr="0097046D">
        <w:t>Mo</w:t>
      </w:r>
      <w:r>
        <w:t xml:space="preserve">st obviously, import growth outpaced export growth </w:t>
      </w:r>
      <w:r w:rsidRPr="004362B4">
        <w:t>in Estonia and Latvia</w:t>
      </w:r>
      <w:r>
        <w:t xml:space="preserve"> </w:t>
      </w:r>
      <w:r w:rsidRPr="004362B4">
        <w:t>on the back of strong domestic demand (</w:t>
      </w:r>
      <w:fldSimple w:instr=" REF _Ref326160926 \h  \* MERGEFORMAT ">
        <w:r w:rsidRPr="005D6031">
          <w:t>Figure 11</w:t>
        </w:r>
      </w:fldSimple>
      <w:r w:rsidRPr="004362B4">
        <w:t xml:space="preserve">). </w:t>
      </w:r>
    </w:p>
    <w:p w:rsidR="0060585A" w:rsidRPr="00EE5C71" w:rsidRDefault="0060585A" w:rsidP="00E41045">
      <w:pPr>
        <w:spacing w:line="276" w:lineRule="auto"/>
      </w:pPr>
    </w:p>
    <w:tbl>
      <w:tblPr>
        <w:tblW w:w="9641" w:type="dxa"/>
        <w:jc w:val="center"/>
        <w:tblInd w:w="521" w:type="dxa"/>
        <w:tblLook w:val="00A0"/>
      </w:tblPr>
      <w:tblGrid>
        <w:gridCol w:w="4806"/>
        <w:gridCol w:w="4835"/>
      </w:tblGrid>
      <w:tr w:rsidR="0060585A" w:rsidRPr="00321D31" w:rsidTr="00390DCF">
        <w:trPr>
          <w:jc w:val="center"/>
        </w:trPr>
        <w:tc>
          <w:tcPr>
            <w:tcW w:w="9641" w:type="dxa"/>
            <w:gridSpan w:val="2"/>
          </w:tcPr>
          <w:p w:rsidR="0060585A" w:rsidRPr="00321D31" w:rsidRDefault="0060585A" w:rsidP="000C50E8">
            <w:pPr>
              <w:pStyle w:val="Caption"/>
              <w:keepNext/>
              <w:spacing w:before="60" w:after="60" w:line="276" w:lineRule="auto"/>
              <w:jc w:val="left"/>
              <w:rPr>
                <w:sz w:val="22"/>
                <w:szCs w:val="22"/>
              </w:rPr>
            </w:pPr>
            <w:bookmarkStart w:id="16" w:name="_Ref326160926"/>
            <w:r w:rsidRPr="00321D31">
              <w:rPr>
                <w:sz w:val="22"/>
                <w:szCs w:val="22"/>
              </w:rPr>
              <w:lastRenderedPageBreak/>
              <w:t xml:space="preserve">Figure </w:t>
            </w:r>
            <w:r w:rsidR="00185C05" w:rsidRPr="00321D31">
              <w:rPr>
                <w:sz w:val="22"/>
                <w:szCs w:val="22"/>
              </w:rPr>
              <w:fldChar w:fldCharType="begin"/>
            </w:r>
            <w:r w:rsidRPr="00321D31">
              <w:rPr>
                <w:sz w:val="22"/>
                <w:szCs w:val="22"/>
              </w:rPr>
              <w:instrText xml:space="preserve"> SEQ Figure \* ARABIC </w:instrText>
            </w:r>
            <w:r w:rsidR="00185C05" w:rsidRPr="00321D31">
              <w:rPr>
                <w:sz w:val="22"/>
                <w:szCs w:val="22"/>
              </w:rPr>
              <w:fldChar w:fldCharType="separate"/>
            </w:r>
            <w:r w:rsidRPr="00321D31">
              <w:rPr>
                <w:noProof/>
                <w:sz w:val="22"/>
                <w:szCs w:val="22"/>
              </w:rPr>
              <w:t>11</w:t>
            </w:r>
            <w:r w:rsidR="00185C05" w:rsidRPr="00321D31">
              <w:rPr>
                <w:sz w:val="22"/>
                <w:szCs w:val="22"/>
              </w:rPr>
              <w:fldChar w:fldCharType="end"/>
            </w:r>
            <w:bookmarkEnd w:id="16"/>
            <w:r w:rsidRPr="00321D31">
              <w:rPr>
                <w:sz w:val="22"/>
                <w:szCs w:val="22"/>
              </w:rPr>
              <w:t>. Real Growth of Exports and Imports, EU11 Countries, 2011 (Percent)</w:t>
            </w:r>
          </w:p>
        </w:tc>
      </w:tr>
      <w:tr w:rsidR="0060585A" w:rsidRPr="00321D31" w:rsidTr="00390DCF">
        <w:trPr>
          <w:jc w:val="center"/>
        </w:trPr>
        <w:tc>
          <w:tcPr>
            <w:tcW w:w="4560" w:type="dxa"/>
          </w:tcPr>
          <w:p w:rsidR="0060585A" w:rsidRPr="00321D31" w:rsidRDefault="0060585A" w:rsidP="00321D31">
            <w:pPr>
              <w:pStyle w:val="Caption"/>
              <w:keepNext/>
              <w:spacing w:before="60" w:after="60" w:line="276" w:lineRule="auto"/>
              <w:jc w:val="center"/>
              <w:rPr>
                <w:color w:val="auto"/>
                <w:sz w:val="22"/>
                <w:szCs w:val="22"/>
              </w:rPr>
            </w:pPr>
            <w:r w:rsidRPr="00321D31">
              <w:rPr>
                <w:color w:val="auto"/>
                <w:sz w:val="22"/>
                <w:szCs w:val="22"/>
              </w:rPr>
              <w:t>Exports</w:t>
            </w:r>
          </w:p>
        </w:tc>
        <w:tc>
          <w:tcPr>
            <w:tcW w:w="5081" w:type="dxa"/>
          </w:tcPr>
          <w:p w:rsidR="0060585A" w:rsidRPr="00321D31" w:rsidRDefault="0060585A" w:rsidP="00321D31">
            <w:pPr>
              <w:pStyle w:val="Caption"/>
              <w:keepNext/>
              <w:spacing w:before="60" w:after="60" w:line="276" w:lineRule="auto"/>
              <w:jc w:val="center"/>
              <w:rPr>
                <w:color w:val="auto"/>
                <w:sz w:val="22"/>
                <w:szCs w:val="22"/>
              </w:rPr>
            </w:pPr>
            <w:r w:rsidRPr="00321D31">
              <w:rPr>
                <w:color w:val="auto"/>
                <w:sz w:val="22"/>
                <w:szCs w:val="22"/>
              </w:rPr>
              <w:t>Imports</w:t>
            </w:r>
          </w:p>
        </w:tc>
      </w:tr>
      <w:tr w:rsidR="0060585A" w:rsidRPr="00321D31" w:rsidTr="00390DCF">
        <w:trPr>
          <w:jc w:val="center"/>
        </w:trPr>
        <w:tc>
          <w:tcPr>
            <w:tcW w:w="4560" w:type="dxa"/>
          </w:tcPr>
          <w:p w:rsidR="0060585A" w:rsidRPr="00321D31" w:rsidRDefault="00A1042F" w:rsidP="00321D31">
            <w:pPr>
              <w:spacing w:line="276" w:lineRule="auto"/>
              <w:rPr>
                <w:b/>
              </w:rPr>
            </w:pPr>
            <w:r>
              <w:rPr>
                <w:b/>
                <w:noProof/>
              </w:rPr>
              <w:drawing>
                <wp:inline distT="0" distB="0" distL="0" distR="0">
                  <wp:extent cx="2895600" cy="1733550"/>
                  <wp:effectExtent l="19050" t="0" r="0" b="0"/>
                  <wp:docPr id="1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2895600" cy="1733550"/>
                          </a:xfrm>
                          <a:prstGeom prst="rect">
                            <a:avLst/>
                          </a:prstGeom>
                          <a:noFill/>
                          <a:ln w="9525">
                            <a:noFill/>
                            <a:miter lim="800000"/>
                            <a:headEnd/>
                            <a:tailEnd/>
                          </a:ln>
                        </pic:spPr>
                      </pic:pic>
                    </a:graphicData>
                  </a:graphic>
                </wp:inline>
              </w:drawing>
            </w:r>
          </w:p>
        </w:tc>
        <w:tc>
          <w:tcPr>
            <w:tcW w:w="5081" w:type="dxa"/>
          </w:tcPr>
          <w:p w:rsidR="0060585A" w:rsidRPr="00321D31" w:rsidRDefault="00A1042F" w:rsidP="00321D31">
            <w:pPr>
              <w:spacing w:line="276" w:lineRule="auto"/>
              <w:rPr>
                <w:b/>
              </w:rPr>
            </w:pPr>
            <w:r>
              <w:rPr>
                <w:b/>
                <w:noProof/>
              </w:rPr>
              <w:drawing>
                <wp:inline distT="0" distB="0" distL="0" distR="0">
                  <wp:extent cx="2895600" cy="1733550"/>
                  <wp:effectExtent l="19050" t="0" r="0" b="0"/>
                  <wp:docPr id="1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2895600" cy="1733550"/>
                          </a:xfrm>
                          <a:prstGeom prst="rect">
                            <a:avLst/>
                          </a:prstGeom>
                          <a:noFill/>
                          <a:ln w="9525">
                            <a:noFill/>
                            <a:miter lim="800000"/>
                            <a:headEnd/>
                            <a:tailEnd/>
                          </a:ln>
                        </pic:spPr>
                      </pic:pic>
                    </a:graphicData>
                  </a:graphic>
                </wp:inline>
              </w:drawing>
            </w:r>
          </w:p>
        </w:tc>
      </w:tr>
      <w:tr w:rsidR="0060585A" w:rsidRPr="00321D31" w:rsidTr="00390DCF">
        <w:trPr>
          <w:jc w:val="center"/>
        </w:trPr>
        <w:tc>
          <w:tcPr>
            <w:tcW w:w="9641" w:type="dxa"/>
            <w:gridSpan w:val="2"/>
          </w:tcPr>
          <w:p w:rsidR="0060585A" w:rsidRPr="00321D31" w:rsidRDefault="0060585A" w:rsidP="00321D31">
            <w:pPr>
              <w:keepNext/>
              <w:spacing w:before="60" w:after="40" w:line="276" w:lineRule="auto"/>
              <w:rPr>
                <w:i/>
                <w:sz w:val="18"/>
                <w:szCs w:val="18"/>
              </w:rPr>
            </w:pPr>
            <w:r w:rsidRPr="00321D31">
              <w:rPr>
                <w:i/>
                <w:sz w:val="18"/>
                <w:szCs w:val="18"/>
              </w:rPr>
              <w:t xml:space="preserve">Source: </w:t>
            </w:r>
            <w:r w:rsidRPr="00321D31">
              <w:rPr>
                <w:sz w:val="18"/>
                <w:szCs w:val="18"/>
              </w:rPr>
              <w:t>Ameco, World Bank staff calculations.</w:t>
            </w:r>
          </w:p>
        </w:tc>
      </w:tr>
    </w:tbl>
    <w:p w:rsidR="0060585A" w:rsidRDefault="0060585A" w:rsidP="00E41045">
      <w:pPr>
        <w:spacing w:line="276" w:lineRule="auto"/>
        <w:rPr>
          <w:b/>
        </w:rPr>
      </w:pPr>
    </w:p>
    <w:p w:rsidR="0060585A" w:rsidRDefault="0060585A" w:rsidP="00E41045">
      <w:pPr>
        <w:spacing w:line="276" w:lineRule="auto"/>
      </w:pPr>
      <w:r w:rsidRPr="00EE5C71">
        <w:rPr>
          <w:b/>
        </w:rPr>
        <w:t xml:space="preserve">Trade </w:t>
      </w:r>
      <w:r>
        <w:rPr>
          <w:b/>
        </w:rPr>
        <w:t xml:space="preserve">in early </w:t>
      </w:r>
      <w:r w:rsidRPr="00EE5C71">
        <w:rPr>
          <w:b/>
        </w:rPr>
        <w:t xml:space="preserve">2012 </w:t>
      </w:r>
      <w:r>
        <w:rPr>
          <w:b/>
        </w:rPr>
        <w:t>was</w:t>
      </w:r>
      <w:r w:rsidRPr="00EE5C71">
        <w:rPr>
          <w:b/>
        </w:rPr>
        <w:t xml:space="preserve"> affected by recession in some European trade partners</w:t>
      </w:r>
      <w:r>
        <w:rPr>
          <w:b/>
        </w:rPr>
        <w:t xml:space="preserve"> </w:t>
      </w:r>
      <w:r w:rsidRPr="00EE5C71">
        <w:rPr>
          <w:b/>
        </w:rPr>
        <w:t>and stronger than expected</w:t>
      </w:r>
      <w:r>
        <w:rPr>
          <w:b/>
        </w:rPr>
        <w:t xml:space="preserve"> </w:t>
      </w:r>
      <w:r w:rsidRPr="00EE5C71">
        <w:rPr>
          <w:b/>
        </w:rPr>
        <w:t>industrial activity outside the EU.</w:t>
      </w:r>
      <w:r w:rsidRPr="00EE5C71">
        <w:t xml:space="preserve"> Data for the first quarter of 2012 suggest that </w:t>
      </w:r>
      <w:r>
        <w:t xml:space="preserve">growth in </w:t>
      </w:r>
      <w:r w:rsidRPr="00EE5C71">
        <w:t xml:space="preserve">exports </w:t>
      </w:r>
      <w:r>
        <w:t xml:space="preserve">decelerated </w:t>
      </w:r>
      <w:r w:rsidRPr="00EE5C71">
        <w:t xml:space="preserve">to </w:t>
      </w:r>
      <w:r>
        <w:t xml:space="preserve">only about </w:t>
      </w:r>
      <w:r w:rsidRPr="00EE5C71">
        <w:t>4 percent year-on-year in EU11</w:t>
      </w:r>
      <w:r>
        <w:t xml:space="preserve">, a drastic drop from the </w:t>
      </w:r>
      <w:r w:rsidRPr="00EE5C71">
        <w:t xml:space="preserve">25 percent </w:t>
      </w:r>
      <w:r>
        <w:t xml:space="preserve">growth recorded </w:t>
      </w:r>
      <w:r w:rsidRPr="00EE5C71">
        <w:t xml:space="preserve">in early 2011. The </w:t>
      </w:r>
      <w:r>
        <w:t xml:space="preserve">steepest </w:t>
      </w:r>
      <w:r w:rsidRPr="00EE5C71">
        <w:t>drop in exports was recorded for intermediate goods</w:t>
      </w:r>
      <w:r>
        <w:t xml:space="preserve"> as </w:t>
      </w:r>
      <w:r w:rsidRPr="00EE5C71">
        <w:t>manufacturing production</w:t>
      </w:r>
      <w:r>
        <w:t xml:space="preserve"> shrank</w:t>
      </w:r>
      <w:r w:rsidRPr="00EE5C71">
        <w:t>.</w:t>
      </w:r>
      <w:r>
        <w:t xml:space="preserve"> </w:t>
      </w:r>
      <w:r w:rsidRPr="00EE5C71">
        <w:t xml:space="preserve">The growth rates of exports </w:t>
      </w:r>
      <w:r>
        <w:t xml:space="preserve">of </w:t>
      </w:r>
      <w:r w:rsidRPr="00EE5C71">
        <w:t>capital and consumption good</w:t>
      </w:r>
      <w:r>
        <w:t>s</w:t>
      </w:r>
      <w:r w:rsidRPr="00EE5C71">
        <w:t xml:space="preserve"> also declin</w:t>
      </w:r>
      <w:r>
        <w:t>ed</w:t>
      </w:r>
      <w:r w:rsidRPr="00EE5C71">
        <w:t xml:space="preserve">, but </w:t>
      </w:r>
      <w:r>
        <w:t xml:space="preserve">more </w:t>
      </w:r>
      <w:r w:rsidRPr="00EE5C71">
        <w:t>slow</w:t>
      </w:r>
      <w:r>
        <w:t>ly</w:t>
      </w:r>
      <w:r w:rsidRPr="00EE5C71">
        <w:t>.</w:t>
      </w:r>
      <w:r>
        <w:t xml:space="preserve"> T</w:t>
      </w:r>
      <w:r w:rsidRPr="00EE5C71">
        <w:t xml:space="preserve">he </w:t>
      </w:r>
      <w:r>
        <w:t xml:space="preserve">fall-back </w:t>
      </w:r>
      <w:r w:rsidRPr="00EE5C71">
        <w:t>in export</w:t>
      </w:r>
      <w:r>
        <w:t xml:space="preserve"> growth</w:t>
      </w:r>
      <w:r w:rsidRPr="00EE5C71">
        <w:t xml:space="preserve"> </w:t>
      </w:r>
      <w:r>
        <w:t xml:space="preserve">was mainly </w:t>
      </w:r>
      <w:r w:rsidRPr="00EE5C71">
        <w:t>relate</w:t>
      </w:r>
      <w:r>
        <w:t>d</w:t>
      </w:r>
      <w:r w:rsidRPr="00EE5C71">
        <w:t xml:space="preserve"> to intra-EU trade</w:t>
      </w:r>
      <w:r>
        <w:t xml:space="preserve">; </w:t>
      </w:r>
      <w:r w:rsidRPr="00EE5C71">
        <w:t xml:space="preserve">extra-EU trade </w:t>
      </w:r>
      <w:r>
        <w:t xml:space="preserve">continuing to grow </w:t>
      </w:r>
      <w:r w:rsidRPr="00EE5C71">
        <w:t>at double-digit rates (</w:t>
      </w:r>
      <w:fldSimple w:instr=" REF _Ref326160970 \h  \* MERGEFORMAT ">
        <w:r w:rsidRPr="00EE5C71">
          <w:t xml:space="preserve">Figure </w:t>
        </w:r>
        <w:r>
          <w:rPr>
            <w:noProof/>
          </w:rPr>
          <w:t>12</w:t>
        </w:r>
      </w:fldSimple>
      <w:r w:rsidRPr="00EE5C71">
        <w:t>).</w:t>
      </w:r>
    </w:p>
    <w:p w:rsidR="0060585A" w:rsidRDefault="0060585A" w:rsidP="00E41045">
      <w:pPr>
        <w:spacing w:line="276" w:lineRule="auto"/>
        <w:rPr>
          <w:b/>
        </w:rPr>
      </w:pPr>
    </w:p>
    <w:tbl>
      <w:tblPr>
        <w:tblW w:w="9588" w:type="dxa"/>
        <w:tblLook w:val="00A0"/>
      </w:tblPr>
      <w:tblGrid>
        <w:gridCol w:w="9588"/>
      </w:tblGrid>
      <w:tr w:rsidR="0060585A" w:rsidRPr="00321D31" w:rsidTr="002A4C0C">
        <w:tc>
          <w:tcPr>
            <w:tcW w:w="9588" w:type="dxa"/>
          </w:tcPr>
          <w:p w:rsidR="0060585A" w:rsidRPr="00321D31" w:rsidRDefault="0060585A" w:rsidP="000C50E8">
            <w:pPr>
              <w:pStyle w:val="Caption"/>
              <w:keepNext/>
              <w:keepLines/>
              <w:spacing w:before="60" w:after="60" w:line="276" w:lineRule="auto"/>
              <w:jc w:val="left"/>
              <w:rPr>
                <w:sz w:val="24"/>
                <w:szCs w:val="24"/>
              </w:rPr>
            </w:pPr>
            <w:bookmarkStart w:id="17" w:name="_Ref326160970"/>
            <w:r w:rsidRPr="00321D31">
              <w:rPr>
                <w:sz w:val="24"/>
                <w:szCs w:val="24"/>
              </w:rPr>
              <w:t xml:space="preserve">Figure </w:t>
            </w:r>
            <w:r w:rsidR="00185C05" w:rsidRPr="00321D31">
              <w:rPr>
                <w:sz w:val="24"/>
                <w:szCs w:val="24"/>
              </w:rPr>
              <w:fldChar w:fldCharType="begin"/>
            </w:r>
            <w:r w:rsidRPr="00321D31">
              <w:rPr>
                <w:sz w:val="24"/>
                <w:szCs w:val="24"/>
              </w:rPr>
              <w:instrText xml:space="preserve"> SEQ Figure \* ARABIC </w:instrText>
            </w:r>
            <w:r w:rsidR="00185C05" w:rsidRPr="00321D31">
              <w:rPr>
                <w:sz w:val="24"/>
                <w:szCs w:val="24"/>
              </w:rPr>
              <w:fldChar w:fldCharType="separate"/>
            </w:r>
            <w:r w:rsidRPr="00321D31">
              <w:rPr>
                <w:noProof/>
                <w:sz w:val="24"/>
                <w:szCs w:val="24"/>
              </w:rPr>
              <w:t>12</w:t>
            </w:r>
            <w:r w:rsidR="00185C05" w:rsidRPr="00321D31">
              <w:rPr>
                <w:sz w:val="24"/>
                <w:szCs w:val="24"/>
              </w:rPr>
              <w:fldChar w:fldCharType="end"/>
            </w:r>
            <w:bookmarkEnd w:id="17"/>
            <w:r w:rsidRPr="00321D31">
              <w:rPr>
                <w:sz w:val="24"/>
                <w:szCs w:val="24"/>
              </w:rPr>
              <w:t>. Growth in Exports by Trade Partner and Goods Category, EUR (Percent, 3M moving average)</w:t>
            </w:r>
          </w:p>
        </w:tc>
      </w:tr>
      <w:tr w:rsidR="0060585A" w:rsidRPr="00321D31" w:rsidTr="002A4C0C">
        <w:tc>
          <w:tcPr>
            <w:tcW w:w="9588" w:type="dxa"/>
          </w:tcPr>
          <w:p w:rsidR="0060585A" w:rsidRPr="00321D31" w:rsidRDefault="00A1042F" w:rsidP="00321D31">
            <w:pPr>
              <w:keepNext/>
              <w:keepLines/>
              <w:spacing w:line="276" w:lineRule="auto"/>
              <w:rPr>
                <w:b/>
              </w:rPr>
            </w:pPr>
            <w:r>
              <w:rPr>
                <w:b/>
                <w:noProof/>
              </w:rPr>
              <w:drawing>
                <wp:inline distT="0" distB="0" distL="0" distR="0">
                  <wp:extent cx="3638550" cy="17145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3638550" cy="1714500"/>
                          </a:xfrm>
                          <a:prstGeom prst="rect">
                            <a:avLst/>
                          </a:prstGeom>
                          <a:noFill/>
                          <a:ln w="9525">
                            <a:noFill/>
                            <a:miter lim="800000"/>
                            <a:headEnd/>
                            <a:tailEnd/>
                          </a:ln>
                        </pic:spPr>
                      </pic:pic>
                    </a:graphicData>
                  </a:graphic>
                </wp:inline>
              </w:drawing>
            </w:r>
          </w:p>
        </w:tc>
      </w:tr>
      <w:tr w:rsidR="0060585A" w:rsidRPr="00321D31" w:rsidTr="002A4C0C">
        <w:tc>
          <w:tcPr>
            <w:tcW w:w="9588" w:type="dxa"/>
          </w:tcPr>
          <w:p w:rsidR="0060585A" w:rsidRPr="00321D31" w:rsidRDefault="0060585A" w:rsidP="00321D31">
            <w:pPr>
              <w:keepNext/>
              <w:keepLines/>
              <w:spacing w:before="60" w:after="40" w:line="276" w:lineRule="auto"/>
              <w:rPr>
                <w:i/>
                <w:sz w:val="18"/>
                <w:szCs w:val="18"/>
              </w:rPr>
            </w:pPr>
            <w:r w:rsidRPr="00321D31">
              <w:rPr>
                <w:i/>
                <w:sz w:val="18"/>
                <w:szCs w:val="18"/>
              </w:rPr>
              <w:t xml:space="preserve">Source: </w:t>
            </w:r>
            <w:r w:rsidRPr="00321D31">
              <w:rPr>
                <w:sz w:val="18"/>
                <w:szCs w:val="18"/>
              </w:rPr>
              <w:t>Eurostat, World Bank staff calculations.</w:t>
            </w:r>
          </w:p>
          <w:p w:rsidR="0060585A" w:rsidRPr="00321D31" w:rsidRDefault="0060585A" w:rsidP="00321D31">
            <w:pPr>
              <w:keepNext/>
              <w:keepLines/>
              <w:spacing w:before="60" w:after="40" w:line="276" w:lineRule="auto"/>
              <w:rPr>
                <w:i/>
                <w:sz w:val="18"/>
                <w:szCs w:val="18"/>
              </w:rPr>
            </w:pPr>
            <w:r w:rsidRPr="00321D31">
              <w:rPr>
                <w:i/>
                <w:sz w:val="18"/>
                <w:szCs w:val="18"/>
              </w:rPr>
              <w:t xml:space="preserve">Notes: </w:t>
            </w:r>
            <w:r w:rsidRPr="00321D31">
              <w:rPr>
                <w:sz w:val="18"/>
                <w:szCs w:val="18"/>
              </w:rPr>
              <w:t>Data for Croatia are not available.</w:t>
            </w:r>
          </w:p>
        </w:tc>
      </w:tr>
    </w:tbl>
    <w:p w:rsidR="0060585A" w:rsidRDefault="0060585A" w:rsidP="00E41045">
      <w:pPr>
        <w:spacing w:line="276" w:lineRule="auto"/>
        <w:rPr>
          <w:b/>
        </w:rPr>
      </w:pPr>
    </w:p>
    <w:p w:rsidR="0060585A" w:rsidRPr="00A24079" w:rsidRDefault="0060585A" w:rsidP="00390DCF">
      <w:pPr>
        <w:spacing w:after="200" w:line="276" w:lineRule="auto"/>
        <w:jc w:val="left"/>
        <w:rPr>
          <w:b/>
        </w:rPr>
      </w:pPr>
      <w:r>
        <w:rPr>
          <w:b/>
        </w:rPr>
        <w:br w:type="page"/>
      </w:r>
      <w:r w:rsidRPr="00EE5C71">
        <w:rPr>
          <w:b/>
        </w:rPr>
        <w:lastRenderedPageBreak/>
        <w:t xml:space="preserve">Current account balances improved in almost all EU11 countries </w:t>
      </w:r>
      <w:r>
        <w:rPr>
          <w:b/>
        </w:rPr>
        <w:t xml:space="preserve">as </w:t>
      </w:r>
      <w:r w:rsidRPr="00EE5C71">
        <w:rPr>
          <w:b/>
        </w:rPr>
        <w:t xml:space="preserve">trade balances </w:t>
      </w:r>
      <w:r>
        <w:rPr>
          <w:b/>
        </w:rPr>
        <w:t xml:space="preserve">narrowed </w:t>
      </w:r>
      <w:r w:rsidRPr="00EE5C71">
        <w:t>(</w:t>
      </w:r>
      <w:fldSimple w:instr=" REF _Ref326161004 \h  \* MERGEFORMAT ">
        <w:r w:rsidRPr="005D6031">
          <w:rPr>
            <w:bCs/>
          </w:rPr>
          <w:t xml:space="preserve">Figure </w:t>
        </w:r>
        <w:r>
          <w:rPr>
            <w:noProof/>
          </w:rPr>
          <w:t>13</w:t>
        </w:r>
      </w:fldSimple>
      <w:r w:rsidRPr="00EE5C71">
        <w:t>). Countries that saw substantial improvements in their trade balances (Bulgaria, Estonia, Hungary, and Slovakia) ended 2011 with surplus</w:t>
      </w:r>
      <w:r>
        <w:t>es</w:t>
      </w:r>
      <w:r w:rsidRPr="00EE5C71">
        <w:t xml:space="preserve"> in their current accounts</w:t>
      </w:r>
      <w:r w:rsidRPr="00D44B10">
        <w:t>. However, Current</w:t>
      </w:r>
      <w:r w:rsidRPr="00EE5C71">
        <w:t xml:space="preserve"> accounts in Latvia and Lithuania turned into deficit in 2011</w:t>
      </w:r>
      <w:r>
        <w:t>,</w:t>
      </w:r>
      <w:r w:rsidRPr="00EE5C71">
        <w:t xml:space="preserve"> reflecting stronger demand for imports (Latvia) and higher income payments </w:t>
      </w:r>
      <w:r>
        <w:t xml:space="preserve">and current transfer payments </w:t>
      </w:r>
      <w:r w:rsidRPr="00EE5C71">
        <w:t>(Lithuania).</w:t>
      </w:r>
      <w:r>
        <w:t xml:space="preserve"> </w:t>
      </w:r>
    </w:p>
    <w:p w:rsidR="0060585A" w:rsidRDefault="0060585A" w:rsidP="00555E45">
      <w:pPr>
        <w:spacing w:line="276" w:lineRule="auto"/>
      </w:pPr>
      <w:r w:rsidRPr="00EE5C71">
        <w:rPr>
          <w:b/>
        </w:rPr>
        <w:t xml:space="preserve">Despite </w:t>
      </w:r>
      <w:r>
        <w:rPr>
          <w:b/>
        </w:rPr>
        <w:t xml:space="preserve">the euro area </w:t>
      </w:r>
      <w:r w:rsidRPr="00EE5C71">
        <w:rPr>
          <w:b/>
        </w:rPr>
        <w:t xml:space="preserve">uncertainties, portfolio and net FDI flows to EU11 remained </w:t>
      </w:r>
      <w:r>
        <w:rPr>
          <w:b/>
        </w:rPr>
        <w:t>healthy</w:t>
      </w:r>
      <w:r w:rsidRPr="00EE5C71">
        <w:rPr>
          <w:b/>
        </w:rPr>
        <w:t>.</w:t>
      </w:r>
      <w:r>
        <w:rPr>
          <w:b/>
        </w:rPr>
        <w:t xml:space="preserve"> </w:t>
      </w:r>
      <w:r w:rsidRPr="00064A4C">
        <w:t>While just after the crisis there was a shift in the composition of capital flows towards portfolio investment, in 2011 this was reverted as FDI flows recovered</w:t>
      </w:r>
      <w:r>
        <w:t xml:space="preserve"> (mainly in the form of reinvested earnings)</w:t>
      </w:r>
      <w:r w:rsidRPr="00064A4C">
        <w:t>.</w:t>
      </w:r>
      <w:r>
        <w:rPr>
          <w:b/>
        </w:rPr>
        <w:t xml:space="preserve">  </w:t>
      </w:r>
      <w:r w:rsidRPr="00EE5C71">
        <w:t>FDI exceeded pre-crisis levels</w:t>
      </w:r>
      <w:r>
        <w:t xml:space="preserve"> in </w:t>
      </w:r>
      <w:r w:rsidRPr="00EE5C71">
        <w:t>the Czech Republic, Estonia</w:t>
      </w:r>
      <w:r>
        <w:t>,</w:t>
      </w:r>
      <w:r w:rsidRPr="00EE5C71">
        <w:t xml:space="preserve"> </w:t>
      </w:r>
      <w:r>
        <w:t xml:space="preserve">and Slovenia (albeit from a low level). </w:t>
      </w:r>
      <w:r w:rsidRPr="00EE5C71">
        <w:t xml:space="preserve"> Poland, Croatia, </w:t>
      </w:r>
      <w:r>
        <w:t xml:space="preserve">Slovakia </w:t>
      </w:r>
      <w:r w:rsidRPr="00EE5C71">
        <w:t xml:space="preserve">and Latvia experienced the largest gains in FDI in 2011 compared to 2010. </w:t>
      </w:r>
      <w:r>
        <w:t xml:space="preserve"> For example, </w:t>
      </w:r>
      <w:r w:rsidRPr="00EE5C71">
        <w:t xml:space="preserve">FDI inflows more than tripled in Slovakia and Latvia. </w:t>
      </w:r>
      <w:r>
        <w:t xml:space="preserve"> In contrast, n</w:t>
      </w:r>
      <w:r w:rsidRPr="00EE5C71">
        <w:t xml:space="preserve">et FDI declined in Hungary </w:t>
      </w:r>
      <w:r>
        <w:t>as direct investment by Hungarians abroad increased</w:t>
      </w:r>
      <w:r w:rsidRPr="00EE5C71">
        <w:t xml:space="preserve">. </w:t>
      </w:r>
    </w:p>
    <w:p w:rsidR="0060585A" w:rsidRPr="00555E45" w:rsidRDefault="0060585A" w:rsidP="00555E45"/>
    <w:p w:rsidR="0060585A" w:rsidRDefault="0060585A" w:rsidP="00555E45"/>
    <w:tbl>
      <w:tblPr>
        <w:tblpPr w:leftFromText="180" w:rightFromText="180" w:vertAnchor="text" w:horzAnchor="margin" w:tblpY="7"/>
        <w:tblW w:w="9641" w:type="dxa"/>
        <w:tblLook w:val="00A0"/>
      </w:tblPr>
      <w:tblGrid>
        <w:gridCol w:w="4806"/>
        <w:gridCol w:w="4835"/>
      </w:tblGrid>
      <w:tr w:rsidR="0060585A" w:rsidRPr="00321D31" w:rsidTr="00555E45">
        <w:tc>
          <w:tcPr>
            <w:tcW w:w="9641" w:type="dxa"/>
            <w:gridSpan w:val="2"/>
          </w:tcPr>
          <w:p w:rsidR="0060585A" w:rsidRPr="00321D31" w:rsidRDefault="0060585A" w:rsidP="00555E45">
            <w:pPr>
              <w:pStyle w:val="Caption"/>
              <w:keepNext/>
              <w:keepLines/>
              <w:spacing w:before="60" w:after="60" w:line="276" w:lineRule="auto"/>
              <w:jc w:val="left"/>
              <w:rPr>
                <w:sz w:val="24"/>
                <w:szCs w:val="24"/>
              </w:rPr>
            </w:pPr>
            <w:bookmarkStart w:id="18" w:name="_Ref326161004"/>
            <w:r w:rsidRPr="00321D31">
              <w:rPr>
                <w:sz w:val="24"/>
                <w:szCs w:val="24"/>
              </w:rPr>
              <w:t xml:space="preserve">Figure </w:t>
            </w:r>
            <w:r w:rsidR="00185C05" w:rsidRPr="00321D31">
              <w:rPr>
                <w:sz w:val="24"/>
                <w:szCs w:val="24"/>
              </w:rPr>
              <w:fldChar w:fldCharType="begin"/>
            </w:r>
            <w:r w:rsidRPr="00321D31">
              <w:rPr>
                <w:sz w:val="24"/>
                <w:szCs w:val="24"/>
              </w:rPr>
              <w:instrText xml:space="preserve"> SEQ Figure \* ARABIC </w:instrText>
            </w:r>
            <w:r w:rsidR="00185C05" w:rsidRPr="00321D31">
              <w:rPr>
                <w:sz w:val="24"/>
                <w:szCs w:val="24"/>
              </w:rPr>
              <w:fldChar w:fldCharType="separate"/>
            </w:r>
            <w:r w:rsidRPr="00321D31">
              <w:rPr>
                <w:noProof/>
                <w:sz w:val="24"/>
                <w:szCs w:val="24"/>
              </w:rPr>
              <w:t>13</w:t>
            </w:r>
            <w:r w:rsidR="00185C05" w:rsidRPr="00321D31">
              <w:rPr>
                <w:sz w:val="24"/>
                <w:szCs w:val="24"/>
              </w:rPr>
              <w:fldChar w:fldCharType="end"/>
            </w:r>
            <w:bookmarkEnd w:id="18"/>
            <w:r w:rsidRPr="00321D31">
              <w:rPr>
                <w:sz w:val="24"/>
                <w:szCs w:val="24"/>
              </w:rPr>
              <w:t>. Current Account Composition and Financing, 2010–2011 (Percent of GDP)</w:t>
            </w:r>
          </w:p>
        </w:tc>
      </w:tr>
      <w:tr w:rsidR="0060585A" w:rsidRPr="00321D31" w:rsidTr="00555E45">
        <w:tc>
          <w:tcPr>
            <w:tcW w:w="4771" w:type="dxa"/>
          </w:tcPr>
          <w:p w:rsidR="0060585A" w:rsidRPr="00321D31" w:rsidRDefault="00A1042F" w:rsidP="00555E45">
            <w:pPr>
              <w:keepNext/>
              <w:keepLines/>
              <w:spacing w:after="60" w:line="276" w:lineRule="auto"/>
              <w:rPr>
                <w:b/>
              </w:rPr>
            </w:pPr>
            <w:r>
              <w:rPr>
                <w:b/>
                <w:noProof/>
              </w:rPr>
              <w:drawing>
                <wp:inline distT="0" distB="0" distL="0" distR="0">
                  <wp:extent cx="2895600" cy="27051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2895600" cy="2705100"/>
                          </a:xfrm>
                          <a:prstGeom prst="rect">
                            <a:avLst/>
                          </a:prstGeom>
                          <a:noFill/>
                          <a:ln w="9525">
                            <a:noFill/>
                            <a:miter lim="800000"/>
                            <a:headEnd/>
                            <a:tailEnd/>
                          </a:ln>
                        </pic:spPr>
                      </pic:pic>
                    </a:graphicData>
                  </a:graphic>
                </wp:inline>
              </w:drawing>
            </w:r>
          </w:p>
        </w:tc>
        <w:tc>
          <w:tcPr>
            <w:tcW w:w="4870" w:type="dxa"/>
          </w:tcPr>
          <w:p w:rsidR="0060585A" w:rsidRPr="00321D31" w:rsidRDefault="00A1042F" w:rsidP="00555E45">
            <w:pPr>
              <w:keepNext/>
              <w:keepLines/>
              <w:spacing w:after="60" w:line="276" w:lineRule="auto"/>
              <w:rPr>
                <w:b/>
              </w:rPr>
            </w:pPr>
            <w:r>
              <w:rPr>
                <w:b/>
                <w:noProof/>
              </w:rPr>
              <w:drawing>
                <wp:inline distT="0" distB="0" distL="0" distR="0">
                  <wp:extent cx="2895600" cy="27051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2895600" cy="2705100"/>
                          </a:xfrm>
                          <a:prstGeom prst="rect">
                            <a:avLst/>
                          </a:prstGeom>
                          <a:noFill/>
                          <a:ln w="9525">
                            <a:noFill/>
                            <a:miter lim="800000"/>
                            <a:headEnd/>
                            <a:tailEnd/>
                          </a:ln>
                        </pic:spPr>
                      </pic:pic>
                    </a:graphicData>
                  </a:graphic>
                </wp:inline>
              </w:drawing>
            </w:r>
          </w:p>
        </w:tc>
      </w:tr>
    </w:tbl>
    <w:p w:rsidR="0060585A" w:rsidRPr="00321D31" w:rsidRDefault="0060585A" w:rsidP="00555E45">
      <w:pPr>
        <w:keepNext/>
        <w:keepLines/>
        <w:spacing w:before="60" w:after="40" w:line="276" w:lineRule="auto"/>
        <w:rPr>
          <w:i/>
          <w:sz w:val="18"/>
          <w:szCs w:val="18"/>
        </w:rPr>
      </w:pPr>
      <w:r w:rsidRPr="00321D31">
        <w:rPr>
          <w:i/>
          <w:sz w:val="18"/>
          <w:szCs w:val="18"/>
        </w:rPr>
        <w:t xml:space="preserve">Source: </w:t>
      </w:r>
      <w:r w:rsidRPr="00321D31">
        <w:rPr>
          <w:sz w:val="18"/>
          <w:szCs w:val="18"/>
        </w:rPr>
        <w:t>Eurostat, World Bank staff calculations.</w:t>
      </w:r>
      <w:r w:rsidRPr="00321D31">
        <w:rPr>
          <w:i/>
          <w:sz w:val="18"/>
          <w:szCs w:val="18"/>
        </w:rPr>
        <w:t xml:space="preserve"> </w:t>
      </w:r>
    </w:p>
    <w:p w:rsidR="0060585A" w:rsidRDefault="0060585A" w:rsidP="00555E45">
      <w:pPr>
        <w:tabs>
          <w:tab w:val="left" w:pos="1680"/>
        </w:tabs>
      </w:pPr>
    </w:p>
    <w:p w:rsidR="00A24079" w:rsidRDefault="00A24079" w:rsidP="00555E45">
      <w:pPr>
        <w:tabs>
          <w:tab w:val="left" w:pos="1680"/>
        </w:tabs>
      </w:pPr>
    </w:p>
    <w:p w:rsidR="00A24079" w:rsidRDefault="00A24079" w:rsidP="00555E45">
      <w:pPr>
        <w:tabs>
          <w:tab w:val="left" w:pos="1680"/>
        </w:tabs>
      </w:pPr>
    </w:p>
    <w:p w:rsidR="00A24079" w:rsidRDefault="00A24079" w:rsidP="00555E45">
      <w:pPr>
        <w:tabs>
          <w:tab w:val="left" w:pos="1680"/>
        </w:tabs>
      </w:pPr>
    </w:p>
    <w:p w:rsidR="00A24079" w:rsidRDefault="00A24079" w:rsidP="00555E45">
      <w:pPr>
        <w:tabs>
          <w:tab w:val="left" w:pos="1680"/>
        </w:tabs>
      </w:pPr>
    </w:p>
    <w:p w:rsidR="00A24079" w:rsidRDefault="00A24079" w:rsidP="00555E45">
      <w:pPr>
        <w:tabs>
          <w:tab w:val="left" w:pos="1680"/>
        </w:tabs>
      </w:pPr>
    </w:p>
    <w:p w:rsidR="00A24079" w:rsidRPr="00555E45" w:rsidRDefault="00A24079" w:rsidP="00555E45">
      <w:pPr>
        <w:tabs>
          <w:tab w:val="left" w:pos="1680"/>
        </w:tabs>
      </w:pPr>
    </w:p>
    <w:tbl>
      <w:tblPr>
        <w:tblpPr w:leftFromText="180" w:rightFromText="180" w:vertAnchor="text" w:horzAnchor="margin" w:tblpXSpec="right" w:tblpY="721"/>
        <w:tblW w:w="5447" w:type="dxa"/>
        <w:tblLook w:val="00A0"/>
      </w:tblPr>
      <w:tblGrid>
        <w:gridCol w:w="5447"/>
      </w:tblGrid>
      <w:tr w:rsidR="0060585A" w:rsidRPr="00321D31" w:rsidTr="00555E45">
        <w:tc>
          <w:tcPr>
            <w:tcW w:w="5447" w:type="dxa"/>
          </w:tcPr>
          <w:p w:rsidR="0060585A" w:rsidRPr="00321D31" w:rsidRDefault="0060585A" w:rsidP="00555E45">
            <w:pPr>
              <w:pStyle w:val="Caption"/>
              <w:keepNext/>
              <w:spacing w:before="60" w:after="60" w:line="276" w:lineRule="auto"/>
              <w:jc w:val="left"/>
              <w:rPr>
                <w:sz w:val="24"/>
                <w:szCs w:val="24"/>
              </w:rPr>
            </w:pPr>
            <w:bookmarkStart w:id="19" w:name="_Ref326161049"/>
            <w:r w:rsidRPr="00321D31">
              <w:rPr>
                <w:sz w:val="24"/>
                <w:szCs w:val="24"/>
              </w:rPr>
              <w:lastRenderedPageBreak/>
              <w:t xml:space="preserve">Figure </w:t>
            </w:r>
            <w:r w:rsidR="00185C05" w:rsidRPr="00321D31">
              <w:rPr>
                <w:sz w:val="24"/>
                <w:szCs w:val="24"/>
              </w:rPr>
              <w:fldChar w:fldCharType="begin"/>
            </w:r>
            <w:r w:rsidRPr="00321D31">
              <w:rPr>
                <w:sz w:val="24"/>
                <w:szCs w:val="24"/>
              </w:rPr>
              <w:instrText xml:space="preserve"> SEQ Figure \* ARABIC </w:instrText>
            </w:r>
            <w:r w:rsidR="00185C05" w:rsidRPr="00321D31">
              <w:rPr>
                <w:sz w:val="24"/>
                <w:szCs w:val="24"/>
              </w:rPr>
              <w:fldChar w:fldCharType="separate"/>
            </w:r>
            <w:r w:rsidRPr="00321D31">
              <w:rPr>
                <w:noProof/>
                <w:sz w:val="24"/>
                <w:szCs w:val="24"/>
              </w:rPr>
              <w:t>14</w:t>
            </w:r>
            <w:r w:rsidR="00185C05" w:rsidRPr="00321D31">
              <w:rPr>
                <w:sz w:val="24"/>
                <w:szCs w:val="24"/>
              </w:rPr>
              <w:fldChar w:fldCharType="end"/>
            </w:r>
            <w:bookmarkEnd w:id="19"/>
            <w:r w:rsidRPr="00321D31">
              <w:rPr>
                <w:sz w:val="24"/>
                <w:szCs w:val="24"/>
              </w:rPr>
              <w:t>. External Debt in EU11</w:t>
            </w:r>
          </w:p>
          <w:p w:rsidR="0060585A" w:rsidRPr="00321D31" w:rsidRDefault="0060585A" w:rsidP="00555E45">
            <w:pPr>
              <w:pStyle w:val="Caption"/>
              <w:keepNext/>
              <w:spacing w:before="60" w:after="60" w:line="276" w:lineRule="auto"/>
              <w:jc w:val="center"/>
              <w:rPr>
                <w:sz w:val="24"/>
                <w:szCs w:val="24"/>
              </w:rPr>
            </w:pPr>
            <w:r w:rsidRPr="00321D31">
              <w:rPr>
                <w:sz w:val="24"/>
                <w:szCs w:val="24"/>
              </w:rPr>
              <w:t>(Percent of GDP)</w:t>
            </w:r>
          </w:p>
        </w:tc>
      </w:tr>
      <w:tr w:rsidR="0060585A" w:rsidRPr="00321D31" w:rsidTr="00555E45">
        <w:tc>
          <w:tcPr>
            <w:tcW w:w="5447" w:type="dxa"/>
          </w:tcPr>
          <w:p w:rsidR="0060585A" w:rsidRPr="00321D31" w:rsidRDefault="00A1042F" w:rsidP="00555E45">
            <w:pPr>
              <w:spacing w:after="60" w:line="276" w:lineRule="auto"/>
              <w:rPr>
                <w:b/>
              </w:rPr>
            </w:pPr>
            <w:r>
              <w:rPr>
                <w:b/>
                <w:noProof/>
              </w:rPr>
              <w:drawing>
                <wp:inline distT="0" distB="0" distL="0" distR="0">
                  <wp:extent cx="3181350" cy="19431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3181350" cy="1943100"/>
                          </a:xfrm>
                          <a:prstGeom prst="rect">
                            <a:avLst/>
                          </a:prstGeom>
                          <a:noFill/>
                          <a:ln w="9525">
                            <a:noFill/>
                            <a:miter lim="800000"/>
                            <a:headEnd/>
                            <a:tailEnd/>
                          </a:ln>
                        </pic:spPr>
                      </pic:pic>
                    </a:graphicData>
                  </a:graphic>
                </wp:inline>
              </w:drawing>
            </w:r>
          </w:p>
        </w:tc>
      </w:tr>
      <w:tr w:rsidR="0060585A" w:rsidRPr="00321D31" w:rsidTr="00555E45">
        <w:tc>
          <w:tcPr>
            <w:tcW w:w="5447" w:type="dxa"/>
          </w:tcPr>
          <w:p w:rsidR="0060585A" w:rsidRPr="00321D31" w:rsidRDefault="0060585A" w:rsidP="00555E45">
            <w:pPr>
              <w:keepNext/>
              <w:spacing w:before="100" w:after="40" w:line="276" w:lineRule="auto"/>
              <w:rPr>
                <w:sz w:val="18"/>
                <w:szCs w:val="18"/>
              </w:rPr>
            </w:pPr>
            <w:r w:rsidRPr="00321D31">
              <w:rPr>
                <w:i/>
                <w:sz w:val="18"/>
                <w:szCs w:val="18"/>
              </w:rPr>
              <w:t xml:space="preserve">Source: </w:t>
            </w:r>
            <w:r w:rsidRPr="00321D31">
              <w:rPr>
                <w:sz w:val="18"/>
                <w:szCs w:val="18"/>
              </w:rPr>
              <w:t>Central banks, World Bank staff calculations.</w:t>
            </w:r>
          </w:p>
          <w:p w:rsidR="0060585A" w:rsidRPr="00321D31" w:rsidRDefault="0060585A" w:rsidP="00555E45">
            <w:pPr>
              <w:keepNext/>
              <w:spacing w:before="100" w:after="40" w:line="276" w:lineRule="auto"/>
              <w:rPr>
                <w:sz w:val="18"/>
                <w:szCs w:val="18"/>
              </w:rPr>
            </w:pPr>
            <w:r w:rsidRPr="00321D31">
              <w:rPr>
                <w:i/>
                <w:sz w:val="18"/>
                <w:szCs w:val="18"/>
              </w:rPr>
              <w:t xml:space="preserve">Notes: </w:t>
            </w:r>
            <w:r w:rsidRPr="00321D31">
              <w:rPr>
                <w:sz w:val="18"/>
                <w:szCs w:val="18"/>
              </w:rPr>
              <w:t xml:space="preserve">For Hungary data excluding Special Purpose Entities. </w:t>
            </w:r>
          </w:p>
        </w:tc>
      </w:tr>
    </w:tbl>
    <w:p w:rsidR="0060585A" w:rsidRDefault="0060585A" w:rsidP="00E41045">
      <w:pPr>
        <w:spacing w:line="276" w:lineRule="auto"/>
      </w:pPr>
      <w:r>
        <w:rPr>
          <w:b/>
        </w:rPr>
        <w:t>In the EU11 in 2011 the ratio of g</w:t>
      </w:r>
      <w:r w:rsidRPr="00EE5C71">
        <w:rPr>
          <w:b/>
        </w:rPr>
        <w:t xml:space="preserve">ross external debt to GDP </w:t>
      </w:r>
      <w:r>
        <w:rPr>
          <w:b/>
        </w:rPr>
        <w:t xml:space="preserve">was </w:t>
      </w:r>
      <w:r w:rsidRPr="00EE5C71">
        <w:rPr>
          <w:b/>
        </w:rPr>
        <w:t xml:space="preserve">almost unchanged </w:t>
      </w:r>
      <w:r>
        <w:rPr>
          <w:b/>
        </w:rPr>
        <w:t>from</w:t>
      </w:r>
      <w:r w:rsidRPr="00EE5C71">
        <w:rPr>
          <w:b/>
        </w:rPr>
        <w:t xml:space="preserve"> 2010.</w:t>
      </w:r>
      <w:r w:rsidRPr="00EE5C71">
        <w:t xml:space="preserve"> </w:t>
      </w:r>
      <w:r>
        <w:t xml:space="preserve">Having made </w:t>
      </w:r>
      <w:r w:rsidRPr="00EE5C71">
        <w:t xml:space="preserve">significant adjustments </w:t>
      </w:r>
      <w:r>
        <w:t xml:space="preserve">to </w:t>
      </w:r>
      <w:r w:rsidRPr="00EE5C71">
        <w:t>external current account balances</w:t>
      </w:r>
      <w:r>
        <w:t xml:space="preserve"> and better growth performance</w:t>
      </w:r>
      <w:r w:rsidRPr="00EE5C71">
        <w:t xml:space="preserve">, Bulgaria, </w:t>
      </w:r>
    </w:p>
    <w:p w:rsidR="0060585A" w:rsidRDefault="0060585A" w:rsidP="00E41045">
      <w:pPr>
        <w:spacing w:line="276" w:lineRule="auto"/>
      </w:pPr>
      <w:r w:rsidRPr="00EE5C71">
        <w:t>Latvia, Estonia</w:t>
      </w:r>
      <w:r>
        <w:t>,</w:t>
      </w:r>
      <w:r w:rsidRPr="00EE5C71">
        <w:t xml:space="preserve"> </w:t>
      </w:r>
      <w:r>
        <w:t>and Hungary</w:t>
      </w:r>
      <w:r w:rsidRPr="00EE5C71">
        <w:t xml:space="preserve"> reduced their external debt</w:t>
      </w:r>
      <w:r>
        <w:t xml:space="preserve">-to-GDP </w:t>
      </w:r>
      <w:r w:rsidRPr="00EE5C71">
        <w:t xml:space="preserve">ratios by more than 10 percentage points </w:t>
      </w:r>
      <w:r>
        <w:t xml:space="preserve">as bank </w:t>
      </w:r>
      <w:r w:rsidRPr="00EE5C71">
        <w:t xml:space="preserve">deleveraging </w:t>
      </w:r>
      <w:r>
        <w:t>continued (as well as in response to reserve requirement harmonization in Estonia upon Euro adoption)</w:t>
      </w:r>
      <w:r w:rsidRPr="00EE5C71">
        <w:t xml:space="preserve">. </w:t>
      </w:r>
      <w:r>
        <w:t xml:space="preserve">The </w:t>
      </w:r>
      <w:r w:rsidRPr="00EE5C71">
        <w:t xml:space="preserve">other countries kept their external exposure at levels similar to </w:t>
      </w:r>
      <w:r>
        <w:t xml:space="preserve">those of </w:t>
      </w:r>
      <w:r w:rsidRPr="00EE5C71">
        <w:t xml:space="preserve">2010 thanks to higher government borrowing and intercompany lending. In 2011, intercompany lending in the EU11 grew by close to </w:t>
      </w:r>
      <w:r>
        <w:t>€</w:t>
      </w:r>
      <w:r w:rsidRPr="00EE5C71">
        <w:t>22 billion</w:t>
      </w:r>
      <w:r>
        <w:t>,</w:t>
      </w:r>
      <w:r w:rsidRPr="00EE5C71">
        <w:t xml:space="preserve"> mainly in Hungary, Poland, and Slovakia. </w:t>
      </w:r>
    </w:p>
    <w:p w:rsidR="0060585A" w:rsidRDefault="0060585A" w:rsidP="007C638E">
      <w:pPr>
        <w:pStyle w:val="IntenseQuote"/>
      </w:pPr>
    </w:p>
    <w:p w:rsidR="0060585A" w:rsidRDefault="0060585A" w:rsidP="007C638E">
      <w:pPr>
        <w:pStyle w:val="IntenseQuote"/>
      </w:pPr>
      <w:r w:rsidRPr="00F8203E">
        <w:t>Stubbornly High Unemployment</w:t>
      </w:r>
    </w:p>
    <w:p w:rsidR="0060585A" w:rsidRPr="001B12FD" w:rsidRDefault="0060585A" w:rsidP="00E41045">
      <w:pPr>
        <w:spacing w:after="200" w:line="276" w:lineRule="auto"/>
        <w:rPr>
          <w:rFonts w:cs="Arial"/>
          <w:bCs/>
          <w:i/>
          <w:iCs/>
          <w:color w:val="1F497D"/>
          <w:sz w:val="22"/>
          <w:szCs w:val="22"/>
          <w:highlight w:val="yellow"/>
          <w:lang w:eastAsia="pl-PL"/>
        </w:rPr>
      </w:pPr>
      <w:r>
        <w:rPr>
          <w:rFonts w:cs="Arial"/>
          <w:bCs/>
          <w:i/>
          <w:iCs/>
          <w:color w:val="1F497D"/>
          <w:sz w:val="22"/>
          <w:szCs w:val="22"/>
          <w:lang w:eastAsia="pl-PL"/>
        </w:rPr>
        <w:t>EU11 e</w:t>
      </w:r>
      <w:r w:rsidRPr="00683057">
        <w:rPr>
          <w:rFonts w:cs="Arial"/>
          <w:bCs/>
          <w:i/>
          <w:iCs/>
          <w:color w:val="1F497D"/>
          <w:sz w:val="22"/>
          <w:szCs w:val="22"/>
          <w:lang w:eastAsia="pl-PL"/>
        </w:rPr>
        <w:t xml:space="preserve">conomic growth </w:t>
      </w:r>
      <w:r>
        <w:rPr>
          <w:rFonts w:cs="Arial"/>
          <w:bCs/>
          <w:i/>
          <w:iCs/>
          <w:color w:val="1F497D"/>
          <w:sz w:val="22"/>
          <w:szCs w:val="22"/>
          <w:lang w:eastAsia="pl-PL"/>
        </w:rPr>
        <w:t xml:space="preserve">in 2011 was </w:t>
      </w:r>
      <w:r w:rsidRPr="00683057">
        <w:rPr>
          <w:rFonts w:cs="Arial"/>
          <w:bCs/>
          <w:i/>
          <w:iCs/>
          <w:color w:val="1F497D"/>
          <w:sz w:val="22"/>
          <w:szCs w:val="22"/>
          <w:lang w:eastAsia="pl-PL"/>
        </w:rPr>
        <w:t>largely jobless</w:t>
      </w:r>
      <w:r w:rsidRPr="003421EA">
        <w:rPr>
          <w:rFonts w:cs="Arial"/>
          <w:bCs/>
          <w:i/>
          <w:iCs/>
          <w:color w:val="1F497D"/>
          <w:sz w:val="22"/>
          <w:szCs w:val="22"/>
          <w:lang w:eastAsia="pl-PL"/>
        </w:rPr>
        <w:t xml:space="preserve">. Employment creation was modest and mostly resulted in part-time and fixed-term jobs. </w:t>
      </w:r>
      <w:r>
        <w:rPr>
          <w:rFonts w:cs="Arial"/>
          <w:bCs/>
          <w:i/>
          <w:iCs/>
          <w:color w:val="1F497D"/>
          <w:sz w:val="22"/>
          <w:szCs w:val="22"/>
          <w:lang w:eastAsia="pl-PL"/>
        </w:rPr>
        <w:t>U</w:t>
      </w:r>
      <w:r w:rsidRPr="003421EA">
        <w:rPr>
          <w:rFonts w:cs="Arial"/>
          <w:bCs/>
          <w:i/>
          <w:iCs/>
          <w:color w:val="1F497D"/>
          <w:sz w:val="22"/>
          <w:szCs w:val="22"/>
          <w:lang w:eastAsia="pl-PL"/>
        </w:rPr>
        <w:t xml:space="preserve">nemployment </w:t>
      </w:r>
      <w:r>
        <w:rPr>
          <w:rFonts w:cs="Arial"/>
          <w:bCs/>
          <w:i/>
          <w:iCs/>
          <w:color w:val="1F497D"/>
          <w:sz w:val="22"/>
          <w:szCs w:val="22"/>
          <w:lang w:eastAsia="pl-PL"/>
        </w:rPr>
        <w:t xml:space="preserve">continued to be </w:t>
      </w:r>
      <w:r w:rsidRPr="003421EA">
        <w:rPr>
          <w:rFonts w:cs="Arial"/>
          <w:bCs/>
          <w:i/>
          <w:iCs/>
          <w:color w:val="1F497D"/>
          <w:sz w:val="22"/>
          <w:szCs w:val="22"/>
          <w:lang w:eastAsia="pl-PL"/>
        </w:rPr>
        <w:t>stubbornly high, especially among the youth and the unskilled.</w:t>
      </w:r>
      <w:r>
        <w:rPr>
          <w:rFonts w:cs="Arial"/>
          <w:bCs/>
          <w:i/>
          <w:iCs/>
          <w:color w:val="1F497D"/>
          <w:sz w:val="22"/>
          <w:szCs w:val="22"/>
          <w:lang w:eastAsia="pl-PL"/>
        </w:rPr>
        <w:t xml:space="preserve"> Real wages again grew more slowly than productivity.</w:t>
      </w:r>
    </w:p>
    <w:p w:rsidR="0060585A" w:rsidRDefault="0060585A" w:rsidP="00E41045">
      <w:pPr>
        <w:spacing w:line="276" w:lineRule="auto"/>
        <w:rPr>
          <w:b/>
          <w:szCs w:val="20"/>
        </w:rPr>
      </w:pPr>
    </w:p>
    <w:p w:rsidR="0060585A" w:rsidRPr="00EE5C71" w:rsidRDefault="0060585A" w:rsidP="00E41045">
      <w:pPr>
        <w:spacing w:line="276" w:lineRule="auto"/>
        <w:rPr>
          <w:szCs w:val="20"/>
        </w:rPr>
      </w:pPr>
      <w:r>
        <w:rPr>
          <w:b/>
          <w:szCs w:val="20"/>
        </w:rPr>
        <w:t>Employment gains lagged the recovery of output in 2011.</w:t>
      </w:r>
      <w:r w:rsidRPr="00EE5C71">
        <w:rPr>
          <w:b/>
          <w:szCs w:val="20"/>
        </w:rPr>
        <w:t xml:space="preserve"> </w:t>
      </w:r>
      <w:r>
        <w:rPr>
          <w:szCs w:val="20"/>
        </w:rPr>
        <w:t xml:space="preserve">In 2011 about </w:t>
      </w:r>
      <w:r w:rsidRPr="00EE5C71">
        <w:rPr>
          <w:szCs w:val="20"/>
        </w:rPr>
        <w:t>160</w:t>
      </w:r>
      <w:r>
        <w:rPr>
          <w:szCs w:val="20"/>
        </w:rPr>
        <w:t>,000</w:t>
      </w:r>
      <w:r w:rsidRPr="00EE5C71">
        <w:rPr>
          <w:szCs w:val="20"/>
        </w:rPr>
        <w:t xml:space="preserve"> jobs were created across the EU11</w:t>
      </w:r>
      <w:r>
        <w:rPr>
          <w:szCs w:val="20"/>
        </w:rPr>
        <w:t xml:space="preserve">. For </w:t>
      </w:r>
      <w:r w:rsidRPr="00EE5C71">
        <w:rPr>
          <w:szCs w:val="20"/>
        </w:rPr>
        <w:t xml:space="preserve">the first time </w:t>
      </w:r>
      <w:r>
        <w:rPr>
          <w:szCs w:val="20"/>
        </w:rPr>
        <w:t xml:space="preserve">since </w:t>
      </w:r>
      <w:r w:rsidRPr="00EE5C71">
        <w:rPr>
          <w:szCs w:val="20"/>
        </w:rPr>
        <w:t xml:space="preserve">the </w:t>
      </w:r>
      <w:r>
        <w:rPr>
          <w:szCs w:val="20"/>
        </w:rPr>
        <w:t>start</w:t>
      </w:r>
      <w:r w:rsidRPr="00EE5C71">
        <w:rPr>
          <w:szCs w:val="20"/>
        </w:rPr>
        <w:t xml:space="preserve"> </w:t>
      </w:r>
      <w:r>
        <w:rPr>
          <w:szCs w:val="20"/>
        </w:rPr>
        <w:t>of the financial crisis in 2008,</w:t>
      </w:r>
      <w:r w:rsidRPr="00EE5C71">
        <w:rPr>
          <w:szCs w:val="20"/>
        </w:rPr>
        <w:t xml:space="preserve"> employment growth was positive </w:t>
      </w:r>
      <w:r>
        <w:rPr>
          <w:szCs w:val="20"/>
        </w:rPr>
        <w:t xml:space="preserve">in </w:t>
      </w:r>
      <w:r w:rsidRPr="00EE5C71">
        <w:rPr>
          <w:szCs w:val="20"/>
        </w:rPr>
        <w:t>both the EU15 and</w:t>
      </w:r>
      <w:r>
        <w:rPr>
          <w:szCs w:val="20"/>
        </w:rPr>
        <w:t xml:space="preserve"> the E</w:t>
      </w:r>
      <w:r w:rsidRPr="00EE5C71">
        <w:rPr>
          <w:szCs w:val="20"/>
        </w:rPr>
        <w:t>U11.</w:t>
      </w:r>
      <w:r>
        <w:rPr>
          <w:szCs w:val="20"/>
        </w:rPr>
        <w:t xml:space="preserve"> </w:t>
      </w:r>
      <w:r w:rsidRPr="00EE5C71">
        <w:rPr>
          <w:szCs w:val="20"/>
        </w:rPr>
        <w:t>However</w:t>
      </w:r>
      <w:r>
        <w:rPr>
          <w:szCs w:val="20"/>
        </w:rPr>
        <w:t>,</w:t>
      </w:r>
      <w:r w:rsidRPr="00EE5C71">
        <w:rPr>
          <w:szCs w:val="20"/>
        </w:rPr>
        <w:t xml:space="preserve"> the pace of improvement in labor market outcomes was well below the speed of economic recovery. Bulgaria and Slovenia were the only </w:t>
      </w:r>
      <w:r>
        <w:rPr>
          <w:szCs w:val="20"/>
        </w:rPr>
        <w:t xml:space="preserve">EU11 </w:t>
      </w:r>
      <w:r w:rsidRPr="00EE5C71">
        <w:rPr>
          <w:szCs w:val="20"/>
        </w:rPr>
        <w:t>countries where employment growth remained negative</w:t>
      </w:r>
      <w:r>
        <w:rPr>
          <w:szCs w:val="20"/>
        </w:rPr>
        <w:t xml:space="preserve"> in 2011. N</w:t>
      </w:r>
      <w:r w:rsidRPr="00EE5C71">
        <w:rPr>
          <w:szCs w:val="20"/>
        </w:rPr>
        <w:t xml:space="preserve">o </w:t>
      </w:r>
      <w:r>
        <w:rPr>
          <w:szCs w:val="20"/>
        </w:rPr>
        <w:t xml:space="preserve">EU11 </w:t>
      </w:r>
      <w:r w:rsidRPr="00EE5C71">
        <w:rPr>
          <w:szCs w:val="20"/>
        </w:rPr>
        <w:t xml:space="preserve">country </w:t>
      </w:r>
      <w:r>
        <w:rPr>
          <w:szCs w:val="20"/>
        </w:rPr>
        <w:t xml:space="preserve">other than </w:t>
      </w:r>
      <w:r w:rsidRPr="00EE5C71">
        <w:rPr>
          <w:szCs w:val="20"/>
        </w:rPr>
        <w:t xml:space="preserve">Poland </w:t>
      </w:r>
      <w:r>
        <w:rPr>
          <w:szCs w:val="20"/>
        </w:rPr>
        <w:t>(</w:t>
      </w:r>
      <w:r w:rsidRPr="00EE5C71">
        <w:rPr>
          <w:szCs w:val="20"/>
        </w:rPr>
        <w:t xml:space="preserve">which </w:t>
      </w:r>
      <w:r>
        <w:rPr>
          <w:szCs w:val="20"/>
        </w:rPr>
        <w:t xml:space="preserve">kept </w:t>
      </w:r>
      <w:r w:rsidRPr="00EE5C71">
        <w:rPr>
          <w:szCs w:val="20"/>
        </w:rPr>
        <w:t>grow</w:t>
      </w:r>
      <w:r>
        <w:rPr>
          <w:szCs w:val="20"/>
        </w:rPr>
        <w:t>ing</w:t>
      </w:r>
      <w:r w:rsidRPr="00EE5C71">
        <w:rPr>
          <w:szCs w:val="20"/>
        </w:rPr>
        <w:t xml:space="preserve"> throughout the crisis</w:t>
      </w:r>
      <w:r>
        <w:rPr>
          <w:szCs w:val="20"/>
        </w:rPr>
        <w:t>)</w:t>
      </w:r>
      <w:r w:rsidRPr="00EE5C71">
        <w:rPr>
          <w:szCs w:val="20"/>
        </w:rPr>
        <w:t xml:space="preserve"> managed to </w:t>
      </w:r>
      <w:r>
        <w:rPr>
          <w:szCs w:val="20"/>
        </w:rPr>
        <w:t xml:space="preserve">return to </w:t>
      </w:r>
      <w:r w:rsidRPr="00EE5C71">
        <w:rPr>
          <w:szCs w:val="20"/>
        </w:rPr>
        <w:t>pre-crisis employment levels.</w:t>
      </w:r>
      <w:r>
        <w:rPr>
          <w:szCs w:val="20"/>
        </w:rPr>
        <w:t xml:space="preserve"> B</w:t>
      </w:r>
      <w:r w:rsidRPr="00EE5C71">
        <w:rPr>
          <w:szCs w:val="20"/>
        </w:rPr>
        <w:t xml:space="preserve">y the end </w:t>
      </w:r>
      <w:r>
        <w:rPr>
          <w:szCs w:val="20"/>
        </w:rPr>
        <w:t xml:space="preserve">of </w:t>
      </w:r>
      <w:r w:rsidRPr="00EE5C71">
        <w:rPr>
          <w:szCs w:val="20"/>
        </w:rPr>
        <w:t xml:space="preserve">2011 there were 1.1 million </w:t>
      </w:r>
      <w:r>
        <w:rPr>
          <w:szCs w:val="20"/>
        </w:rPr>
        <w:t xml:space="preserve">fewer </w:t>
      </w:r>
      <w:r w:rsidRPr="00EE5C71">
        <w:rPr>
          <w:szCs w:val="20"/>
        </w:rPr>
        <w:t xml:space="preserve">jobs in EU11 countries than </w:t>
      </w:r>
      <w:r>
        <w:rPr>
          <w:szCs w:val="20"/>
        </w:rPr>
        <w:t xml:space="preserve">at the end </w:t>
      </w:r>
      <w:r w:rsidRPr="00EE5C71">
        <w:rPr>
          <w:szCs w:val="20"/>
        </w:rPr>
        <w:t>of 2008.</w:t>
      </w:r>
    </w:p>
    <w:p w:rsidR="0060585A" w:rsidRPr="00EE5C71" w:rsidRDefault="0060585A" w:rsidP="00E41045">
      <w:pPr>
        <w:spacing w:line="276" w:lineRule="auto"/>
        <w:rPr>
          <w:szCs w:val="20"/>
        </w:rPr>
      </w:pPr>
    </w:p>
    <w:tbl>
      <w:tblPr>
        <w:tblW w:w="9576" w:type="dxa"/>
        <w:jc w:val="center"/>
        <w:tblInd w:w="457" w:type="dxa"/>
        <w:tblLook w:val="00A0"/>
      </w:tblPr>
      <w:tblGrid>
        <w:gridCol w:w="5126"/>
        <w:gridCol w:w="4450"/>
      </w:tblGrid>
      <w:tr w:rsidR="0060585A" w:rsidRPr="00321D31" w:rsidTr="00390DCF">
        <w:trPr>
          <w:trHeight w:val="390"/>
          <w:jc w:val="center"/>
        </w:trPr>
        <w:tc>
          <w:tcPr>
            <w:tcW w:w="9576" w:type="dxa"/>
            <w:gridSpan w:val="2"/>
          </w:tcPr>
          <w:p w:rsidR="0060585A" w:rsidRPr="00321D31" w:rsidRDefault="0060585A" w:rsidP="000C50E8">
            <w:pPr>
              <w:pStyle w:val="Caption"/>
              <w:keepNext/>
              <w:keepLines/>
              <w:spacing w:before="60" w:after="60" w:line="276" w:lineRule="auto"/>
              <w:jc w:val="left"/>
              <w:rPr>
                <w:sz w:val="24"/>
                <w:szCs w:val="20"/>
              </w:rPr>
            </w:pPr>
            <w:r w:rsidRPr="00321D31">
              <w:rPr>
                <w:sz w:val="24"/>
                <w:szCs w:val="20"/>
              </w:rPr>
              <w:lastRenderedPageBreak/>
              <w:t xml:space="preserve">Figure </w:t>
            </w:r>
            <w:r w:rsidR="00185C05" w:rsidRPr="00321D31">
              <w:rPr>
                <w:sz w:val="24"/>
                <w:szCs w:val="20"/>
              </w:rPr>
              <w:fldChar w:fldCharType="begin"/>
            </w:r>
            <w:r w:rsidRPr="00321D31">
              <w:rPr>
                <w:sz w:val="24"/>
                <w:szCs w:val="20"/>
              </w:rPr>
              <w:instrText xml:space="preserve"> SEQ Figure \* ARABIC </w:instrText>
            </w:r>
            <w:r w:rsidR="00185C05" w:rsidRPr="00321D31">
              <w:rPr>
                <w:sz w:val="24"/>
                <w:szCs w:val="20"/>
              </w:rPr>
              <w:fldChar w:fldCharType="separate"/>
            </w:r>
            <w:r w:rsidRPr="00321D31">
              <w:rPr>
                <w:noProof/>
                <w:sz w:val="24"/>
                <w:szCs w:val="20"/>
              </w:rPr>
              <w:t>15</w:t>
            </w:r>
            <w:r w:rsidR="00185C05" w:rsidRPr="00321D31">
              <w:rPr>
                <w:sz w:val="24"/>
                <w:szCs w:val="20"/>
              </w:rPr>
              <w:fldChar w:fldCharType="end"/>
            </w:r>
            <w:r w:rsidRPr="00321D31">
              <w:rPr>
                <w:sz w:val="24"/>
                <w:szCs w:val="20"/>
              </w:rPr>
              <w:t>. GDP and Employment Growth in EU11 (Percent)</w:t>
            </w:r>
          </w:p>
        </w:tc>
      </w:tr>
      <w:tr w:rsidR="0060585A" w:rsidRPr="00321D31" w:rsidTr="00390DCF">
        <w:trPr>
          <w:trHeight w:val="2910"/>
          <w:jc w:val="center"/>
        </w:trPr>
        <w:tc>
          <w:tcPr>
            <w:tcW w:w="5126" w:type="dxa"/>
          </w:tcPr>
          <w:p w:rsidR="0060585A" w:rsidRPr="00321D31" w:rsidRDefault="00A1042F" w:rsidP="00321D31">
            <w:pPr>
              <w:keepNext/>
              <w:keepLines/>
              <w:autoSpaceDE w:val="0"/>
              <w:autoSpaceDN w:val="0"/>
              <w:adjustRightInd w:val="0"/>
              <w:spacing w:line="276" w:lineRule="auto"/>
              <w:rPr>
                <w:b/>
                <w:highlight w:val="yellow"/>
              </w:rPr>
            </w:pPr>
            <w:r>
              <w:rPr>
                <w:b/>
                <w:noProof/>
              </w:rPr>
              <w:drawing>
                <wp:inline distT="0" distB="0" distL="0" distR="0">
                  <wp:extent cx="3028950" cy="177165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srcRect/>
                          <a:stretch>
                            <a:fillRect/>
                          </a:stretch>
                        </pic:blipFill>
                        <pic:spPr bwMode="auto">
                          <a:xfrm>
                            <a:off x="0" y="0"/>
                            <a:ext cx="3028950" cy="1771650"/>
                          </a:xfrm>
                          <a:prstGeom prst="rect">
                            <a:avLst/>
                          </a:prstGeom>
                          <a:noFill/>
                          <a:ln w="9525">
                            <a:noFill/>
                            <a:miter lim="800000"/>
                            <a:headEnd/>
                            <a:tailEnd/>
                          </a:ln>
                        </pic:spPr>
                      </pic:pic>
                    </a:graphicData>
                  </a:graphic>
                </wp:inline>
              </w:drawing>
            </w:r>
          </w:p>
        </w:tc>
        <w:tc>
          <w:tcPr>
            <w:tcW w:w="4450" w:type="dxa"/>
          </w:tcPr>
          <w:p w:rsidR="0060585A" w:rsidRPr="00321D31" w:rsidRDefault="00A1042F" w:rsidP="00321D31">
            <w:pPr>
              <w:keepNext/>
              <w:keepLines/>
              <w:autoSpaceDE w:val="0"/>
              <w:autoSpaceDN w:val="0"/>
              <w:adjustRightInd w:val="0"/>
              <w:spacing w:line="276" w:lineRule="auto"/>
              <w:rPr>
                <w:b/>
                <w:highlight w:val="yellow"/>
              </w:rPr>
            </w:pPr>
            <w:r>
              <w:rPr>
                <w:b/>
                <w:noProof/>
              </w:rPr>
              <w:drawing>
                <wp:inline distT="0" distB="0" distL="0" distR="0">
                  <wp:extent cx="2171700" cy="177165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srcRect/>
                          <a:stretch>
                            <a:fillRect/>
                          </a:stretch>
                        </pic:blipFill>
                        <pic:spPr bwMode="auto">
                          <a:xfrm>
                            <a:off x="0" y="0"/>
                            <a:ext cx="2171700" cy="1771650"/>
                          </a:xfrm>
                          <a:prstGeom prst="rect">
                            <a:avLst/>
                          </a:prstGeom>
                          <a:noFill/>
                          <a:ln w="9525">
                            <a:noFill/>
                            <a:miter lim="800000"/>
                            <a:headEnd/>
                            <a:tailEnd/>
                          </a:ln>
                        </pic:spPr>
                      </pic:pic>
                    </a:graphicData>
                  </a:graphic>
                </wp:inline>
              </w:drawing>
            </w:r>
          </w:p>
        </w:tc>
      </w:tr>
      <w:tr w:rsidR="0060585A" w:rsidRPr="00321D31" w:rsidTr="00390DCF">
        <w:trPr>
          <w:trHeight w:val="315"/>
          <w:jc w:val="center"/>
        </w:trPr>
        <w:tc>
          <w:tcPr>
            <w:tcW w:w="9576" w:type="dxa"/>
            <w:gridSpan w:val="2"/>
          </w:tcPr>
          <w:p w:rsidR="0060585A" w:rsidRPr="00321D31" w:rsidRDefault="0060585A" w:rsidP="00321D31">
            <w:pPr>
              <w:keepNext/>
              <w:spacing w:before="60" w:after="40" w:line="276" w:lineRule="auto"/>
              <w:rPr>
                <w:i/>
                <w:sz w:val="18"/>
                <w:szCs w:val="18"/>
              </w:rPr>
            </w:pPr>
            <w:r w:rsidRPr="00321D31">
              <w:rPr>
                <w:i/>
                <w:sz w:val="18"/>
                <w:szCs w:val="18"/>
              </w:rPr>
              <w:t xml:space="preserve">Source: </w:t>
            </w:r>
            <w:r w:rsidRPr="00321D31">
              <w:rPr>
                <w:sz w:val="18"/>
                <w:szCs w:val="18"/>
              </w:rPr>
              <w:t>Eurostat, World Bank staff calculations.</w:t>
            </w:r>
            <w:r w:rsidRPr="00321D31">
              <w:rPr>
                <w:i/>
                <w:sz w:val="18"/>
                <w:szCs w:val="18"/>
              </w:rPr>
              <w:t xml:space="preserve"> </w:t>
            </w:r>
          </w:p>
        </w:tc>
      </w:tr>
    </w:tbl>
    <w:p w:rsidR="0060585A" w:rsidRPr="00EE5C71" w:rsidRDefault="0060585A" w:rsidP="00E41045">
      <w:pPr>
        <w:spacing w:line="276" w:lineRule="auto"/>
        <w:rPr>
          <w:sz w:val="20"/>
          <w:szCs w:val="20"/>
        </w:rPr>
      </w:pPr>
    </w:p>
    <w:p w:rsidR="0060585A" w:rsidRDefault="0060585A" w:rsidP="00E41045">
      <w:pPr>
        <w:spacing w:line="276" w:lineRule="auto"/>
        <w:rPr>
          <w:szCs w:val="20"/>
        </w:rPr>
      </w:pPr>
      <w:r>
        <w:rPr>
          <w:b/>
          <w:szCs w:val="20"/>
        </w:rPr>
        <w:t>E</w:t>
      </w:r>
      <w:r w:rsidRPr="00EE5C71">
        <w:rPr>
          <w:b/>
          <w:szCs w:val="20"/>
        </w:rPr>
        <w:t xml:space="preserve">mployment creation </w:t>
      </w:r>
      <w:r>
        <w:rPr>
          <w:b/>
          <w:szCs w:val="20"/>
        </w:rPr>
        <w:t>was modest and largely in the form of temporary and part-time jobs</w:t>
      </w:r>
      <w:r w:rsidRPr="00EE5C71">
        <w:rPr>
          <w:b/>
          <w:szCs w:val="20"/>
        </w:rPr>
        <w:t>.</w:t>
      </w:r>
      <w:r w:rsidRPr="00EE5C71">
        <w:rPr>
          <w:szCs w:val="20"/>
        </w:rPr>
        <w:t xml:space="preserve"> The increase in nonstandard </w:t>
      </w:r>
      <w:r>
        <w:rPr>
          <w:szCs w:val="20"/>
        </w:rPr>
        <w:t>types</w:t>
      </w:r>
      <w:r w:rsidRPr="00EE5C71">
        <w:rPr>
          <w:szCs w:val="20"/>
        </w:rPr>
        <w:t xml:space="preserve"> </w:t>
      </w:r>
      <w:r>
        <w:rPr>
          <w:szCs w:val="20"/>
        </w:rPr>
        <w:t xml:space="preserve">of </w:t>
      </w:r>
      <w:r w:rsidRPr="00EE5C71">
        <w:rPr>
          <w:szCs w:val="20"/>
        </w:rPr>
        <w:t>employment reflect</w:t>
      </w:r>
      <w:r>
        <w:rPr>
          <w:szCs w:val="20"/>
        </w:rPr>
        <w:t>ed</w:t>
      </w:r>
      <w:r w:rsidRPr="00EE5C71">
        <w:rPr>
          <w:szCs w:val="20"/>
        </w:rPr>
        <w:t xml:space="preserve"> increasing demand </w:t>
      </w:r>
      <w:r>
        <w:rPr>
          <w:szCs w:val="20"/>
        </w:rPr>
        <w:t xml:space="preserve">by companies </w:t>
      </w:r>
      <w:r w:rsidRPr="00EE5C71">
        <w:rPr>
          <w:szCs w:val="20"/>
        </w:rPr>
        <w:t xml:space="preserve">for more flexible work arrangements as a buffer against </w:t>
      </w:r>
      <w:r>
        <w:rPr>
          <w:szCs w:val="20"/>
        </w:rPr>
        <w:t xml:space="preserve">economic </w:t>
      </w:r>
      <w:r w:rsidRPr="00EE5C71">
        <w:rPr>
          <w:szCs w:val="20"/>
        </w:rPr>
        <w:t>volatil</w:t>
      </w:r>
      <w:r>
        <w:rPr>
          <w:szCs w:val="20"/>
        </w:rPr>
        <w:t>ity (</w:t>
      </w:r>
      <w:fldSimple w:instr=" REF _Ref327286111 \h  \* MERGEFORMAT ">
        <w:r w:rsidRPr="00EE5C71">
          <w:rPr>
            <w:szCs w:val="20"/>
          </w:rPr>
          <w:t xml:space="preserve">Figure </w:t>
        </w:r>
        <w:r>
          <w:rPr>
            <w:szCs w:val="20"/>
          </w:rPr>
          <w:t>16</w:t>
        </w:r>
      </w:fldSimple>
      <w:r>
        <w:rPr>
          <w:szCs w:val="20"/>
        </w:rPr>
        <w:t xml:space="preserve"> and</w:t>
      </w:r>
      <w:r>
        <w:t>17</w:t>
      </w:r>
      <w:r>
        <w:rPr>
          <w:szCs w:val="20"/>
        </w:rPr>
        <w:t>)</w:t>
      </w:r>
      <w:r w:rsidRPr="00EE5C71">
        <w:rPr>
          <w:szCs w:val="20"/>
        </w:rPr>
        <w:t>.</w:t>
      </w:r>
      <w:r>
        <w:rPr>
          <w:szCs w:val="20"/>
        </w:rPr>
        <w:t xml:space="preserve"> </w:t>
      </w:r>
      <w:r w:rsidRPr="00EE5C71">
        <w:rPr>
          <w:szCs w:val="20"/>
        </w:rPr>
        <w:t xml:space="preserve">Increases in </w:t>
      </w:r>
      <w:r>
        <w:rPr>
          <w:szCs w:val="20"/>
        </w:rPr>
        <w:t>temporary</w:t>
      </w:r>
      <w:r w:rsidRPr="00EE5C71">
        <w:rPr>
          <w:szCs w:val="20"/>
        </w:rPr>
        <w:t xml:space="preserve"> contracts and part-time work helped to stabilize employment levels by </w:t>
      </w:r>
      <w:r>
        <w:rPr>
          <w:szCs w:val="20"/>
        </w:rPr>
        <w:t xml:space="preserve">adding flexibility to </w:t>
      </w:r>
      <w:r w:rsidRPr="00EE5C71">
        <w:rPr>
          <w:szCs w:val="20"/>
        </w:rPr>
        <w:t>the labor market in almost all EU11 countries.</w:t>
      </w:r>
      <w:r>
        <w:rPr>
          <w:szCs w:val="20"/>
        </w:rPr>
        <w:t xml:space="preserve"> While many temporary and part-time employees have reasons for working under such contracts, for an increasing number of workers these jobs are an option of last resort. For example, since 2008 the</w:t>
      </w:r>
      <w:r w:rsidRPr="00EE5C71">
        <w:rPr>
          <w:szCs w:val="20"/>
        </w:rPr>
        <w:t xml:space="preserve"> share of </w:t>
      </w:r>
      <w:r>
        <w:rPr>
          <w:szCs w:val="20"/>
        </w:rPr>
        <w:t>EU11 workers seeking permanent positions who could only find temporary jobs</w:t>
      </w:r>
      <w:r w:rsidRPr="00EE5C71">
        <w:rPr>
          <w:szCs w:val="20"/>
        </w:rPr>
        <w:t xml:space="preserve"> increased by </w:t>
      </w:r>
      <w:r>
        <w:rPr>
          <w:szCs w:val="20"/>
        </w:rPr>
        <w:t xml:space="preserve">about </w:t>
      </w:r>
      <w:r w:rsidRPr="00EE5C71">
        <w:rPr>
          <w:szCs w:val="20"/>
        </w:rPr>
        <w:t>5 percentage points</w:t>
      </w:r>
      <w:r>
        <w:rPr>
          <w:szCs w:val="20"/>
        </w:rPr>
        <w:t xml:space="preserve">, surpassing </w:t>
      </w:r>
      <w:r w:rsidRPr="00EE5C71">
        <w:rPr>
          <w:szCs w:val="20"/>
        </w:rPr>
        <w:t>70 percent</w:t>
      </w:r>
      <w:r>
        <w:rPr>
          <w:szCs w:val="20"/>
        </w:rPr>
        <w:t xml:space="preserve"> by 2012</w:t>
      </w:r>
      <w:r w:rsidRPr="00EE5C71">
        <w:rPr>
          <w:szCs w:val="20"/>
        </w:rPr>
        <w:t>.</w:t>
      </w:r>
      <w:r>
        <w:rPr>
          <w:szCs w:val="20"/>
        </w:rPr>
        <w:t xml:space="preserve"> </w:t>
      </w:r>
      <w:r w:rsidRPr="00EE5C71">
        <w:rPr>
          <w:szCs w:val="20"/>
        </w:rPr>
        <w:t xml:space="preserve">The share of </w:t>
      </w:r>
      <w:r>
        <w:rPr>
          <w:szCs w:val="20"/>
        </w:rPr>
        <w:t>part-time workers</w:t>
      </w:r>
      <w:r w:rsidRPr="00EE5C71">
        <w:rPr>
          <w:szCs w:val="20"/>
        </w:rPr>
        <w:t xml:space="preserve"> </w:t>
      </w:r>
      <w:r>
        <w:rPr>
          <w:szCs w:val="20"/>
        </w:rPr>
        <w:t>who want a full-time job</w:t>
      </w:r>
      <w:r w:rsidRPr="00EE5C71">
        <w:rPr>
          <w:szCs w:val="20"/>
        </w:rPr>
        <w:t xml:space="preserve"> increased even more (by nearly 7 percentage points)</w:t>
      </w:r>
      <w:r>
        <w:rPr>
          <w:szCs w:val="20"/>
        </w:rPr>
        <w:t xml:space="preserve">, though </w:t>
      </w:r>
      <w:r w:rsidRPr="00EE5C71">
        <w:rPr>
          <w:szCs w:val="20"/>
        </w:rPr>
        <w:t>from lower levels</w:t>
      </w:r>
      <w:r>
        <w:rPr>
          <w:szCs w:val="20"/>
        </w:rPr>
        <w:t xml:space="preserve"> (</w:t>
      </w:r>
      <w:fldSimple w:instr=" REF _Ref327286127 \h  \* MERGEFORMAT ">
        <w:r w:rsidRPr="00EE5C71">
          <w:rPr>
            <w:szCs w:val="20"/>
          </w:rPr>
          <w:t xml:space="preserve">Figure </w:t>
        </w:r>
        <w:r>
          <w:rPr>
            <w:noProof/>
            <w:szCs w:val="20"/>
          </w:rPr>
          <w:t>18</w:t>
        </w:r>
      </w:fldSimple>
      <w:r>
        <w:rPr>
          <w:szCs w:val="20"/>
        </w:rPr>
        <w:t>)</w:t>
      </w:r>
      <w:r w:rsidRPr="00EE5C71">
        <w:rPr>
          <w:szCs w:val="20"/>
        </w:rPr>
        <w:t>.</w:t>
      </w:r>
      <w:r>
        <w:rPr>
          <w:szCs w:val="20"/>
        </w:rPr>
        <w:t xml:space="preserve"> </w:t>
      </w:r>
    </w:p>
    <w:p w:rsidR="0060585A" w:rsidRPr="00EE5C71" w:rsidRDefault="0060585A" w:rsidP="00E41045">
      <w:pPr>
        <w:spacing w:line="276" w:lineRule="auto"/>
        <w:rPr>
          <w:szCs w:val="20"/>
        </w:rPr>
      </w:pPr>
    </w:p>
    <w:tbl>
      <w:tblPr>
        <w:tblW w:w="9646" w:type="dxa"/>
        <w:jc w:val="center"/>
        <w:tblInd w:w="526" w:type="dxa"/>
        <w:tblLook w:val="00A0"/>
      </w:tblPr>
      <w:tblGrid>
        <w:gridCol w:w="4806"/>
        <w:gridCol w:w="4840"/>
      </w:tblGrid>
      <w:tr w:rsidR="0060585A" w:rsidRPr="00321D31" w:rsidTr="00390DCF">
        <w:trPr>
          <w:jc w:val="center"/>
        </w:trPr>
        <w:tc>
          <w:tcPr>
            <w:tcW w:w="4565" w:type="dxa"/>
          </w:tcPr>
          <w:p w:rsidR="0060585A" w:rsidRPr="00321D31" w:rsidRDefault="0060585A" w:rsidP="000C50E8">
            <w:pPr>
              <w:pStyle w:val="Caption"/>
              <w:keepNext/>
              <w:keepLines/>
              <w:spacing w:before="60" w:after="60" w:line="276" w:lineRule="auto"/>
              <w:jc w:val="left"/>
              <w:rPr>
                <w:sz w:val="24"/>
                <w:szCs w:val="20"/>
              </w:rPr>
            </w:pPr>
            <w:bookmarkStart w:id="20" w:name="_Ref327286111"/>
            <w:r w:rsidRPr="00321D31">
              <w:rPr>
                <w:sz w:val="24"/>
                <w:szCs w:val="20"/>
              </w:rPr>
              <w:t xml:space="preserve">Figure </w:t>
            </w:r>
            <w:r w:rsidR="00185C05" w:rsidRPr="00321D31">
              <w:rPr>
                <w:sz w:val="24"/>
                <w:szCs w:val="20"/>
              </w:rPr>
              <w:fldChar w:fldCharType="begin"/>
            </w:r>
            <w:r w:rsidRPr="00321D31">
              <w:rPr>
                <w:sz w:val="24"/>
                <w:szCs w:val="20"/>
              </w:rPr>
              <w:instrText xml:space="preserve"> SEQ Figure \* ARABIC </w:instrText>
            </w:r>
            <w:r w:rsidR="00185C05" w:rsidRPr="00321D31">
              <w:rPr>
                <w:sz w:val="24"/>
                <w:szCs w:val="20"/>
              </w:rPr>
              <w:fldChar w:fldCharType="separate"/>
            </w:r>
            <w:r w:rsidRPr="00321D31">
              <w:rPr>
                <w:noProof/>
                <w:sz w:val="24"/>
                <w:szCs w:val="20"/>
              </w:rPr>
              <w:t>16</w:t>
            </w:r>
            <w:r w:rsidR="00185C05" w:rsidRPr="00321D31">
              <w:rPr>
                <w:sz w:val="24"/>
                <w:szCs w:val="20"/>
              </w:rPr>
              <w:fldChar w:fldCharType="end"/>
            </w:r>
            <w:bookmarkEnd w:id="20"/>
            <w:r w:rsidRPr="00321D31">
              <w:rPr>
                <w:sz w:val="24"/>
                <w:szCs w:val="20"/>
              </w:rPr>
              <w:t>. Temporary Appointments</w:t>
            </w:r>
          </w:p>
          <w:p w:rsidR="0060585A" w:rsidRPr="00321D31" w:rsidRDefault="0060585A" w:rsidP="00321D31">
            <w:pPr>
              <w:pStyle w:val="Caption"/>
              <w:keepNext/>
              <w:keepLines/>
              <w:spacing w:before="60" w:after="60" w:line="276" w:lineRule="auto"/>
              <w:jc w:val="center"/>
              <w:rPr>
                <w:sz w:val="24"/>
                <w:szCs w:val="20"/>
              </w:rPr>
            </w:pPr>
            <w:r w:rsidRPr="00321D31">
              <w:rPr>
                <w:sz w:val="24"/>
                <w:szCs w:val="20"/>
              </w:rPr>
              <w:t>(Percent of Total)</w:t>
            </w:r>
          </w:p>
        </w:tc>
        <w:tc>
          <w:tcPr>
            <w:tcW w:w="5081" w:type="dxa"/>
          </w:tcPr>
          <w:p w:rsidR="0060585A" w:rsidRPr="00321D31" w:rsidRDefault="0060585A" w:rsidP="000C50E8">
            <w:pPr>
              <w:pStyle w:val="Caption"/>
              <w:keepNext/>
              <w:keepLines/>
              <w:spacing w:before="60" w:after="60" w:line="276" w:lineRule="auto"/>
              <w:jc w:val="left"/>
              <w:rPr>
                <w:sz w:val="24"/>
                <w:szCs w:val="20"/>
              </w:rPr>
            </w:pPr>
            <w:bookmarkStart w:id="21" w:name="_Ref327286112"/>
            <w:r w:rsidRPr="00321D31">
              <w:rPr>
                <w:sz w:val="24"/>
                <w:szCs w:val="20"/>
              </w:rPr>
              <w:t xml:space="preserve">Figure </w:t>
            </w:r>
            <w:r w:rsidR="00185C05" w:rsidRPr="00321D31">
              <w:rPr>
                <w:sz w:val="24"/>
                <w:szCs w:val="20"/>
              </w:rPr>
              <w:fldChar w:fldCharType="begin"/>
            </w:r>
            <w:r w:rsidRPr="00321D31">
              <w:rPr>
                <w:sz w:val="24"/>
                <w:szCs w:val="20"/>
              </w:rPr>
              <w:instrText xml:space="preserve"> SEQ Figure \* ARABIC </w:instrText>
            </w:r>
            <w:r w:rsidR="00185C05" w:rsidRPr="00321D31">
              <w:rPr>
                <w:sz w:val="24"/>
                <w:szCs w:val="20"/>
              </w:rPr>
              <w:fldChar w:fldCharType="separate"/>
            </w:r>
            <w:r w:rsidRPr="00321D31">
              <w:rPr>
                <w:noProof/>
                <w:sz w:val="24"/>
                <w:szCs w:val="20"/>
              </w:rPr>
              <w:t>17</w:t>
            </w:r>
            <w:r w:rsidR="00185C05" w:rsidRPr="00321D31">
              <w:rPr>
                <w:sz w:val="24"/>
                <w:szCs w:val="20"/>
              </w:rPr>
              <w:fldChar w:fldCharType="end"/>
            </w:r>
            <w:bookmarkEnd w:id="21"/>
            <w:r w:rsidRPr="00321D31">
              <w:rPr>
                <w:sz w:val="24"/>
                <w:szCs w:val="20"/>
              </w:rPr>
              <w:t>. Part-time Appointments</w:t>
            </w:r>
          </w:p>
          <w:p w:rsidR="0060585A" w:rsidRPr="00321D31" w:rsidRDefault="0060585A" w:rsidP="00321D31">
            <w:pPr>
              <w:pStyle w:val="Caption"/>
              <w:keepNext/>
              <w:keepLines/>
              <w:spacing w:before="60" w:after="60" w:line="276" w:lineRule="auto"/>
              <w:jc w:val="center"/>
              <w:rPr>
                <w:sz w:val="24"/>
                <w:szCs w:val="20"/>
              </w:rPr>
            </w:pPr>
            <w:r w:rsidRPr="00321D31">
              <w:rPr>
                <w:sz w:val="24"/>
                <w:szCs w:val="20"/>
              </w:rPr>
              <w:t>(Percent of Total)</w:t>
            </w:r>
          </w:p>
        </w:tc>
      </w:tr>
      <w:tr w:rsidR="0060585A" w:rsidRPr="00321D31" w:rsidTr="00390DCF">
        <w:trPr>
          <w:jc w:val="center"/>
        </w:trPr>
        <w:tc>
          <w:tcPr>
            <w:tcW w:w="4565" w:type="dxa"/>
          </w:tcPr>
          <w:p w:rsidR="0060585A" w:rsidRPr="00321D31" w:rsidRDefault="00A1042F" w:rsidP="00321D31">
            <w:pPr>
              <w:spacing w:line="276" w:lineRule="auto"/>
              <w:rPr>
                <w:b/>
              </w:rPr>
            </w:pPr>
            <w:r>
              <w:rPr>
                <w:b/>
                <w:noProof/>
              </w:rPr>
              <w:drawing>
                <wp:inline distT="0" distB="0" distL="0" distR="0">
                  <wp:extent cx="2895600" cy="17335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srcRect/>
                          <a:stretch>
                            <a:fillRect/>
                          </a:stretch>
                        </pic:blipFill>
                        <pic:spPr bwMode="auto">
                          <a:xfrm>
                            <a:off x="0" y="0"/>
                            <a:ext cx="2895600" cy="1733550"/>
                          </a:xfrm>
                          <a:prstGeom prst="rect">
                            <a:avLst/>
                          </a:prstGeom>
                          <a:noFill/>
                          <a:ln w="9525">
                            <a:noFill/>
                            <a:miter lim="800000"/>
                            <a:headEnd/>
                            <a:tailEnd/>
                          </a:ln>
                        </pic:spPr>
                      </pic:pic>
                    </a:graphicData>
                  </a:graphic>
                </wp:inline>
              </w:drawing>
            </w:r>
          </w:p>
        </w:tc>
        <w:tc>
          <w:tcPr>
            <w:tcW w:w="5081" w:type="dxa"/>
          </w:tcPr>
          <w:p w:rsidR="0060585A" w:rsidRPr="00321D31" w:rsidRDefault="00A1042F" w:rsidP="00321D31">
            <w:pPr>
              <w:spacing w:line="276" w:lineRule="auto"/>
              <w:rPr>
                <w:b/>
              </w:rPr>
            </w:pPr>
            <w:r>
              <w:rPr>
                <w:b/>
                <w:noProof/>
              </w:rPr>
              <w:drawing>
                <wp:inline distT="0" distB="0" distL="0" distR="0">
                  <wp:extent cx="2895600" cy="173355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srcRect/>
                          <a:stretch>
                            <a:fillRect/>
                          </a:stretch>
                        </pic:blipFill>
                        <pic:spPr bwMode="auto">
                          <a:xfrm>
                            <a:off x="0" y="0"/>
                            <a:ext cx="2895600" cy="1733550"/>
                          </a:xfrm>
                          <a:prstGeom prst="rect">
                            <a:avLst/>
                          </a:prstGeom>
                          <a:noFill/>
                          <a:ln w="9525">
                            <a:noFill/>
                            <a:miter lim="800000"/>
                            <a:headEnd/>
                            <a:tailEnd/>
                          </a:ln>
                        </pic:spPr>
                      </pic:pic>
                    </a:graphicData>
                  </a:graphic>
                </wp:inline>
              </w:drawing>
            </w:r>
          </w:p>
        </w:tc>
      </w:tr>
      <w:tr w:rsidR="0060585A" w:rsidRPr="00321D31" w:rsidTr="00390DCF">
        <w:trPr>
          <w:jc w:val="center"/>
        </w:trPr>
        <w:tc>
          <w:tcPr>
            <w:tcW w:w="9646" w:type="dxa"/>
            <w:gridSpan w:val="2"/>
          </w:tcPr>
          <w:p w:rsidR="0060585A" w:rsidRPr="00321D31" w:rsidRDefault="0060585A" w:rsidP="00321D31">
            <w:pPr>
              <w:keepNext/>
              <w:spacing w:before="60" w:after="40" w:line="276" w:lineRule="auto"/>
              <w:rPr>
                <w:i/>
                <w:sz w:val="18"/>
                <w:szCs w:val="18"/>
              </w:rPr>
            </w:pPr>
            <w:r w:rsidRPr="00321D31">
              <w:rPr>
                <w:i/>
                <w:sz w:val="18"/>
                <w:szCs w:val="18"/>
              </w:rPr>
              <w:t xml:space="preserve">Source: </w:t>
            </w:r>
            <w:r w:rsidRPr="00321D31">
              <w:rPr>
                <w:sz w:val="18"/>
                <w:szCs w:val="18"/>
              </w:rPr>
              <w:t>Eurostat, World Bank staff calculations.</w:t>
            </w:r>
            <w:r w:rsidRPr="00321D31">
              <w:rPr>
                <w:i/>
                <w:sz w:val="18"/>
                <w:szCs w:val="18"/>
              </w:rPr>
              <w:t xml:space="preserve"> </w:t>
            </w:r>
          </w:p>
        </w:tc>
      </w:tr>
    </w:tbl>
    <w:p w:rsidR="0060585A" w:rsidRPr="00EE5C71" w:rsidRDefault="0060585A" w:rsidP="00E41045">
      <w:pPr>
        <w:spacing w:line="276" w:lineRule="auto"/>
        <w:rPr>
          <w:sz w:val="20"/>
          <w:szCs w:val="20"/>
        </w:rPr>
      </w:pPr>
    </w:p>
    <w:tbl>
      <w:tblPr>
        <w:tblW w:w="9500" w:type="dxa"/>
        <w:jc w:val="center"/>
        <w:tblInd w:w="-3290" w:type="dxa"/>
        <w:tblLook w:val="00A0"/>
      </w:tblPr>
      <w:tblGrid>
        <w:gridCol w:w="9500"/>
      </w:tblGrid>
      <w:tr w:rsidR="0060585A" w:rsidRPr="00321D31" w:rsidTr="00390DCF">
        <w:trPr>
          <w:trHeight w:val="719"/>
          <w:jc w:val="center"/>
        </w:trPr>
        <w:tc>
          <w:tcPr>
            <w:tcW w:w="9500" w:type="dxa"/>
          </w:tcPr>
          <w:p w:rsidR="0060585A" w:rsidRPr="00321D31" w:rsidRDefault="0060585A" w:rsidP="000C50E8">
            <w:pPr>
              <w:pStyle w:val="Caption"/>
              <w:keepNext/>
              <w:spacing w:before="60" w:after="60" w:line="276" w:lineRule="auto"/>
              <w:jc w:val="left"/>
              <w:rPr>
                <w:sz w:val="20"/>
                <w:szCs w:val="20"/>
              </w:rPr>
            </w:pPr>
            <w:bookmarkStart w:id="22" w:name="_Ref327286127"/>
            <w:r w:rsidRPr="00321D31">
              <w:rPr>
                <w:sz w:val="24"/>
                <w:szCs w:val="20"/>
              </w:rPr>
              <w:lastRenderedPageBreak/>
              <w:t xml:space="preserve">Figure </w:t>
            </w:r>
            <w:r w:rsidR="00185C05" w:rsidRPr="00321D31">
              <w:rPr>
                <w:sz w:val="24"/>
                <w:szCs w:val="20"/>
              </w:rPr>
              <w:fldChar w:fldCharType="begin"/>
            </w:r>
            <w:r w:rsidRPr="00321D31">
              <w:rPr>
                <w:sz w:val="24"/>
                <w:szCs w:val="20"/>
              </w:rPr>
              <w:instrText xml:space="preserve"> SEQ Figure \* ARABIC </w:instrText>
            </w:r>
            <w:r w:rsidR="00185C05" w:rsidRPr="00321D31">
              <w:rPr>
                <w:sz w:val="24"/>
                <w:szCs w:val="20"/>
              </w:rPr>
              <w:fldChar w:fldCharType="separate"/>
            </w:r>
            <w:r w:rsidRPr="00321D31">
              <w:rPr>
                <w:noProof/>
                <w:sz w:val="24"/>
                <w:szCs w:val="20"/>
              </w:rPr>
              <w:t>18</w:t>
            </w:r>
            <w:r w:rsidR="00185C05" w:rsidRPr="00321D31">
              <w:rPr>
                <w:sz w:val="24"/>
                <w:szCs w:val="20"/>
              </w:rPr>
              <w:fldChar w:fldCharType="end"/>
            </w:r>
            <w:bookmarkEnd w:id="22"/>
            <w:r w:rsidRPr="00321D31">
              <w:rPr>
                <w:sz w:val="24"/>
                <w:szCs w:val="20"/>
              </w:rPr>
              <w:t xml:space="preserve">. Involuntary* Part-time in Total Part-Time Employment and Involuntary* Temporary in Total Temporary Employment (Percent) </w:t>
            </w:r>
          </w:p>
        </w:tc>
      </w:tr>
      <w:tr w:rsidR="0060585A" w:rsidRPr="00321D31" w:rsidTr="00390DCF">
        <w:trPr>
          <w:trHeight w:val="2954"/>
          <w:jc w:val="center"/>
        </w:trPr>
        <w:tc>
          <w:tcPr>
            <w:tcW w:w="9500" w:type="dxa"/>
          </w:tcPr>
          <w:p w:rsidR="0060585A" w:rsidRPr="00321D31" w:rsidRDefault="00A1042F" w:rsidP="002A4C0C">
            <w:pPr>
              <w:spacing w:line="276" w:lineRule="auto"/>
              <w:jc w:val="left"/>
              <w:rPr>
                <w:b/>
              </w:rPr>
            </w:pPr>
            <w:r>
              <w:rPr>
                <w:b/>
                <w:noProof/>
              </w:rPr>
              <w:drawing>
                <wp:inline distT="0" distB="0" distL="0" distR="0">
                  <wp:extent cx="3028950" cy="177165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srcRect/>
                          <a:stretch>
                            <a:fillRect/>
                          </a:stretch>
                        </pic:blipFill>
                        <pic:spPr bwMode="auto">
                          <a:xfrm>
                            <a:off x="0" y="0"/>
                            <a:ext cx="3028950" cy="1771650"/>
                          </a:xfrm>
                          <a:prstGeom prst="rect">
                            <a:avLst/>
                          </a:prstGeom>
                          <a:noFill/>
                          <a:ln w="9525">
                            <a:noFill/>
                            <a:miter lim="800000"/>
                            <a:headEnd/>
                            <a:tailEnd/>
                          </a:ln>
                        </pic:spPr>
                      </pic:pic>
                    </a:graphicData>
                  </a:graphic>
                </wp:inline>
              </w:drawing>
            </w:r>
          </w:p>
        </w:tc>
      </w:tr>
      <w:tr w:rsidR="0060585A" w:rsidRPr="00321D31" w:rsidTr="00390DCF">
        <w:trPr>
          <w:trHeight w:val="596"/>
          <w:jc w:val="center"/>
        </w:trPr>
        <w:tc>
          <w:tcPr>
            <w:tcW w:w="9500" w:type="dxa"/>
          </w:tcPr>
          <w:p w:rsidR="0060585A" w:rsidRPr="00321D31" w:rsidRDefault="0060585A" w:rsidP="00321D31">
            <w:pPr>
              <w:keepNext/>
              <w:spacing w:before="60" w:after="40" w:line="276" w:lineRule="auto"/>
              <w:rPr>
                <w:i/>
                <w:sz w:val="18"/>
                <w:szCs w:val="18"/>
              </w:rPr>
            </w:pPr>
            <w:r w:rsidRPr="00321D31">
              <w:rPr>
                <w:i/>
                <w:sz w:val="18"/>
                <w:szCs w:val="18"/>
              </w:rPr>
              <w:t xml:space="preserve">Source: </w:t>
            </w:r>
            <w:r w:rsidRPr="00321D31">
              <w:rPr>
                <w:sz w:val="18"/>
                <w:szCs w:val="18"/>
              </w:rPr>
              <w:t>Eurostat, World Bank staff calculations.</w:t>
            </w:r>
          </w:p>
          <w:p w:rsidR="0060585A" w:rsidRPr="00321D31" w:rsidRDefault="0060585A" w:rsidP="00321D31">
            <w:pPr>
              <w:keepNext/>
              <w:spacing w:before="60" w:after="40" w:line="276" w:lineRule="auto"/>
              <w:rPr>
                <w:b/>
                <w:sz w:val="18"/>
                <w:szCs w:val="18"/>
              </w:rPr>
            </w:pPr>
            <w:r w:rsidRPr="00321D31">
              <w:rPr>
                <w:i/>
                <w:sz w:val="18"/>
                <w:szCs w:val="18"/>
              </w:rPr>
              <w:t xml:space="preserve">Notes: * </w:t>
            </w:r>
            <w:r w:rsidRPr="00321D31">
              <w:rPr>
                <w:sz w:val="18"/>
                <w:szCs w:val="18"/>
              </w:rPr>
              <w:t xml:space="preserve">involuntary employment is defined as those part-time or temporary workers who are engaged in these forms of employment because they cannot find either full-time or permanent jobs. </w:t>
            </w:r>
          </w:p>
        </w:tc>
      </w:tr>
    </w:tbl>
    <w:p w:rsidR="0060585A" w:rsidRDefault="0060585A" w:rsidP="00E41045">
      <w:pPr>
        <w:spacing w:line="276" w:lineRule="auto"/>
        <w:rPr>
          <w:b/>
          <w:szCs w:val="20"/>
        </w:rPr>
      </w:pPr>
    </w:p>
    <w:tbl>
      <w:tblPr>
        <w:tblpPr w:leftFromText="180" w:rightFromText="180" w:vertAnchor="text" w:horzAnchor="margin" w:tblpY="3600"/>
        <w:tblW w:w="9588" w:type="dxa"/>
        <w:tblLayout w:type="fixed"/>
        <w:tblLook w:val="00A0"/>
      </w:tblPr>
      <w:tblGrid>
        <w:gridCol w:w="4788"/>
        <w:gridCol w:w="4800"/>
      </w:tblGrid>
      <w:tr w:rsidR="0060585A" w:rsidRPr="00321D31" w:rsidTr="00390DCF">
        <w:tc>
          <w:tcPr>
            <w:tcW w:w="9588" w:type="dxa"/>
            <w:gridSpan w:val="2"/>
          </w:tcPr>
          <w:p w:rsidR="0060585A" w:rsidRPr="00321D31" w:rsidRDefault="0060585A" w:rsidP="00321D31">
            <w:pPr>
              <w:pStyle w:val="Caption"/>
              <w:keepNext/>
              <w:keepLines/>
              <w:spacing w:before="60" w:after="60" w:line="276" w:lineRule="auto"/>
              <w:rPr>
                <w:sz w:val="24"/>
                <w:szCs w:val="20"/>
                <w:lang w:val="fr-FR"/>
              </w:rPr>
            </w:pPr>
            <w:r w:rsidRPr="00321D31">
              <w:rPr>
                <w:sz w:val="24"/>
                <w:szCs w:val="20"/>
                <w:lang w:val="fr-FR"/>
              </w:rPr>
              <w:t xml:space="preserve">Figure </w:t>
            </w:r>
            <w:r w:rsidR="00185C05" w:rsidRPr="00321D31">
              <w:rPr>
                <w:sz w:val="24"/>
                <w:szCs w:val="20"/>
                <w:lang w:val="fr-FR"/>
              </w:rPr>
              <w:fldChar w:fldCharType="begin"/>
            </w:r>
            <w:r w:rsidRPr="00321D31">
              <w:rPr>
                <w:sz w:val="24"/>
                <w:szCs w:val="20"/>
                <w:lang w:val="fr-FR"/>
              </w:rPr>
              <w:instrText xml:space="preserve"> SEQ Figure \* ARABIC </w:instrText>
            </w:r>
            <w:r w:rsidR="00185C05" w:rsidRPr="00321D31">
              <w:rPr>
                <w:sz w:val="24"/>
                <w:szCs w:val="20"/>
                <w:lang w:val="fr-FR"/>
              </w:rPr>
              <w:fldChar w:fldCharType="separate"/>
            </w:r>
            <w:r w:rsidRPr="00321D31">
              <w:rPr>
                <w:noProof/>
                <w:sz w:val="24"/>
                <w:szCs w:val="20"/>
                <w:lang w:val="fr-FR"/>
              </w:rPr>
              <w:t>19</w:t>
            </w:r>
            <w:r w:rsidR="00185C05" w:rsidRPr="00321D31">
              <w:rPr>
                <w:sz w:val="24"/>
                <w:szCs w:val="20"/>
                <w:lang w:val="fr-FR"/>
              </w:rPr>
              <w:fldChar w:fldCharType="end"/>
            </w:r>
            <w:r w:rsidRPr="00321D31">
              <w:rPr>
                <w:sz w:val="24"/>
                <w:szCs w:val="20"/>
                <w:lang w:val="fr-FR"/>
              </w:rPr>
              <w:t xml:space="preserve">. </w:t>
            </w:r>
            <w:r w:rsidRPr="00321D31">
              <w:rPr>
                <w:sz w:val="24"/>
                <w:szCs w:val="20"/>
              </w:rPr>
              <w:t>Unemployment</w:t>
            </w:r>
            <w:r w:rsidRPr="00321D31">
              <w:rPr>
                <w:sz w:val="24"/>
                <w:szCs w:val="20"/>
                <w:lang w:val="fr-FR"/>
              </w:rPr>
              <w:t xml:space="preserve"> Rates, EU11 and EU15</w:t>
            </w:r>
          </w:p>
        </w:tc>
      </w:tr>
      <w:tr w:rsidR="0060585A" w:rsidRPr="00321D31" w:rsidTr="00390DCF">
        <w:tc>
          <w:tcPr>
            <w:tcW w:w="4788" w:type="dxa"/>
          </w:tcPr>
          <w:p w:rsidR="0060585A" w:rsidRPr="00321D31" w:rsidRDefault="00A1042F" w:rsidP="00390DCF">
            <w:pPr>
              <w:keepNext/>
              <w:keepLines/>
              <w:spacing w:line="276" w:lineRule="auto"/>
              <w:jc w:val="left"/>
              <w:rPr>
                <w:b/>
                <w:sz w:val="28"/>
              </w:rPr>
            </w:pPr>
            <w:r>
              <w:rPr>
                <w:b/>
                <w:noProof/>
                <w:sz w:val="32"/>
              </w:rPr>
              <w:drawing>
                <wp:inline distT="0" distB="0" distL="0" distR="0">
                  <wp:extent cx="2952750" cy="173355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srcRect/>
                          <a:stretch>
                            <a:fillRect/>
                          </a:stretch>
                        </pic:blipFill>
                        <pic:spPr bwMode="auto">
                          <a:xfrm>
                            <a:off x="0" y="0"/>
                            <a:ext cx="2952750" cy="1733550"/>
                          </a:xfrm>
                          <a:prstGeom prst="rect">
                            <a:avLst/>
                          </a:prstGeom>
                          <a:noFill/>
                          <a:ln w="9525">
                            <a:noFill/>
                            <a:miter lim="800000"/>
                            <a:headEnd/>
                            <a:tailEnd/>
                          </a:ln>
                        </pic:spPr>
                      </pic:pic>
                    </a:graphicData>
                  </a:graphic>
                </wp:inline>
              </w:drawing>
            </w:r>
          </w:p>
        </w:tc>
        <w:tc>
          <w:tcPr>
            <w:tcW w:w="4800" w:type="dxa"/>
          </w:tcPr>
          <w:p w:rsidR="0060585A" w:rsidRPr="00321D31" w:rsidRDefault="00A1042F" w:rsidP="00321D31">
            <w:pPr>
              <w:keepNext/>
              <w:keepLines/>
              <w:spacing w:line="276" w:lineRule="auto"/>
              <w:rPr>
                <w:b/>
                <w:sz w:val="28"/>
              </w:rPr>
            </w:pPr>
            <w:r>
              <w:rPr>
                <w:b/>
                <w:noProof/>
                <w:sz w:val="28"/>
              </w:rPr>
              <w:drawing>
                <wp:inline distT="0" distB="0" distL="0" distR="0">
                  <wp:extent cx="2895600" cy="177165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srcRect/>
                          <a:stretch>
                            <a:fillRect/>
                          </a:stretch>
                        </pic:blipFill>
                        <pic:spPr bwMode="auto">
                          <a:xfrm>
                            <a:off x="0" y="0"/>
                            <a:ext cx="2895600" cy="1771650"/>
                          </a:xfrm>
                          <a:prstGeom prst="rect">
                            <a:avLst/>
                          </a:prstGeom>
                          <a:noFill/>
                          <a:ln w="9525">
                            <a:noFill/>
                            <a:miter lim="800000"/>
                            <a:headEnd/>
                            <a:tailEnd/>
                          </a:ln>
                        </pic:spPr>
                      </pic:pic>
                    </a:graphicData>
                  </a:graphic>
                </wp:inline>
              </w:drawing>
            </w:r>
          </w:p>
        </w:tc>
      </w:tr>
      <w:tr w:rsidR="0060585A" w:rsidRPr="00321D31" w:rsidTr="00390DCF">
        <w:tc>
          <w:tcPr>
            <w:tcW w:w="9588" w:type="dxa"/>
            <w:gridSpan w:val="2"/>
          </w:tcPr>
          <w:p w:rsidR="0060585A" w:rsidRPr="00321D31" w:rsidRDefault="0060585A" w:rsidP="00321D31">
            <w:pPr>
              <w:keepNext/>
              <w:keepLines/>
              <w:spacing w:before="60" w:after="40" w:line="276" w:lineRule="auto"/>
              <w:rPr>
                <w:sz w:val="18"/>
                <w:szCs w:val="18"/>
              </w:rPr>
            </w:pPr>
            <w:r w:rsidRPr="00321D31">
              <w:rPr>
                <w:i/>
                <w:sz w:val="18"/>
                <w:szCs w:val="18"/>
              </w:rPr>
              <w:t xml:space="preserve">Source: </w:t>
            </w:r>
            <w:r w:rsidRPr="00321D31">
              <w:rPr>
                <w:sz w:val="18"/>
                <w:szCs w:val="18"/>
              </w:rPr>
              <w:t>Eurostat, World Bank staff calculations.</w:t>
            </w:r>
          </w:p>
          <w:p w:rsidR="0060585A" w:rsidRPr="00321D31" w:rsidRDefault="0060585A" w:rsidP="00321D31">
            <w:pPr>
              <w:keepNext/>
              <w:keepLines/>
              <w:spacing w:before="60" w:after="40" w:line="276" w:lineRule="auto"/>
              <w:rPr>
                <w:i/>
                <w:sz w:val="18"/>
                <w:szCs w:val="18"/>
              </w:rPr>
            </w:pPr>
            <w:r w:rsidRPr="00321D31">
              <w:rPr>
                <w:i/>
                <w:sz w:val="18"/>
                <w:szCs w:val="18"/>
              </w:rPr>
              <w:t xml:space="preserve">Note: </w:t>
            </w:r>
            <w:r w:rsidRPr="00321D31">
              <w:rPr>
                <w:sz w:val="18"/>
                <w:szCs w:val="18"/>
              </w:rPr>
              <w:t>Pre-crisis refers to the lowest monthly unemployment rate in 2007-08; Crisis peak refers to the highest monthly unemployment rate in 2009-10; Current refers to April 2012</w:t>
            </w:r>
          </w:p>
        </w:tc>
      </w:tr>
    </w:tbl>
    <w:p w:rsidR="0060585A" w:rsidRDefault="0060585A" w:rsidP="00E41045">
      <w:pPr>
        <w:spacing w:line="276" w:lineRule="auto"/>
        <w:rPr>
          <w:szCs w:val="20"/>
        </w:rPr>
      </w:pPr>
      <w:r w:rsidRPr="00FA0EB2">
        <w:rPr>
          <w:b/>
          <w:szCs w:val="20"/>
        </w:rPr>
        <w:t xml:space="preserve">At the end of </w:t>
      </w:r>
      <w:r>
        <w:rPr>
          <w:b/>
          <w:szCs w:val="20"/>
        </w:rPr>
        <w:t>April</w:t>
      </w:r>
      <w:r w:rsidRPr="00FA0EB2">
        <w:rPr>
          <w:b/>
          <w:szCs w:val="20"/>
        </w:rPr>
        <w:t xml:space="preserve"> 2012, </w:t>
      </w:r>
      <w:r>
        <w:rPr>
          <w:b/>
          <w:szCs w:val="20"/>
        </w:rPr>
        <w:t>the EU11 had about 5 million unemployed</w:t>
      </w:r>
      <w:r w:rsidRPr="001E375B">
        <w:rPr>
          <w:szCs w:val="20"/>
        </w:rPr>
        <w:t xml:space="preserve">. </w:t>
      </w:r>
      <w:r>
        <w:rPr>
          <w:szCs w:val="20"/>
        </w:rPr>
        <w:t xml:space="preserve">The </w:t>
      </w:r>
      <w:r w:rsidRPr="001E375B">
        <w:rPr>
          <w:szCs w:val="20"/>
        </w:rPr>
        <w:t xml:space="preserve">unemployment situation in </w:t>
      </w:r>
      <w:r>
        <w:rPr>
          <w:szCs w:val="20"/>
        </w:rPr>
        <w:t xml:space="preserve">both </w:t>
      </w:r>
      <w:r w:rsidRPr="001E375B">
        <w:rPr>
          <w:szCs w:val="20"/>
        </w:rPr>
        <w:t xml:space="preserve">EU11 and EU15 is as bad as </w:t>
      </w:r>
      <w:r>
        <w:rPr>
          <w:szCs w:val="20"/>
        </w:rPr>
        <w:t xml:space="preserve">at </w:t>
      </w:r>
      <w:r w:rsidRPr="001E375B">
        <w:rPr>
          <w:szCs w:val="20"/>
        </w:rPr>
        <w:t xml:space="preserve">the </w:t>
      </w:r>
      <w:r>
        <w:rPr>
          <w:szCs w:val="20"/>
        </w:rPr>
        <w:t xml:space="preserve">peak of the </w:t>
      </w:r>
      <w:r w:rsidRPr="001E375B">
        <w:rPr>
          <w:szCs w:val="20"/>
        </w:rPr>
        <w:t>crisis.</w:t>
      </w:r>
      <w:r>
        <w:rPr>
          <w:szCs w:val="20"/>
        </w:rPr>
        <w:t xml:space="preserve">  </w:t>
      </w:r>
      <w:r w:rsidRPr="001E375B">
        <w:rPr>
          <w:szCs w:val="20"/>
        </w:rPr>
        <w:t>The EU11 unemployment rate was slightly above 10 percent, roughly the same as in early 2010.</w:t>
      </w:r>
      <w:r>
        <w:rPr>
          <w:szCs w:val="20"/>
        </w:rPr>
        <w:t xml:space="preserve"> </w:t>
      </w:r>
      <w:r w:rsidRPr="001E375B">
        <w:rPr>
          <w:szCs w:val="20"/>
        </w:rPr>
        <w:t>Unemployment rates in Croatia, Slove</w:t>
      </w:r>
      <w:r>
        <w:rPr>
          <w:szCs w:val="20"/>
        </w:rPr>
        <w:t xml:space="preserve">nia and Bulgaria are currently higher than in the crisis peak. In Croatia, this is due to poor economic growth, while in Slovenia, it stems fromthe major layoffs in the construction sector. Bulgarian businesses continue to be very reluctant to hire new employees, partly because improvements in the labor market are held back by skill mismatches and adverse demographic trends.  Meanwhile, </w:t>
      </w:r>
      <w:r w:rsidRPr="00EE5C71">
        <w:rPr>
          <w:szCs w:val="20"/>
        </w:rPr>
        <w:t>unemployment</w:t>
      </w:r>
      <w:r>
        <w:rPr>
          <w:szCs w:val="20"/>
        </w:rPr>
        <w:t xml:space="preserve"> rates</w:t>
      </w:r>
      <w:r w:rsidRPr="00EE5C71">
        <w:rPr>
          <w:szCs w:val="20"/>
        </w:rPr>
        <w:t xml:space="preserve"> </w:t>
      </w:r>
      <w:r>
        <w:rPr>
          <w:szCs w:val="20"/>
        </w:rPr>
        <w:t xml:space="preserve">dropped considerably </w:t>
      </w:r>
      <w:r w:rsidRPr="00EE5C71">
        <w:rPr>
          <w:szCs w:val="20"/>
        </w:rPr>
        <w:t>in Estonia, Latvia</w:t>
      </w:r>
      <w:r>
        <w:rPr>
          <w:szCs w:val="20"/>
        </w:rPr>
        <w:t>,</w:t>
      </w:r>
      <w:r w:rsidRPr="00EE5C71">
        <w:rPr>
          <w:szCs w:val="20"/>
        </w:rPr>
        <w:t xml:space="preserve"> and Lithuania</w:t>
      </w:r>
      <w:r>
        <w:rPr>
          <w:szCs w:val="20"/>
        </w:rPr>
        <w:t xml:space="preserve"> (though from very high peaks) driven by good economic performance. I</w:t>
      </w:r>
      <w:r w:rsidRPr="00EE5C71">
        <w:rPr>
          <w:szCs w:val="20"/>
        </w:rPr>
        <w:t xml:space="preserve">n Slovakia, </w:t>
      </w:r>
      <w:r>
        <w:rPr>
          <w:szCs w:val="20"/>
        </w:rPr>
        <w:t xml:space="preserve">Romania, </w:t>
      </w:r>
      <w:r w:rsidRPr="00EE5C71">
        <w:rPr>
          <w:szCs w:val="20"/>
        </w:rPr>
        <w:t>Hungary</w:t>
      </w:r>
      <w:r>
        <w:rPr>
          <w:szCs w:val="20"/>
        </w:rPr>
        <w:t>,</w:t>
      </w:r>
      <w:r w:rsidRPr="00EE5C71">
        <w:rPr>
          <w:szCs w:val="20"/>
        </w:rPr>
        <w:t xml:space="preserve"> and Poland </w:t>
      </w:r>
      <w:r>
        <w:rPr>
          <w:szCs w:val="20"/>
        </w:rPr>
        <w:t xml:space="preserve">unemployment rates </w:t>
      </w:r>
      <w:r w:rsidRPr="00EE5C71">
        <w:rPr>
          <w:szCs w:val="20"/>
        </w:rPr>
        <w:t>remain</w:t>
      </w:r>
      <w:r>
        <w:rPr>
          <w:szCs w:val="20"/>
        </w:rPr>
        <w:t>ed</w:t>
      </w:r>
      <w:r w:rsidRPr="00EE5C71">
        <w:rPr>
          <w:szCs w:val="20"/>
        </w:rPr>
        <w:t xml:space="preserve"> broadly unchanged.</w:t>
      </w:r>
    </w:p>
    <w:p w:rsidR="0060585A" w:rsidRDefault="0060585A" w:rsidP="00E41045">
      <w:pPr>
        <w:spacing w:line="276" w:lineRule="auto"/>
        <w:rPr>
          <w:szCs w:val="20"/>
        </w:rPr>
      </w:pPr>
      <w:r w:rsidRPr="009F15E8">
        <w:rPr>
          <w:b/>
          <w:szCs w:val="20"/>
        </w:rPr>
        <w:lastRenderedPageBreak/>
        <w:t xml:space="preserve">Poor labor market outcomes </w:t>
      </w:r>
      <w:r>
        <w:rPr>
          <w:b/>
          <w:szCs w:val="20"/>
        </w:rPr>
        <w:t xml:space="preserve">were </w:t>
      </w:r>
      <w:r w:rsidRPr="009F15E8">
        <w:rPr>
          <w:b/>
          <w:szCs w:val="20"/>
        </w:rPr>
        <w:t xml:space="preserve">especially </w:t>
      </w:r>
      <w:r>
        <w:rPr>
          <w:b/>
          <w:szCs w:val="20"/>
        </w:rPr>
        <w:t xml:space="preserve">prevalent for </w:t>
      </w:r>
      <w:r w:rsidRPr="00FA0EB2">
        <w:rPr>
          <w:b/>
          <w:szCs w:val="20"/>
        </w:rPr>
        <w:t xml:space="preserve">the young and </w:t>
      </w:r>
      <w:r>
        <w:rPr>
          <w:b/>
          <w:szCs w:val="20"/>
        </w:rPr>
        <w:t>the low-skilled.</w:t>
      </w:r>
      <w:r>
        <w:rPr>
          <w:rStyle w:val="FootnoteReference"/>
          <w:szCs w:val="20"/>
        </w:rPr>
        <w:footnoteReference w:id="6"/>
      </w:r>
      <w:r w:rsidRPr="00EE5C71">
        <w:rPr>
          <w:szCs w:val="20"/>
        </w:rPr>
        <w:t xml:space="preserve"> Across the </w:t>
      </w:r>
      <w:r>
        <w:rPr>
          <w:szCs w:val="20"/>
        </w:rPr>
        <w:t xml:space="preserve">EU11 </w:t>
      </w:r>
      <w:r w:rsidRPr="00EE5C71">
        <w:rPr>
          <w:szCs w:val="20"/>
        </w:rPr>
        <w:t xml:space="preserve">region, </w:t>
      </w:r>
      <w:r>
        <w:rPr>
          <w:szCs w:val="20"/>
        </w:rPr>
        <w:t xml:space="preserve">youth </w:t>
      </w:r>
      <w:r w:rsidRPr="00EE5C71">
        <w:rPr>
          <w:szCs w:val="20"/>
        </w:rPr>
        <w:t xml:space="preserve">unemployment rates are much higher than </w:t>
      </w:r>
      <w:r>
        <w:rPr>
          <w:szCs w:val="20"/>
        </w:rPr>
        <w:t xml:space="preserve">total </w:t>
      </w:r>
      <w:r w:rsidRPr="00EE5C71">
        <w:rPr>
          <w:szCs w:val="20"/>
        </w:rPr>
        <w:t xml:space="preserve">unemployment </w:t>
      </w:r>
      <w:r>
        <w:rPr>
          <w:szCs w:val="20"/>
        </w:rPr>
        <w:t>(</w:t>
      </w:r>
      <w:fldSimple w:instr=" REF _Ref327287713 \h  \* MERGEFORMAT ">
        <w:r w:rsidRPr="00EE5C71">
          <w:rPr>
            <w:szCs w:val="20"/>
          </w:rPr>
          <w:t xml:space="preserve">Figure </w:t>
        </w:r>
        <w:r>
          <w:rPr>
            <w:noProof/>
            <w:szCs w:val="20"/>
          </w:rPr>
          <w:t>20</w:t>
        </w:r>
      </w:fldSimple>
      <w:r>
        <w:rPr>
          <w:szCs w:val="20"/>
        </w:rPr>
        <w:t>)—at the end of 2011, the youth unemployment rate of 28 percent was almost three times higher than the total unemployment rate. Moreover, s</w:t>
      </w:r>
      <w:r w:rsidRPr="00EE5C71">
        <w:rPr>
          <w:szCs w:val="20"/>
        </w:rPr>
        <w:t xml:space="preserve">ince late 2008, unemployment rates </w:t>
      </w:r>
      <w:r>
        <w:rPr>
          <w:szCs w:val="20"/>
        </w:rPr>
        <w:t xml:space="preserve">for youth have </w:t>
      </w:r>
      <w:r w:rsidRPr="00EE5C71">
        <w:rPr>
          <w:szCs w:val="20"/>
        </w:rPr>
        <w:t>increased significantly</w:t>
      </w:r>
      <w:r>
        <w:rPr>
          <w:szCs w:val="20"/>
        </w:rPr>
        <w:t xml:space="preserve"> more than for any other group (</w:t>
      </w:r>
      <w:fldSimple w:instr=" REF _Ref327287723 \h  \* MERGEFORMAT ">
        <w:r w:rsidRPr="00EE5C71">
          <w:rPr>
            <w:szCs w:val="20"/>
          </w:rPr>
          <w:t xml:space="preserve">Figure </w:t>
        </w:r>
        <w:r>
          <w:rPr>
            <w:noProof/>
            <w:szCs w:val="20"/>
          </w:rPr>
          <w:t>21</w:t>
        </w:r>
      </w:fldSimple>
      <w:r>
        <w:rPr>
          <w:szCs w:val="20"/>
        </w:rPr>
        <w:t>)</w:t>
      </w:r>
      <w:r w:rsidRPr="00EE5C71">
        <w:rPr>
          <w:szCs w:val="20"/>
        </w:rPr>
        <w:t>.</w:t>
      </w:r>
      <w:r>
        <w:rPr>
          <w:szCs w:val="20"/>
        </w:rPr>
        <w:t xml:space="preserve"> </w:t>
      </w:r>
      <w:r w:rsidRPr="00EE5C71">
        <w:rPr>
          <w:szCs w:val="20"/>
        </w:rPr>
        <w:t xml:space="preserve">In addition, tough labor market conditions </w:t>
      </w:r>
      <w:r>
        <w:rPr>
          <w:szCs w:val="20"/>
        </w:rPr>
        <w:t>have</w:t>
      </w:r>
      <w:r w:rsidRPr="00EE5C71">
        <w:rPr>
          <w:szCs w:val="20"/>
        </w:rPr>
        <w:t xml:space="preserve"> translate</w:t>
      </w:r>
      <w:r>
        <w:rPr>
          <w:szCs w:val="20"/>
        </w:rPr>
        <w:t>d</w:t>
      </w:r>
      <w:r w:rsidRPr="00EE5C71">
        <w:rPr>
          <w:szCs w:val="20"/>
        </w:rPr>
        <w:t xml:space="preserve"> into lower participation rates and increased detachment of youth from the labor market</w:t>
      </w:r>
      <w:r>
        <w:rPr>
          <w:szCs w:val="20"/>
        </w:rPr>
        <w:t>. I</w:t>
      </w:r>
      <w:r w:rsidRPr="00EE5C71">
        <w:rPr>
          <w:szCs w:val="20"/>
        </w:rPr>
        <w:t>ncrease</w:t>
      </w:r>
      <w:r>
        <w:rPr>
          <w:szCs w:val="20"/>
        </w:rPr>
        <w:t>s</w:t>
      </w:r>
      <w:r w:rsidRPr="00EE5C71">
        <w:rPr>
          <w:szCs w:val="20"/>
        </w:rPr>
        <w:t xml:space="preserve"> in the number of NEET</w:t>
      </w:r>
      <w:r>
        <w:rPr>
          <w:szCs w:val="20"/>
        </w:rPr>
        <w:t>—</w:t>
      </w:r>
      <w:r w:rsidRPr="00EE5C71">
        <w:rPr>
          <w:szCs w:val="20"/>
        </w:rPr>
        <w:t>not in education, employment</w:t>
      </w:r>
      <w:r>
        <w:rPr>
          <w:szCs w:val="20"/>
        </w:rPr>
        <w:t>,</w:t>
      </w:r>
      <w:r w:rsidRPr="00EE5C71">
        <w:rPr>
          <w:szCs w:val="20"/>
        </w:rPr>
        <w:t xml:space="preserve"> or training</w:t>
      </w:r>
      <w:r>
        <w:rPr>
          <w:szCs w:val="20"/>
        </w:rPr>
        <w:t>—illustrate this point</w:t>
      </w:r>
      <w:r w:rsidRPr="00EE5C71">
        <w:rPr>
          <w:szCs w:val="20"/>
        </w:rPr>
        <w:t>.</w:t>
      </w:r>
      <w:r>
        <w:rPr>
          <w:szCs w:val="20"/>
        </w:rPr>
        <w:t xml:space="preserve"> The l</w:t>
      </w:r>
      <w:r w:rsidRPr="00EE5C71">
        <w:rPr>
          <w:szCs w:val="20"/>
        </w:rPr>
        <w:t>ow-skilled</w:t>
      </w:r>
      <w:r>
        <w:rPr>
          <w:szCs w:val="20"/>
        </w:rPr>
        <w:t>—those with no more than lower secondary education—have</w:t>
      </w:r>
      <w:r w:rsidRPr="00EE5C71">
        <w:rPr>
          <w:szCs w:val="20"/>
        </w:rPr>
        <w:t xml:space="preserve"> also experience</w:t>
      </w:r>
      <w:r>
        <w:rPr>
          <w:szCs w:val="20"/>
        </w:rPr>
        <w:t>d</w:t>
      </w:r>
      <w:r w:rsidRPr="00EE5C71">
        <w:rPr>
          <w:szCs w:val="20"/>
        </w:rPr>
        <w:t xml:space="preserve"> </w:t>
      </w:r>
      <w:r>
        <w:rPr>
          <w:szCs w:val="20"/>
        </w:rPr>
        <w:t xml:space="preserve">higher than average increases </w:t>
      </w:r>
      <w:r w:rsidRPr="00EE5C71">
        <w:rPr>
          <w:szCs w:val="20"/>
        </w:rPr>
        <w:t xml:space="preserve">in unemployment </w:t>
      </w:r>
      <w:r>
        <w:rPr>
          <w:szCs w:val="20"/>
        </w:rPr>
        <w:t xml:space="preserve">everywhere in </w:t>
      </w:r>
      <w:r w:rsidRPr="00EE5C71">
        <w:rPr>
          <w:szCs w:val="20"/>
        </w:rPr>
        <w:t xml:space="preserve">the </w:t>
      </w:r>
      <w:r>
        <w:rPr>
          <w:szCs w:val="20"/>
        </w:rPr>
        <w:t xml:space="preserve">region </w:t>
      </w:r>
      <w:r w:rsidRPr="00EE5C71">
        <w:rPr>
          <w:szCs w:val="20"/>
        </w:rPr>
        <w:t>except</w:t>
      </w:r>
      <w:r>
        <w:rPr>
          <w:szCs w:val="20"/>
        </w:rPr>
        <w:t xml:space="preserve"> </w:t>
      </w:r>
      <w:r w:rsidRPr="00EE5C71">
        <w:rPr>
          <w:szCs w:val="20"/>
        </w:rPr>
        <w:t>Romania and Slovakia</w:t>
      </w:r>
      <w:r>
        <w:rPr>
          <w:szCs w:val="20"/>
        </w:rPr>
        <w:t xml:space="preserve"> (</w:t>
      </w:r>
      <w:fldSimple w:instr=" REF _Ref327287743 \h  \* MERGEFORMAT ">
        <w:r w:rsidRPr="005D6031">
          <w:rPr>
            <w:szCs w:val="20"/>
          </w:rPr>
          <w:t>Figure 22</w:t>
        </w:r>
      </w:fldSimple>
      <w:r>
        <w:t xml:space="preserve"> and </w:t>
      </w:r>
      <w:r>
        <w:rPr>
          <w:szCs w:val="20"/>
        </w:rPr>
        <w:t>23)</w:t>
      </w:r>
      <w:r w:rsidRPr="00EE5C71">
        <w:rPr>
          <w:szCs w:val="20"/>
        </w:rPr>
        <w:t>.</w:t>
      </w:r>
    </w:p>
    <w:tbl>
      <w:tblPr>
        <w:tblW w:w="9908" w:type="dxa"/>
        <w:tblLook w:val="00A0"/>
      </w:tblPr>
      <w:tblGrid>
        <w:gridCol w:w="166"/>
        <w:gridCol w:w="4502"/>
        <w:gridCol w:w="166"/>
        <w:gridCol w:w="4904"/>
        <w:gridCol w:w="170"/>
      </w:tblGrid>
      <w:tr w:rsidR="0060585A" w:rsidRPr="00321D31" w:rsidTr="00390DCF">
        <w:trPr>
          <w:gridAfter w:val="1"/>
          <w:wAfter w:w="170" w:type="dxa"/>
        </w:trPr>
        <w:tc>
          <w:tcPr>
            <w:tcW w:w="4668" w:type="dxa"/>
            <w:gridSpan w:val="2"/>
          </w:tcPr>
          <w:p w:rsidR="0060585A" w:rsidRPr="00321D31" w:rsidRDefault="0060585A" w:rsidP="004D31F4">
            <w:pPr>
              <w:pStyle w:val="Caption"/>
              <w:keepNext/>
              <w:keepLines/>
              <w:spacing w:before="60" w:after="60" w:line="276" w:lineRule="auto"/>
              <w:jc w:val="left"/>
              <w:rPr>
                <w:sz w:val="24"/>
                <w:szCs w:val="20"/>
              </w:rPr>
            </w:pPr>
            <w:bookmarkStart w:id="23" w:name="_Ref327287713"/>
            <w:r w:rsidRPr="00321D31">
              <w:rPr>
                <w:sz w:val="24"/>
                <w:szCs w:val="20"/>
              </w:rPr>
              <w:t xml:space="preserve">Figure </w:t>
            </w:r>
            <w:r w:rsidR="00185C05" w:rsidRPr="00321D31">
              <w:rPr>
                <w:sz w:val="24"/>
                <w:szCs w:val="20"/>
              </w:rPr>
              <w:fldChar w:fldCharType="begin"/>
            </w:r>
            <w:r w:rsidRPr="00321D31">
              <w:rPr>
                <w:sz w:val="24"/>
                <w:szCs w:val="20"/>
              </w:rPr>
              <w:instrText xml:space="preserve"> SEQ Figure \* ARABIC </w:instrText>
            </w:r>
            <w:r w:rsidR="00185C05" w:rsidRPr="00321D31">
              <w:rPr>
                <w:sz w:val="24"/>
                <w:szCs w:val="20"/>
              </w:rPr>
              <w:fldChar w:fldCharType="separate"/>
            </w:r>
            <w:r w:rsidRPr="00321D31">
              <w:rPr>
                <w:noProof/>
                <w:sz w:val="24"/>
                <w:szCs w:val="20"/>
              </w:rPr>
              <w:t>20</w:t>
            </w:r>
            <w:r w:rsidR="00185C05" w:rsidRPr="00321D31">
              <w:rPr>
                <w:sz w:val="24"/>
                <w:szCs w:val="20"/>
              </w:rPr>
              <w:fldChar w:fldCharType="end"/>
            </w:r>
            <w:bookmarkEnd w:id="23"/>
            <w:r w:rsidRPr="00321D31">
              <w:rPr>
                <w:sz w:val="24"/>
                <w:szCs w:val="20"/>
              </w:rPr>
              <w:t>. Unemployment Rates,</w:t>
            </w:r>
            <w:r>
              <w:rPr>
                <w:sz w:val="24"/>
                <w:szCs w:val="20"/>
              </w:rPr>
              <w:br/>
            </w:r>
            <w:r w:rsidRPr="00321D31">
              <w:rPr>
                <w:sz w:val="24"/>
                <w:szCs w:val="20"/>
              </w:rPr>
              <w:t>Youth vs. Total, 2011</w:t>
            </w:r>
          </w:p>
        </w:tc>
        <w:tc>
          <w:tcPr>
            <w:tcW w:w="5070" w:type="dxa"/>
            <w:gridSpan w:val="2"/>
          </w:tcPr>
          <w:p w:rsidR="0060585A" w:rsidRPr="00321D31" w:rsidRDefault="0060585A" w:rsidP="004D31F4">
            <w:pPr>
              <w:pStyle w:val="Caption"/>
              <w:keepNext/>
              <w:keepLines/>
              <w:spacing w:before="60" w:after="60" w:line="276" w:lineRule="auto"/>
              <w:jc w:val="left"/>
              <w:rPr>
                <w:sz w:val="24"/>
                <w:szCs w:val="20"/>
              </w:rPr>
            </w:pPr>
            <w:bookmarkStart w:id="24" w:name="_Ref327287723"/>
            <w:r w:rsidRPr="00321D31">
              <w:rPr>
                <w:sz w:val="24"/>
                <w:szCs w:val="20"/>
              </w:rPr>
              <w:t xml:space="preserve">Figure </w:t>
            </w:r>
            <w:r w:rsidR="00185C05" w:rsidRPr="00321D31">
              <w:rPr>
                <w:sz w:val="24"/>
                <w:szCs w:val="20"/>
              </w:rPr>
              <w:fldChar w:fldCharType="begin"/>
            </w:r>
            <w:r w:rsidRPr="00321D31">
              <w:rPr>
                <w:sz w:val="24"/>
                <w:szCs w:val="20"/>
              </w:rPr>
              <w:instrText xml:space="preserve"> SEQ Figure \* ARABIC </w:instrText>
            </w:r>
            <w:r w:rsidR="00185C05" w:rsidRPr="00321D31">
              <w:rPr>
                <w:sz w:val="24"/>
                <w:szCs w:val="20"/>
              </w:rPr>
              <w:fldChar w:fldCharType="separate"/>
            </w:r>
            <w:r w:rsidRPr="00321D31">
              <w:rPr>
                <w:noProof/>
                <w:sz w:val="24"/>
                <w:szCs w:val="20"/>
              </w:rPr>
              <w:t>21</w:t>
            </w:r>
            <w:r w:rsidR="00185C05" w:rsidRPr="00321D31">
              <w:rPr>
                <w:sz w:val="24"/>
                <w:szCs w:val="20"/>
              </w:rPr>
              <w:fldChar w:fldCharType="end"/>
            </w:r>
            <w:bookmarkEnd w:id="24"/>
            <w:r w:rsidRPr="00321D31">
              <w:rPr>
                <w:sz w:val="24"/>
                <w:szCs w:val="20"/>
              </w:rPr>
              <w:t>. Change in Unemployment Rates, Youth vs. Total, 2008–2011</w:t>
            </w:r>
          </w:p>
        </w:tc>
      </w:tr>
      <w:tr w:rsidR="0060585A" w:rsidRPr="00321D31" w:rsidTr="00390DCF">
        <w:trPr>
          <w:gridAfter w:val="1"/>
          <w:wAfter w:w="170" w:type="dxa"/>
        </w:trPr>
        <w:tc>
          <w:tcPr>
            <w:tcW w:w="4668" w:type="dxa"/>
            <w:gridSpan w:val="2"/>
          </w:tcPr>
          <w:p w:rsidR="0060585A" w:rsidRPr="00321D31" w:rsidRDefault="00A1042F" w:rsidP="00321D31">
            <w:pPr>
              <w:spacing w:line="276" w:lineRule="auto"/>
              <w:jc w:val="center"/>
              <w:rPr>
                <w:szCs w:val="20"/>
              </w:rPr>
            </w:pPr>
            <w:r>
              <w:rPr>
                <w:b/>
                <w:noProof/>
                <w:sz w:val="32"/>
              </w:rPr>
              <w:drawing>
                <wp:inline distT="0" distB="0" distL="0" distR="0">
                  <wp:extent cx="2171700" cy="177165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srcRect/>
                          <a:stretch>
                            <a:fillRect/>
                          </a:stretch>
                        </pic:blipFill>
                        <pic:spPr bwMode="auto">
                          <a:xfrm>
                            <a:off x="0" y="0"/>
                            <a:ext cx="2171700" cy="1771650"/>
                          </a:xfrm>
                          <a:prstGeom prst="rect">
                            <a:avLst/>
                          </a:prstGeom>
                          <a:noFill/>
                          <a:ln w="9525">
                            <a:noFill/>
                            <a:miter lim="800000"/>
                            <a:headEnd/>
                            <a:tailEnd/>
                          </a:ln>
                        </pic:spPr>
                      </pic:pic>
                    </a:graphicData>
                  </a:graphic>
                </wp:inline>
              </w:drawing>
            </w:r>
          </w:p>
        </w:tc>
        <w:tc>
          <w:tcPr>
            <w:tcW w:w="5070" w:type="dxa"/>
            <w:gridSpan w:val="2"/>
          </w:tcPr>
          <w:p w:rsidR="0060585A" w:rsidRPr="00321D31" w:rsidRDefault="00A1042F" w:rsidP="00321D31">
            <w:pPr>
              <w:spacing w:line="276" w:lineRule="auto"/>
              <w:jc w:val="center"/>
              <w:rPr>
                <w:szCs w:val="20"/>
              </w:rPr>
            </w:pPr>
            <w:r>
              <w:rPr>
                <w:b/>
                <w:noProof/>
                <w:sz w:val="32"/>
              </w:rPr>
              <w:drawing>
                <wp:inline distT="0" distB="0" distL="0" distR="0">
                  <wp:extent cx="2171700" cy="17716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srcRect/>
                          <a:stretch>
                            <a:fillRect/>
                          </a:stretch>
                        </pic:blipFill>
                        <pic:spPr bwMode="auto">
                          <a:xfrm>
                            <a:off x="0" y="0"/>
                            <a:ext cx="2171700" cy="1771650"/>
                          </a:xfrm>
                          <a:prstGeom prst="rect">
                            <a:avLst/>
                          </a:prstGeom>
                          <a:noFill/>
                          <a:ln w="9525">
                            <a:noFill/>
                            <a:miter lim="800000"/>
                            <a:headEnd/>
                            <a:tailEnd/>
                          </a:ln>
                        </pic:spPr>
                      </pic:pic>
                    </a:graphicData>
                  </a:graphic>
                </wp:inline>
              </w:drawing>
            </w:r>
          </w:p>
        </w:tc>
      </w:tr>
      <w:tr w:rsidR="0060585A" w:rsidRPr="00321D31" w:rsidTr="00390DCF">
        <w:trPr>
          <w:gridAfter w:val="1"/>
          <w:wAfter w:w="170" w:type="dxa"/>
        </w:trPr>
        <w:tc>
          <w:tcPr>
            <w:tcW w:w="4668" w:type="dxa"/>
            <w:gridSpan w:val="2"/>
          </w:tcPr>
          <w:p w:rsidR="0060585A" w:rsidRPr="00321D31" w:rsidRDefault="0060585A" w:rsidP="00321D31">
            <w:pPr>
              <w:spacing w:line="276" w:lineRule="auto"/>
              <w:rPr>
                <w:szCs w:val="20"/>
              </w:rPr>
            </w:pPr>
            <w:r w:rsidRPr="00321D31">
              <w:rPr>
                <w:i/>
                <w:sz w:val="18"/>
                <w:szCs w:val="18"/>
              </w:rPr>
              <w:t xml:space="preserve">Source: </w:t>
            </w:r>
            <w:r w:rsidRPr="00321D31">
              <w:rPr>
                <w:sz w:val="18"/>
                <w:szCs w:val="18"/>
              </w:rPr>
              <w:t>Eurostat, World Bank staff calculations</w:t>
            </w:r>
          </w:p>
        </w:tc>
        <w:tc>
          <w:tcPr>
            <w:tcW w:w="5070" w:type="dxa"/>
            <w:gridSpan w:val="2"/>
          </w:tcPr>
          <w:p w:rsidR="0060585A" w:rsidRPr="00321D31" w:rsidRDefault="0060585A" w:rsidP="00321D31">
            <w:pPr>
              <w:spacing w:line="276" w:lineRule="auto"/>
              <w:rPr>
                <w:szCs w:val="20"/>
              </w:rPr>
            </w:pPr>
          </w:p>
        </w:tc>
      </w:tr>
      <w:tr w:rsidR="0060585A" w:rsidRPr="00321D31" w:rsidTr="004A70D0">
        <w:tblPrEx>
          <w:jc w:val="center"/>
        </w:tblPrEx>
        <w:trPr>
          <w:gridBefore w:val="1"/>
          <w:wBefore w:w="166" w:type="dxa"/>
          <w:trHeight w:val="725"/>
          <w:jc w:val="center"/>
        </w:trPr>
        <w:tc>
          <w:tcPr>
            <w:tcW w:w="4668" w:type="dxa"/>
            <w:gridSpan w:val="2"/>
          </w:tcPr>
          <w:p w:rsidR="0060585A" w:rsidRPr="00321D31" w:rsidRDefault="0060585A" w:rsidP="004D31F4">
            <w:pPr>
              <w:pStyle w:val="Caption"/>
              <w:keepNext/>
              <w:keepLines/>
              <w:spacing w:before="60" w:after="60" w:line="276" w:lineRule="auto"/>
              <w:jc w:val="left"/>
              <w:rPr>
                <w:sz w:val="22"/>
                <w:szCs w:val="22"/>
              </w:rPr>
            </w:pPr>
            <w:bookmarkStart w:id="25" w:name="_Ref327287743"/>
            <w:r w:rsidRPr="00321D31">
              <w:rPr>
                <w:sz w:val="22"/>
                <w:szCs w:val="22"/>
              </w:rPr>
              <w:t xml:space="preserve">Figure </w:t>
            </w:r>
            <w:r w:rsidR="00185C05" w:rsidRPr="00321D31">
              <w:rPr>
                <w:sz w:val="22"/>
                <w:szCs w:val="22"/>
              </w:rPr>
              <w:fldChar w:fldCharType="begin"/>
            </w:r>
            <w:r w:rsidRPr="00321D31">
              <w:rPr>
                <w:sz w:val="22"/>
                <w:szCs w:val="22"/>
              </w:rPr>
              <w:instrText xml:space="preserve"> SEQ Figure \* ARABIC </w:instrText>
            </w:r>
            <w:r w:rsidR="00185C05" w:rsidRPr="00321D31">
              <w:rPr>
                <w:sz w:val="22"/>
                <w:szCs w:val="22"/>
              </w:rPr>
              <w:fldChar w:fldCharType="separate"/>
            </w:r>
            <w:r w:rsidRPr="00321D31">
              <w:rPr>
                <w:noProof/>
                <w:sz w:val="22"/>
                <w:szCs w:val="22"/>
              </w:rPr>
              <w:t>22</w:t>
            </w:r>
            <w:r w:rsidR="00185C05" w:rsidRPr="00321D31">
              <w:rPr>
                <w:sz w:val="22"/>
                <w:szCs w:val="22"/>
              </w:rPr>
              <w:fldChar w:fldCharType="end"/>
            </w:r>
            <w:bookmarkEnd w:id="25"/>
            <w:r w:rsidRPr="00321D31">
              <w:rPr>
                <w:sz w:val="22"/>
                <w:szCs w:val="22"/>
              </w:rPr>
              <w:t xml:space="preserve">. Unemployment Rates, </w:t>
            </w:r>
            <w:r>
              <w:rPr>
                <w:sz w:val="22"/>
                <w:szCs w:val="22"/>
              </w:rPr>
              <w:br/>
            </w:r>
            <w:r w:rsidRPr="00321D31">
              <w:rPr>
                <w:sz w:val="22"/>
                <w:szCs w:val="22"/>
              </w:rPr>
              <w:t>Low-skilled vs. Total, 2011</w:t>
            </w:r>
          </w:p>
        </w:tc>
        <w:tc>
          <w:tcPr>
            <w:tcW w:w="5074" w:type="dxa"/>
            <w:gridSpan w:val="2"/>
          </w:tcPr>
          <w:p w:rsidR="0060585A" w:rsidRPr="00321D31" w:rsidRDefault="0060585A" w:rsidP="000C50E8">
            <w:pPr>
              <w:pStyle w:val="Caption"/>
              <w:keepNext/>
              <w:keepLines/>
              <w:spacing w:before="60" w:after="60" w:line="276" w:lineRule="auto"/>
              <w:jc w:val="left"/>
              <w:rPr>
                <w:sz w:val="22"/>
                <w:szCs w:val="22"/>
              </w:rPr>
            </w:pPr>
            <w:bookmarkStart w:id="26" w:name="_Ref327287744"/>
            <w:r w:rsidRPr="00321D31">
              <w:rPr>
                <w:sz w:val="22"/>
                <w:szCs w:val="22"/>
              </w:rPr>
              <w:t xml:space="preserve">Figure </w:t>
            </w:r>
            <w:r w:rsidR="00185C05" w:rsidRPr="00321D31">
              <w:rPr>
                <w:sz w:val="22"/>
                <w:szCs w:val="22"/>
              </w:rPr>
              <w:fldChar w:fldCharType="begin"/>
            </w:r>
            <w:r w:rsidRPr="00321D31">
              <w:rPr>
                <w:sz w:val="22"/>
                <w:szCs w:val="22"/>
              </w:rPr>
              <w:instrText xml:space="preserve"> SEQ Figure \* ARABIC </w:instrText>
            </w:r>
            <w:r w:rsidR="00185C05" w:rsidRPr="00321D31">
              <w:rPr>
                <w:sz w:val="22"/>
                <w:szCs w:val="22"/>
              </w:rPr>
              <w:fldChar w:fldCharType="separate"/>
            </w:r>
            <w:r w:rsidRPr="00321D31">
              <w:rPr>
                <w:noProof/>
                <w:sz w:val="22"/>
                <w:szCs w:val="22"/>
              </w:rPr>
              <w:t>23</w:t>
            </w:r>
            <w:r w:rsidR="00185C05" w:rsidRPr="00321D31">
              <w:rPr>
                <w:sz w:val="22"/>
                <w:szCs w:val="22"/>
              </w:rPr>
              <w:fldChar w:fldCharType="end"/>
            </w:r>
            <w:bookmarkEnd w:id="26"/>
            <w:r w:rsidRPr="00321D31">
              <w:rPr>
                <w:sz w:val="22"/>
                <w:szCs w:val="22"/>
              </w:rPr>
              <w:t>. Change</w:t>
            </w:r>
            <w:r w:rsidRPr="00321D31">
              <w:rPr>
                <w:sz w:val="22"/>
                <w:szCs w:val="22"/>
                <w:u w:val="single"/>
              </w:rPr>
              <w:t xml:space="preserve"> </w:t>
            </w:r>
            <w:r w:rsidRPr="00321D31">
              <w:rPr>
                <w:sz w:val="22"/>
                <w:szCs w:val="22"/>
              </w:rPr>
              <w:t>in Unemployment Rates, Low-skilled vs. Total, 2008</w:t>
            </w:r>
            <w:r w:rsidRPr="00321D31">
              <w:rPr>
                <w:sz w:val="24"/>
                <w:szCs w:val="20"/>
              </w:rPr>
              <w:t>–</w:t>
            </w:r>
            <w:r w:rsidRPr="00321D31">
              <w:rPr>
                <w:sz w:val="22"/>
                <w:szCs w:val="22"/>
              </w:rPr>
              <w:t>2011</w:t>
            </w:r>
          </w:p>
        </w:tc>
      </w:tr>
      <w:tr w:rsidR="0060585A" w:rsidRPr="00321D31" w:rsidTr="004A70D0">
        <w:tblPrEx>
          <w:jc w:val="center"/>
        </w:tblPrEx>
        <w:trPr>
          <w:gridBefore w:val="1"/>
          <w:wBefore w:w="166" w:type="dxa"/>
          <w:trHeight w:val="2777"/>
          <w:jc w:val="center"/>
        </w:trPr>
        <w:tc>
          <w:tcPr>
            <w:tcW w:w="4668" w:type="dxa"/>
            <w:gridSpan w:val="2"/>
          </w:tcPr>
          <w:p w:rsidR="0060585A" w:rsidRPr="00321D31" w:rsidRDefault="00A1042F" w:rsidP="00321D31">
            <w:pPr>
              <w:spacing w:line="276" w:lineRule="auto"/>
              <w:jc w:val="center"/>
              <w:rPr>
                <w:b/>
                <w:sz w:val="28"/>
              </w:rPr>
            </w:pPr>
            <w:r>
              <w:rPr>
                <w:b/>
                <w:noProof/>
                <w:sz w:val="32"/>
              </w:rPr>
              <w:drawing>
                <wp:inline distT="0" distB="0" distL="0" distR="0">
                  <wp:extent cx="2171700" cy="1771650"/>
                  <wp:effectExtent l="19050" t="0" r="0" b="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srcRect/>
                          <a:stretch>
                            <a:fillRect/>
                          </a:stretch>
                        </pic:blipFill>
                        <pic:spPr bwMode="auto">
                          <a:xfrm>
                            <a:off x="0" y="0"/>
                            <a:ext cx="2171700" cy="1771650"/>
                          </a:xfrm>
                          <a:prstGeom prst="rect">
                            <a:avLst/>
                          </a:prstGeom>
                          <a:noFill/>
                          <a:ln w="9525">
                            <a:noFill/>
                            <a:miter lim="800000"/>
                            <a:headEnd/>
                            <a:tailEnd/>
                          </a:ln>
                        </pic:spPr>
                      </pic:pic>
                    </a:graphicData>
                  </a:graphic>
                </wp:inline>
              </w:drawing>
            </w:r>
          </w:p>
        </w:tc>
        <w:tc>
          <w:tcPr>
            <w:tcW w:w="5074" w:type="dxa"/>
            <w:gridSpan w:val="2"/>
          </w:tcPr>
          <w:p w:rsidR="0060585A" w:rsidRPr="00321D31" w:rsidRDefault="00A1042F" w:rsidP="00321D31">
            <w:pPr>
              <w:spacing w:line="276" w:lineRule="auto"/>
              <w:jc w:val="center"/>
              <w:rPr>
                <w:b/>
                <w:sz w:val="28"/>
              </w:rPr>
            </w:pPr>
            <w:r>
              <w:rPr>
                <w:b/>
                <w:noProof/>
                <w:sz w:val="32"/>
              </w:rPr>
              <w:drawing>
                <wp:inline distT="0" distB="0" distL="0" distR="0">
                  <wp:extent cx="2171700" cy="177165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srcRect/>
                          <a:stretch>
                            <a:fillRect/>
                          </a:stretch>
                        </pic:blipFill>
                        <pic:spPr bwMode="auto">
                          <a:xfrm>
                            <a:off x="0" y="0"/>
                            <a:ext cx="2171700" cy="1771650"/>
                          </a:xfrm>
                          <a:prstGeom prst="rect">
                            <a:avLst/>
                          </a:prstGeom>
                          <a:noFill/>
                          <a:ln w="9525">
                            <a:noFill/>
                            <a:miter lim="800000"/>
                            <a:headEnd/>
                            <a:tailEnd/>
                          </a:ln>
                        </pic:spPr>
                      </pic:pic>
                    </a:graphicData>
                  </a:graphic>
                </wp:inline>
              </w:drawing>
            </w:r>
          </w:p>
        </w:tc>
      </w:tr>
      <w:tr w:rsidR="0060585A" w:rsidRPr="00321D31" w:rsidTr="004A70D0">
        <w:tblPrEx>
          <w:jc w:val="center"/>
        </w:tblPrEx>
        <w:trPr>
          <w:gridBefore w:val="1"/>
          <w:wBefore w:w="166" w:type="dxa"/>
          <w:trHeight w:val="319"/>
          <w:jc w:val="center"/>
        </w:trPr>
        <w:tc>
          <w:tcPr>
            <w:tcW w:w="9742" w:type="dxa"/>
            <w:gridSpan w:val="4"/>
          </w:tcPr>
          <w:p w:rsidR="0060585A" w:rsidRPr="00321D31" w:rsidRDefault="0060585A" w:rsidP="00321D31">
            <w:pPr>
              <w:keepNext/>
              <w:spacing w:before="60" w:after="40" w:line="276" w:lineRule="auto"/>
              <w:rPr>
                <w:i/>
                <w:sz w:val="18"/>
                <w:szCs w:val="18"/>
              </w:rPr>
            </w:pPr>
            <w:r w:rsidRPr="00321D31">
              <w:rPr>
                <w:i/>
                <w:sz w:val="18"/>
                <w:szCs w:val="18"/>
              </w:rPr>
              <w:t xml:space="preserve">Source: </w:t>
            </w:r>
            <w:r w:rsidRPr="00321D31">
              <w:rPr>
                <w:sz w:val="18"/>
                <w:szCs w:val="18"/>
              </w:rPr>
              <w:t>Eurostat, World Bank staff calculations.</w:t>
            </w:r>
            <w:r w:rsidRPr="00321D31">
              <w:rPr>
                <w:i/>
                <w:sz w:val="18"/>
                <w:szCs w:val="18"/>
              </w:rPr>
              <w:t xml:space="preserve"> </w:t>
            </w:r>
          </w:p>
        </w:tc>
      </w:tr>
    </w:tbl>
    <w:p w:rsidR="0060585A" w:rsidRPr="00EE5C71" w:rsidRDefault="0060585A" w:rsidP="00E41045">
      <w:pPr>
        <w:spacing w:line="276" w:lineRule="auto"/>
        <w:rPr>
          <w:sz w:val="20"/>
          <w:szCs w:val="20"/>
        </w:rPr>
      </w:pPr>
    </w:p>
    <w:p w:rsidR="0060585A" w:rsidRPr="00EE5C71" w:rsidRDefault="0060585A" w:rsidP="00A33F99">
      <w:pPr>
        <w:spacing w:line="276" w:lineRule="auto"/>
        <w:rPr>
          <w:szCs w:val="20"/>
        </w:rPr>
      </w:pPr>
      <w:r w:rsidRPr="00FC7B52">
        <w:rPr>
          <w:b/>
          <w:szCs w:val="20"/>
        </w:rPr>
        <w:lastRenderedPageBreak/>
        <w:t>The portion of long-term to total unemployed rose</w:t>
      </w:r>
      <w:r>
        <w:rPr>
          <w:b/>
          <w:szCs w:val="20"/>
        </w:rPr>
        <w:t xml:space="preserve"> in the EU11 countries in 2011</w:t>
      </w:r>
      <w:r w:rsidRPr="00FC7B52">
        <w:rPr>
          <w:szCs w:val="20"/>
        </w:rPr>
        <w:t>.</w:t>
      </w:r>
      <w:r>
        <w:rPr>
          <w:szCs w:val="20"/>
        </w:rPr>
        <w:t xml:space="preserve"> T</w:t>
      </w:r>
      <w:r w:rsidRPr="00EE5C71">
        <w:rPr>
          <w:szCs w:val="20"/>
        </w:rPr>
        <w:t xml:space="preserve">he crisis </w:t>
      </w:r>
      <w:r>
        <w:rPr>
          <w:szCs w:val="20"/>
        </w:rPr>
        <w:t xml:space="preserve">has also </w:t>
      </w:r>
      <w:r w:rsidRPr="00EE5C71">
        <w:rPr>
          <w:szCs w:val="20"/>
        </w:rPr>
        <w:t xml:space="preserve">made it hard for workers </w:t>
      </w:r>
      <w:r>
        <w:rPr>
          <w:szCs w:val="20"/>
        </w:rPr>
        <w:t xml:space="preserve">who have </w:t>
      </w:r>
      <w:r w:rsidRPr="00EE5C71">
        <w:rPr>
          <w:szCs w:val="20"/>
        </w:rPr>
        <w:t>lost their job</w:t>
      </w:r>
      <w:r>
        <w:rPr>
          <w:szCs w:val="20"/>
        </w:rPr>
        <w:t>s</w:t>
      </w:r>
      <w:r w:rsidRPr="00EE5C71">
        <w:rPr>
          <w:szCs w:val="20"/>
        </w:rPr>
        <w:t xml:space="preserve"> to </w:t>
      </w:r>
      <w:r>
        <w:rPr>
          <w:szCs w:val="20"/>
        </w:rPr>
        <w:t>get new ones</w:t>
      </w:r>
      <w:r w:rsidRPr="00EE5C71">
        <w:rPr>
          <w:szCs w:val="20"/>
        </w:rPr>
        <w:t>.</w:t>
      </w:r>
      <w:r>
        <w:rPr>
          <w:szCs w:val="20"/>
        </w:rPr>
        <w:t xml:space="preserve"> </w:t>
      </w:r>
      <w:r w:rsidRPr="00EE5C71">
        <w:rPr>
          <w:szCs w:val="20"/>
        </w:rPr>
        <w:t xml:space="preserve">The share of long-term unemployed in total unemployed </w:t>
      </w:r>
      <w:r>
        <w:rPr>
          <w:szCs w:val="20"/>
        </w:rPr>
        <w:t xml:space="preserve">has </w:t>
      </w:r>
      <w:r w:rsidRPr="00EE5C71">
        <w:rPr>
          <w:szCs w:val="20"/>
        </w:rPr>
        <w:t>increased from 44 percent before the crisis</w:t>
      </w:r>
      <w:r>
        <w:rPr>
          <w:szCs w:val="20"/>
        </w:rPr>
        <w:t xml:space="preserve"> </w:t>
      </w:r>
      <w:r w:rsidRPr="00EE5C71">
        <w:rPr>
          <w:szCs w:val="20"/>
        </w:rPr>
        <w:t>to almost 50 percent.</w:t>
      </w:r>
      <w:r>
        <w:rPr>
          <w:szCs w:val="20"/>
        </w:rPr>
        <w:t xml:space="preserve"> </w:t>
      </w:r>
    </w:p>
    <w:p w:rsidR="0060585A" w:rsidRDefault="0060585A" w:rsidP="00E41045">
      <w:pPr>
        <w:spacing w:line="276" w:lineRule="auto"/>
        <w:rPr>
          <w:b/>
        </w:rPr>
      </w:pPr>
    </w:p>
    <w:p w:rsidR="0060585A" w:rsidRPr="0074366C" w:rsidRDefault="0060585A" w:rsidP="00E41045">
      <w:pPr>
        <w:spacing w:line="276" w:lineRule="auto"/>
      </w:pPr>
      <w:r w:rsidRPr="00FA0EB2">
        <w:rPr>
          <w:b/>
        </w:rPr>
        <w:t xml:space="preserve">Vacancy rates </w:t>
      </w:r>
      <w:r>
        <w:rPr>
          <w:b/>
        </w:rPr>
        <w:t xml:space="preserve">in the EU11 </w:t>
      </w:r>
      <w:r w:rsidRPr="00FA0EB2">
        <w:rPr>
          <w:b/>
        </w:rPr>
        <w:t xml:space="preserve">have declined steadily since 2008. </w:t>
      </w:r>
      <w:r w:rsidRPr="005D46E2">
        <w:t xml:space="preserve">At 0.6 percent in the fourth quarter 2011, </w:t>
      </w:r>
      <w:r>
        <w:t xml:space="preserve">they </w:t>
      </w:r>
      <w:r w:rsidRPr="005D46E2">
        <w:t>reached their lowest levels since the global economic crisis</w:t>
      </w:r>
      <w:r>
        <w:t xml:space="preserve"> began (</w:t>
      </w:r>
      <w:fldSimple w:instr=" REF _Ref327287789 \h  \* MERGEFORMAT ">
        <w:r w:rsidRPr="005D6031">
          <w:t>Figure 24</w:t>
        </w:r>
      </w:fldSimple>
      <w:r>
        <w:t>)</w:t>
      </w:r>
      <w:r w:rsidRPr="005D46E2">
        <w:t xml:space="preserve">. </w:t>
      </w:r>
      <w:r>
        <w:t>Low and de</w:t>
      </w:r>
      <w:r w:rsidRPr="005D46E2">
        <w:t xml:space="preserve">creasing vacancy </w:t>
      </w:r>
      <w:r>
        <w:t>rates coupled with higher u</w:t>
      </w:r>
      <w:r w:rsidRPr="005D46E2">
        <w:t xml:space="preserve">nemployment rates have </w:t>
      </w:r>
      <w:r>
        <w:t>suppressed wage</w:t>
      </w:r>
      <w:r w:rsidRPr="005D46E2">
        <w:t xml:space="preserve"> pressure</w:t>
      </w:r>
      <w:r>
        <w:t>s</w:t>
      </w:r>
      <w:r w:rsidRPr="005D46E2">
        <w:t>.</w:t>
      </w:r>
    </w:p>
    <w:p w:rsidR="0060585A" w:rsidRDefault="0060585A" w:rsidP="00E41045">
      <w:pPr>
        <w:spacing w:line="276" w:lineRule="auto"/>
        <w:rPr>
          <w:b/>
        </w:rPr>
      </w:pPr>
    </w:p>
    <w:p w:rsidR="0060585A" w:rsidRDefault="0060585A" w:rsidP="00E41045">
      <w:pPr>
        <w:spacing w:line="276" w:lineRule="auto"/>
      </w:pPr>
      <w:r>
        <w:rPr>
          <w:b/>
        </w:rPr>
        <w:t>In b</w:t>
      </w:r>
      <w:r w:rsidRPr="00FA0EB2">
        <w:rPr>
          <w:b/>
        </w:rPr>
        <w:t>oth EU11 and EU15, real growth in productivity per worker exceeded real growth in labor costs, strengthening competitiveness.</w:t>
      </w:r>
      <w:r>
        <w:rPr>
          <w:b/>
        </w:rPr>
        <w:t xml:space="preserve"> </w:t>
      </w:r>
      <w:r>
        <w:t xml:space="preserve">The biggest competitiveness gains were recorded by Bulgaria, Lithuania, Romania, Croatia, and Latvia, where real output per worker grew by at least 5 percentage points faster than labor costs. Only in the Czech Republic and Hungary did labor costs increase, but even there they were slower than the gains in productivity. But while there is a cost advantage </w:t>
      </w:r>
      <w:r w:rsidRPr="009E680D">
        <w:t xml:space="preserve">in most EU11 countries </w:t>
      </w:r>
      <w:r>
        <w:t xml:space="preserve">as </w:t>
      </w:r>
      <w:r w:rsidRPr="009E680D">
        <w:t xml:space="preserve">productivity growth </w:t>
      </w:r>
      <w:r>
        <w:t xml:space="preserve">outstrips growth of unit labor costs, </w:t>
      </w:r>
      <w:r w:rsidRPr="009E680D">
        <w:t xml:space="preserve">output </w:t>
      </w:r>
      <w:r>
        <w:t xml:space="preserve">is still </w:t>
      </w:r>
      <w:r w:rsidRPr="009E680D">
        <w:t>below potential</w:t>
      </w:r>
      <w:r>
        <w:t xml:space="preserve">; the </w:t>
      </w:r>
      <w:r w:rsidRPr="009E680D">
        <w:t xml:space="preserve">labor market </w:t>
      </w:r>
      <w:r>
        <w:t xml:space="preserve">will only </w:t>
      </w:r>
      <w:r w:rsidRPr="009E680D">
        <w:t>improve</w:t>
      </w:r>
      <w:r>
        <w:t xml:space="preserve"> as</w:t>
      </w:r>
      <w:r w:rsidRPr="009E680D">
        <w:t xml:space="preserve"> external and domestic demand strengthen</w:t>
      </w:r>
      <w:r>
        <w:t>s (</w:t>
      </w:r>
      <w:fldSimple w:instr=" REF _Ref327287821 \h  \* MERGEFORMAT ">
        <w:r w:rsidRPr="005D6031">
          <w:t>Figure 25</w:t>
        </w:r>
      </w:fldSimple>
      <w:r>
        <w:t>)</w:t>
      </w:r>
      <w:r w:rsidRPr="009E680D">
        <w:t>.</w:t>
      </w:r>
      <w:r>
        <w:t xml:space="preserve"> </w:t>
      </w:r>
    </w:p>
    <w:p w:rsidR="0060585A" w:rsidRDefault="0060585A" w:rsidP="00E41045">
      <w:pPr>
        <w:spacing w:line="276" w:lineRule="auto"/>
      </w:pPr>
    </w:p>
    <w:p w:rsidR="0060585A" w:rsidRDefault="0060585A" w:rsidP="00E41045">
      <w:pPr>
        <w:spacing w:line="276" w:lineRule="auto"/>
      </w:pPr>
    </w:p>
    <w:tbl>
      <w:tblPr>
        <w:tblW w:w="9585" w:type="dxa"/>
        <w:jc w:val="center"/>
        <w:tblInd w:w="677" w:type="dxa"/>
        <w:tblLook w:val="00A0"/>
      </w:tblPr>
      <w:tblGrid>
        <w:gridCol w:w="4716"/>
        <w:gridCol w:w="4869"/>
      </w:tblGrid>
      <w:tr w:rsidR="0060585A" w:rsidRPr="00321D31" w:rsidTr="00390DCF">
        <w:trPr>
          <w:trHeight w:val="767"/>
          <w:jc w:val="center"/>
        </w:trPr>
        <w:tc>
          <w:tcPr>
            <w:tcW w:w="4504" w:type="dxa"/>
          </w:tcPr>
          <w:p w:rsidR="0060585A" w:rsidRPr="00321D31" w:rsidRDefault="0060585A" w:rsidP="004D31F4">
            <w:pPr>
              <w:pStyle w:val="Caption"/>
              <w:keepNext/>
              <w:keepLines/>
              <w:spacing w:before="60" w:after="60" w:line="276" w:lineRule="auto"/>
              <w:jc w:val="left"/>
              <w:rPr>
                <w:sz w:val="22"/>
                <w:szCs w:val="22"/>
              </w:rPr>
            </w:pPr>
            <w:bookmarkStart w:id="27" w:name="_Ref327287789"/>
            <w:r w:rsidRPr="00321D31">
              <w:rPr>
                <w:sz w:val="22"/>
                <w:szCs w:val="22"/>
              </w:rPr>
              <w:t xml:space="preserve">Figure </w:t>
            </w:r>
            <w:r w:rsidR="00185C05" w:rsidRPr="00321D31">
              <w:rPr>
                <w:sz w:val="22"/>
                <w:szCs w:val="22"/>
              </w:rPr>
              <w:fldChar w:fldCharType="begin"/>
            </w:r>
            <w:r w:rsidRPr="00321D31">
              <w:rPr>
                <w:sz w:val="22"/>
                <w:szCs w:val="22"/>
              </w:rPr>
              <w:instrText xml:space="preserve"> SEQ Figure \* ARABIC </w:instrText>
            </w:r>
            <w:r w:rsidR="00185C05" w:rsidRPr="00321D31">
              <w:rPr>
                <w:sz w:val="22"/>
                <w:szCs w:val="22"/>
              </w:rPr>
              <w:fldChar w:fldCharType="separate"/>
            </w:r>
            <w:r w:rsidRPr="00321D31">
              <w:rPr>
                <w:noProof/>
                <w:sz w:val="22"/>
                <w:szCs w:val="22"/>
              </w:rPr>
              <w:t>24</w:t>
            </w:r>
            <w:r w:rsidR="00185C05" w:rsidRPr="00321D31">
              <w:rPr>
                <w:sz w:val="22"/>
                <w:szCs w:val="22"/>
              </w:rPr>
              <w:fldChar w:fldCharType="end"/>
            </w:r>
            <w:bookmarkEnd w:id="27"/>
            <w:r w:rsidRPr="00321D31">
              <w:rPr>
                <w:sz w:val="22"/>
                <w:szCs w:val="22"/>
              </w:rPr>
              <w:t>. Vacancy Rate, EU11 and EU15 (Percent)</w:t>
            </w:r>
          </w:p>
        </w:tc>
        <w:tc>
          <w:tcPr>
            <w:tcW w:w="5081" w:type="dxa"/>
          </w:tcPr>
          <w:p w:rsidR="0060585A" w:rsidRPr="00321D31" w:rsidRDefault="0060585A" w:rsidP="004D31F4">
            <w:pPr>
              <w:pStyle w:val="Caption"/>
              <w:keepNext/>
              <w:keepLines/>
              <w:spacing w:before="60" w:after="60" w:line="276" w:lineRule="auto"/>
              <w:jc w:val="left"/>
              <w:rPr>
                <w:sz w:val="22"/>
                <w:szCs w:val="22"/>
              </w:rPr>
            </w:pPr>
            <w:bookmarkStart w:id="28" w:name="_Ref327287821"/>
            <w:r w:rsidRPr="00321D31">
              <w:rPr>
                <w:sz w:val="22"/>
                <w:szCs w:val="22"/>
              </w:rPr>
              <w:t xml:space="preserve">Figure </w:t>
            </w:r>
            <w:r w:rsidR="00185C05" w:rsidRPr="00321D31">
              <w:rPr>
                <w:sz w:val="22"/>
                <w:szCs w:val="22"/>
              </w:rPr>
              <w:fldChar w:fldCharType="begin"/>
            </w:r>
            <w:r w:rsidRPr="00321D31">
              <w:rPr>
                <w:sz w:val="22"/>
                <w:szCs w:val="22"/>
              </w:rPr>
              <w:instrText xml:space="preserve"> SEQ Figure \* ARABIC </w:instrText>
            </w:r>
            <w:r w:rsidR="00185C05" w:rsidRPr="00321D31">
              <w:rPr>
                <w:sz w:val="22"/>
                <w:szCs w:val="22"/>
              </w:rPr>
              <w:fldChar w:fldCharType="separate"/>
            </w:r>
            <w:r w:rsidRPr="00321D31">
              <w:rPr>
                <w:noProof/>
                <w:sz w:val="22"/>
                <w:szCs w:val="22"/>
              </w:rPr>
              <w:t>25</w:t>
            </w:r>
            <w:r w:rsidR="00185C05" w:rsidRPr="00321D31">
              <w:rPr>
                <w:sz w:val="22"/>
                <w:szCs w:val="22"/>
              </w:rPr>
              <w:fldChar w:fldCharType="end"/>
            </w:r>
            <w:bookmarkEnd w:id="28"/>
            <w:r w:rsidRPr="00321D31">
              <w:rPr>
                <w:sz w:val="22"/>
                <w:szCs w:val="22"/>
              </w:rPr>
              <w:t>. Growth in Real Labor Productivity and Real Unit Labor Cost, 2011 (Percent)</w:t>
            </w:r>
          </w:p>
        </w:tc>
      </w:tr>
      <w:tr w:rsidR="0060585A" w:rsidRPr="00321D31" w:rsidTr="00390DCF">
        <w:trPr>
          <w:trHeight w:val="3002"/>
          <w:jc w:val="center"/>
        </w:trPr>
        <w:tc>
          <w:tcPr>
            <w:tcW w:w="4504" w:type="dxa"/>
          </w:tcPr>
          <w:p w:rsidR="0060585A" w:rsidRPr="00321D31" w:rsidRDefault="00A1042F" w:rsidP="00321D31">
            <w:pPr>
              <w:spacing w:line="276" w:lineRule="auto"/>
              <w:rPr>
                <w:b/>
                <w:szCs w:val="20"/>
              </w:rPr>
            </w:pPr>
            <w:r>
              <w:rPr>
                <w:b/>
                <w:noProof/>
                <w:szCs w:val="20"/>
              </w:rPr>
              <w:drawing>
                <wp:inline distT="0" distB="0" distL="0" distR="0">
                  <wp:extent cx="2838450" cy="253365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srcRect/>
                          <a:stretch>
                            <a:fillRect/>
                          </a:stretch>
                        </pic:blipFill>
                        <pic:spPr bwMode="auto">
                          <a:xfrm>
                            <a:off x="0" y="0"/>
                            <a:ext cx="2838450" cy="2533650"/>
                          </a:xfrm>
                          <a:prstGeom prst="rect">
                            <a:avLst/>
                          </a:prstGeom>
                          <a:noFill/>
                          <a:ln w="9525">
                            <a:noFill/>
                            <a:miter lim="800000"/>
                            <a:headEnd/>
                            <a:tailEnd/>
                          </a:ln>
                        </pic:spPr>
                      </pic:pic>
                    </a:graphicData>
                  </a:graphic>
                </wp:inline>
              </w:drawing>
            </w:r>
          </w:p>
        </w:tc>
        <w:tc>
          <w:tcPr>
            <w:tcW w:w="5081" w:type="dxa"/>
          </w:tcPr>
          <w:p w:rsidR="0060585A" w:rsidRPr="00321D31" w:rsidRDefault="00A1042F" w:rsidP="00321D31">
            <w:pPr>
              <w:spacing w:line="276" w:lineRule="auto"/>
              <w:rPr>
                <w:b/>
                <w:szCs w:val="20"/>
              </w:rPr>
            </w:pPr>
            <w:r>
              <w:rPr>
                <w:b/>
                <w:noProof/>
                <w:szCs w:val="20"/>
              </w:rPr>
              <w:drawing>
                <wp:inline distT="0" distB="0" distL="0" distR="0">
                  <wp:extent cx="2838450" cy="253365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srcRect/>
                          <a:stretch>
                            <a:fillRect/>
                          </a:stretch>
                        </pic:blipFill>
                        <pic:spPr bwMode="auto">
                          <a:xfrm>
                            <a:off x="0" y="0"/>
                            <a:ext cx="2838450" cy="2533650"/>
                          </a:xfrm>
                          <a:prstGeom prst="rect">
                            <a:avLst/>
                          </a:prstGeom>
                          <a:noFill/>
                          <a:ln w="9525">
                            <a:noFill/>
                            <a:miter lim="800000"/>
                            <a:headEnd/>
                            <a:tailEnd/>
                          </a:ln>
                        </pic:spPr>
                      </pic:pic>
                    </a:graphicData>
                  </a:graphic>
                </wp:inline>
              </w:drawing>
            </w:r>
          </w:p>
        </w:tc>
      </w:tr>
      <w:tr w:rsidR="0060585A" w:rsidRPr="00321D31" w:rsidTr="00390DCF">
        <w:trPr>
          <w:trHeight w:val="383"/>
          <w:jc w:val="center"/>
        </w:trPr>
        <w:tc>
          <w:tcPr>
            <w:tcW w:w="9585" w:type="dxa"/>
            <w:gridSpan w:val="2"/>
          </w:tcPr>
          <w:p w:rsidR="0060585A" w:rsidRPr="00321D31" w:rsidRDefault="0060585A" w:rsidP="00321D31">
            <w:pPr>
              <w:keepNext/>
              <w:spacing w:before="60" w:after="40" w:line="276" w:lineRule="auto"/>
              <w:rPr>
                <w:i/>
                <w:sz w:val="18"/>
                <w:szCs w:val="18"/>
              </w:rPr>
            </w:pPr>
            <w:r w:rsidRPr="00321D31">
              <w:rPr>
                <w:i/>
                <w:sz w:val="18"/>
                <w:szCs w:val="18"/>
              </w:rPr>
              <w:t xml:space="preserve">Source: </w:t>
            </w:r>
            <w:r w:rsidRPr="00321D31">
              <w:rPr>
                <w:sz w:val="18"/>
                <w:szCs w:val="18"/>
              </w:rPr>
              <w:t xml:space="preserve">Eurostat, World Bank staff calculations </w:t>
            </w:r>
          </w:p>
        </w:tc>
      </w:tr>
    </w:tbl>
    <w:p w:rsidR="0060585A" w:rsidRDefault="0060585A" w:rsidP="00E41045">
      <w:pPr>
        <w:spacing w:before="200" w:after="200" w:line="276" w:lineRule="auto"/>
        <w:rPr>
          <w:b/>
          <w:bCs/>
          <w:color w:val="4F81BD"/>
          <w:sz w:val="26"/>
          <w:szCs w:val="26"/>
        </w:rPr>
      </w:pPr>
    </w:p>
    <w:p w:rsidR="0060585A" w:rsidRDefault="0060585A">
      <w:pPr>
        <w:spacing w:after="200" w:line="276" w:lineRule="auto"/>
        <w:jc w:val="left"/>
        <w:rPr>
          <w:rFonts w:ascii="Batang" w:eastAsia="Batang" w:hAnsi="Batang"/>
          <w:bCs/>
          <w:iCs/>
          <w:smallCaps/>
          <w:color w:val="005BAB"/>
          <w:szCs w:val="26"/>
        </w:rPr>
      </w:pPr>
      <w:r>
        <w:br w:type="page"/>
      </w:r>
    </w:p>
    <w:p w:rsidR="0060585A" w:rsidRDefault="0060585A" w:rsidP="007C638E">
      <w:pPr>
        <w:pStyle w:val="IntenseQuote"/>
      </w:pPr>
      <w:r w:rsidRPr="00F8203E">
        <w:lastRenderedPageBreak/>
        <w:t>Accommodative Monetary Policy</w:t>
      </w:r>
    </w:p>
    <w:p w:rsidR="0060585A" w:rsidRPr="001B12FD" w:rsidRDefault="0060585A" w:rsidP="00E41045">
      <w:pPr>
        <w:spacing w:line="276" w:lineRule="auto"/>
        <w:rPr>
          <w:rFonts w:cs="Arial"/>
          <w:bCs/>
          <w:i/>
          <w:iCs/>
          <w:color w:val="1F497D"/>
          <w:sz w:val="22"/>
          <w:szCs w:val="22"/>
          <w:lang w:eastAsia="pl-PL"/>
        </w:rPr>
      </w:pPr>
      <w:r w:rsidRPr="001B12FD">
        <w:rPr>
          <w:rFonts w:cs="Arial"/>
          <w:bCs/>
          <w:i/>
          <w:iCs/>
          <w:color w:val="1F497D"/>
          <w:sz w:val="22"/>
          <w:szCs w:val="22"/>
          <w:lang w:eastAsia="pl-PL"/>
        </w:rPr>
        <w:t>Headli</w:t>
      </w:r>
      <w:r>
        <w:rPr>
          <w:rFonts w:cs="Arial"/>
          <w:bCs/>
          <w:i/>
          <w:iCs/>
          <w:color w:val="1F497D"/>
          <w:sz w:val="22"/>
          <w:szCs w:val="22"/>
          <w:lang w:eastAsia="pl-PL"/>
        </w:rPr>
        <w:t xml:space="preserve">ne inflation in the EU11 was kept high in 2011 by </w:t>
      </w:r>
      <w:r w:rsidRPr="001B12FD">
        <w:rPr>
          <w:rFonts w:cs="Arial"/>
          <w:bCs/>
          <w:i/>
          <w:iCs/>
          <w:color w:val="1F497D"/>
          <w:sz w:val="22"/>
          <w:szCs w:val="22"/>
          <w:lang w:eastAsia="pl-PL"/>
        </w:rPr>
        <w:t>increases in indirect taxes and global commodity prices.</w:t>
      </w:r>
      <w:r>
        <w:rPr>
          <w:rFonts w:cs="Arial"/>
          <w:bCs/>
          <w:i/>
          <w:iCs/>
          <w:color w:val="1F497D"/>
          <w:sz w:val="22"/>
          <w:szCs w:val="22"/>
          <w:lang w:eastAsia="pl-PL"/>
        </w:rPr>
        <w:t xml:space="preserve"> Monetary policy remained accommodative, and interest rates stayed</w:t>
      </w:r>
      <w:r w:rsidRPr="003421EA">
        <w:rPr>
          <w:rFonts w:cs="Arial"/>
          <w:bCs/>
          <w:i/>
          <w:iCs/>
          <w:color w:val="1F497D"/>
          <w:sz w:val="22"/>
          <w:szCs w:val="22"/>
          <w:lang w:eastAsia="pl-PL"/>
        </w:rPr>
        <w:t xml:space="preserve"> low.</w:t>
      </w:r>
    </w:p>
    <w:p w:rsidR="0060585A" w:rsidRDefault="0060585A" w:rsidP="00E41045">
      <w:pPr>
        <w:spacing w:line="276" w:lineRule="auto"/>
        <w:rPr>
          <w:rFonts w:cs="Arial"/>
          <w:b/>
          <w:bCs/>
          <w:i/>
          <w:iCs/>
          <w:color w:val="1F497D"/>
          <w:sz w:val="22"/>
          <w:szCs w:val="22"/>
          <w:lang w:eastAsia="pl-PL"/>
        </w:rPr>
      </w:pPr>
      <w:r w:rsidRPr="001B12FD" w:rsidDel="00E102E0">
        <w:rPr>
          <w:rFonts w:cs="Arial"/>
          <w:b/>
          <w:bCs/>
          <w:i/>
          <w:iCs/>
          <w:color w:val="1F497D"/>
          <w:sz w:val="22"/>
          <w:szCs w:val="22"/>
          <w:lang w:eastAsia="pl-PL"/>
        </w:rPr>
        <w:t xml:space="preserve"> </w:t>
      </w:r>
    </w:p>
    <w:p w:rsidR="0060585A" w:rsidRDefault="0060585A" w:rsidP="00E41045">
      <w:pPr>
        <w:spacing w:line="276" w:lineRule="auto"/>
        <w:rPr>
          <w:b/>
        </w:rPr>
      </w:pPr>
    </w:p>
    <w:p w:rsidR="0060585A" w:rsidRDefault="0060585A" w:rsidP="00E41045">
      <w:pPr>
        <w:spacing w:line="276" w:lineRule="auto"/>
        <w:rPr>
          <w:b/>
        </w:rPr>
      </w:pPr>
      <w:r>
        <w:rPr>
          <w:b/>
        </w:rPr>
        <w:t xml:space="preserve">Despite economic slowdown, inflation is still elevated in both EU11 and EU15. </w:t>
      </w:r>
      <w:r w:rsidRPr="00E31054">
        <w:t xml:space="preserve">Since mid-2011 </w:t>
      </w:r>
      <w:r>
        <w:t>h</w:t>
      </w:r>
      <w:r w:rsidRPr="00123745">
        <w:t>eadline inflation has been hovering around 3.5</w:t>
      </w:r>
      <w:r w:rsidRPr="00123745">
        <w:rPr>
          <w:szCs w:val="20"/>
        </w:rPr>
        <w:t>–</w:t>
      </w:r>
      <w:r w:rsidRPr="00123745">
        <w:t xml:space="preserve">4 percent </w:t>
      </w:r>
      <w:r>
        <w:t xml:space="preserve">in EU11 and about 3 percent in EU15. Prices continued rising even as </w:t>
      </w:r>
      <w:r w:rsidRPr="00BE7D3E">
        <w:t>economic activity</w:t>
      </w:r>
      <w:r>
        <w:t xml:space="preserve"> was gradually slowing</w:t>
      </w:r>
      <w:r w:rsidRPr="00BE7D3E">
        <w:t>.</w:t>
      </w:r>
      <w:r>
        <w:rPr>
          <w:b/>
        </w:rPr>
        <w:t xml:space="preserve"> </w:t>
      </w:r>
      <w:r w:rsidRPr="00C30F5A">
        <w:t xml:space="preserve">The difference between inflation rates in </w:t>
      </w:r>
      <w:r>
        <w:t xml:space="preserve">the two </w:t>
      </w:r>
      <w:r w:rsidRPr="00C30F5A">
        <w:t xml:space="preserve">regions narrowed from </w:t>
      </w:r>
      <w:r>
        <w:t xml:space="preserve">about </w:t>
      </w:r>
      <w:r w:rsidRPr="00C30F5A">
        <w:t>3.5 percentage points in early 2009 to less than 1</w:t>
      </w:r>
      <w:r>
        <w:t>.0</w:t>
      </w:r>
      <w:r w:rsidRPr="00C30F5A">
        <w:t xml:space="preserve"> in </w:t>
      </w:r>
      <w:r>
        <w:t>May</w:t>
      </w:r>
      <w:r w:rsidRPr="00C30F5A">
        <w:t xml:space="preserve"> 2012.</w:t>
      </w:r>
      <w:r>
        <w:t xml:space="preserve"> </w:t>
      </w:r>
      <w:r w:rsidRPr="00C30F5A">
        <w:t xml:space="preserve">This convergence in price developments is almost entirely due to higher inflation in EU15, driven by high commodity prices and depreciation of the </w:t>
      </w:r>
      <w:r>
        <w:t>e</w:t>
      </w:r>
      <w:r w:rsidRPr="00C30F5A">
        <w:t xml:space="preserve">uro, rather than </w:t>
      </w:r>
      <w:r>
        <w:t xml:space="preserve">by price </w:t>
      </w:r>
      <w:r w:rsidRPr="00C30F5A">
        <w:t>declines in EU11.</w:t>
      </w:r>
      <w:r>
        <w:rPr>
          <w:b/>
        </w:rPr>
        <w:t xml:space="preserve"> </w:t>
      </w:r>
    </w:p>
    <w:p w:rsidR="0060585A" w:rsidRDefault="0060585A" w:rsidP="00E41045">
      <w:pPr>
        <w:spacing w:line="276" w:lineRule="auto"/>
        <w:rPr>
          <w:b/>
        </w:rPr>
      </w:pPr>
    </w:p>
    <w:tbl>
      <w:tblPr>
        <w:tblpPr w:leftFromText="180" w:rightFromText="180" w:vertAnchor="text" w:horzAnchor="margin" w:tblpY="72"/>
        <w:tblW w:w="9828" w:type="dxa"/>
        <w:tblLayout w:type="fixed"/>
        <w:tblLook w:val="00A0"/>
      </w:tblPr>
      <w:tblGrid>
        <w:gridCol w:w="4908"/>
        <w:gridCol w:w="4920"/>
      </w:tblGrid>
      <w:tr w:rsidR="0060585A" w:rsidRPr="00321D31" w:rsidTr="00390DCF">
        <w:tc>
          <w:tcPr>
            <w:tcW w:w="4908" w:type="dxa"/>
          </w:tcPr>
          <w:p w:rsidR="0060585A" w:rsidRPr="00321D31" w:rsidRDefault="0060585A" w:rsidP="004D31F4">
            <w:pPr>
              <w:pStyle w:val="Caption"/>
              <w:keepNext/>
              <w:keepLines/>
              <w:spacing w:before="60" w:after="60" w:line="276" w:lineRule="auto"/>
              <w:jc w:val="left"/>
              <w:rPr>
                <w:sz w:val="22"/>
                <w:szCs w:val="22"/>
              </w:rPr>
            </w:pPr>
            <w:bookmarkStart w:id="29" w:name="_Ref324509228"/>
            <w:r w:rsidRPr="00321D31">
              <w:rPr>
                <w:sz w:val="22"/>
                <w:szCs w:val="22"/>
              </w:rPr>
              <w:t xml:space="preserve">Figure </w:t>
            </w:r>
            <w:r w:rsidR="00185C05" w:rsidRPr="00321D31">
              <w:rPr>
                <w:sz w:val="22"/>
                <w:szCs w:val="22"/>
              </w:rPr>
              <w:fldChar w:fldCharType="begin"/>
            </w:r>
            <w:r w:rsidRPr="00321D31">
              <w:rPr>
                <w:sz w:val="22"/>
                <w:szCs w:val="22"/>
              </w:rPr>
              <w:instrText xml:space="preserve"> SEQ Figure \* ARABIC </w:instrText>
            </w:r>
            <w:r w:rsidR="00185C05" w:rsidRPr="00321D31">
              <w:rPr>
                <w:sz w:val="22"/>
                <w:szCs w:val="22"/>
              </w:rPr>
              <w:fldChar w:fldCharType="separate"/>
            </w:r>
            <w:r w:rsidRPr="00321D31">
              <w:rPr>
                <w:noProof/>
                <w:sz w:val="22"/>
                <w:szCs w:val="22"/>
              </w:rPr>
              <w:t>26</w:t>
            </w:r>
            <w:r w:rsidR="00185C05" w:rsidRPr="00321D31">
              <w:rPr>
                <w:sz w:val="22"/>
                <w:szCs w:val="22"/>
              </w:rPr>
              <w:fldChar w:fldCharType="end"/>
            </w:r>
            <w:bookmarkEnd w:id="29"/>
            <w:r w:rsidRPr="00321D31">
              <w:rPr>
                <w:sz w:val="22"/>
                <w:szCs w:val="22"/>
              </w:rPr>
              <w:t>. Harmonized Consumer Price Index (HICP), Overall and Core, EU15 and EU11</w:t>
            </w:r>
          </w:p>
        </w:tc>
        <w:tc>
          <w:tcPr>
            <w:tcW w:w="4920" w:type="dxa"/>
          </w:tcPr>
          <w:p w:rsidR="0060585A" w:rsidRPr="00321D31" w:rsidRDefault="0060585A" w:rsidP="004D31F4">
            <w:pPr>
              <w:pStyle w:val="Caption"/>
              <w:keepNext/>
              <w:keepLines/>
              <w:spacing w:before="60" w:after="60" w:line="276" w:lineRule="auto"/>
              <w:jc w:val="left"/>
              <w:rPr>
                <w:sz w:val="22"/>
                <w:szCs w:val="22"/>
              </w:rPr>
            </w:pPr>
            <w:bookmarkStart w:id="30" w:name="_Ref324509261"/>
            <w:r w:rsidRPr="00321D31">
              <w:rPr>
                <w:sz w:val="22"/>
                <w:szCs w:val="22"/>
              </w:rPr>
              <w:t xml:space="preserve">Figure </w:t>
            </w:r>
            <w:r w:rsidR="00185C05" w:rsidRPr="00321D31">
              <w:rPr>
                <w:sz w:val="22"/>
                <w:szCs w:val="22"/>
              </w:rPr>
              <w:fldChar w:fldCharType="begin"/>
            </w:r>
            <w:r w:rsidRPr="00321D31">
              <w:rPr>
                <w:sz w:val="22"/>
                <w:szCs w:val="22"/>
              </w:rPr>
              <w:instrText xml:space="preserve"> SEQ Figure \* ARABIC </w:instrText>
            </w:r>
            <w:r w:rsidR="00185C05" w:rsidRPr="00321D31">
              <w:rPr>
                <w:sz w:val="22"/>
                <w:szCs w:val="22"/>
              </w:rPr>
              <w:fldChar w:fldCharType="separate"/>
            </w:r>
            <w:r w:rsidRPr="00321D31">
              <w:rPr>
                <w:noProof/>
                <w:sz w:val="22"/>
                <w:szCs w:val="22"/>
              </w:rPr>
              <w:t>27</w:t>
            </w:r>
            <w:bookmarkEnd w:id="30"/>
            <w:r w:rsidR="00185C05" w:rsidRPr="00321D31">
              <w:rPr>
                <w:sz w:val="22"/>
                <w:szCs w:val="22"/>
              </w:rPr>
              <w:fldChar w:fldCharType="end"/>
            </w:r>
            <w:r w:rsidRPr="00321D31">
              <w:rPr>
                <w:sz w:val="22"/>
                <w:szCs w:val="22"/>
              </w:rPr>
              <w:t xml:space="preserve">. Energy and Food HICP, EU15 </w:t>
            </w:r>
            <w:r>
              <w:rPr>
                <w:sz w:val="22"/>
                <w:szCs w:val="22"/>
              </w:rPr>
              <w:br/>
            </w:r>
            <w:r w:rsidRPr="00321D31">
              <w:rPr>
                <w:sz w:val="22"/>
                <w:szCs w:val="22"/>
              </w:rPr>
              <w:t>and EU11</w:t>
            </w:r>
          </w:p>
        </w:tc>
      </w:tr>
      <w:tr w:rsidR="0060585A" w:rsidRPr="00321D31" w:rsidTr="00390DCF">
        <w:trPr>
          <w:trHeight w:val="2988"/>
        </w:trPr>
        <w:tc>
          <w:tcPr>
            <w:tcW w:w="4908" w:type="dxa"/>
          </w:tcPr>
          <w:p w:rsidR="0060585A" w:rsidRPr="00321D31" w:rsidRDefault="00A1042F" w:rsidP="00321D31">
            <w:pPr>
              <w:keepNext/>
              <w:keepLines/>
              <w:spacing w:line="276" w:lineRule="auto"/>
              <w:rPr>
                <w:b/>
                <w:i/>
                <w:szCs w:val="20"/>
              </w:rPr>
            </w:pPr>
            <w:r>
              <w:rPr>
                <w:b/>
                <w:i/>
                <w:noProof/>
                <w:szCs w:val="20"/>
              </w:rPr>
              <w:drawing>
                <wp:inline distT="0" distB="0" distL="0" distR="0">
                  <wp:extent cx="2895600" cy="173355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srcRect/>
                          <a:stretch>
                            <a:fillRect/>
                          </a:stretch>
                        </pic:blipFill>
                        <pic:spPr bwMode="auto">
                          <a:xfrm>
                            <a:off x="0" y="0"/>
                            <a:ext cx="2895600" cy="1733550"/>
                          </a:xfrm>
                          <a:prstGeom prst="rect">
                            <a:avLst/>
                          </a:prstGeom>
                          <a:noFill/>
                          <a:ln w="9525">
                            <a:noFill/>
                            <a:miter lim="800000"/>
                            <a:headEnd/>
                            <a:tailEnd/>
                          </a:ln>
                        </pic:spPr>
                      </pic:pic>
                    </a:graphicData>
                  </a:graphic>
                </wp:inline>
              </w:drawing>
            </w:r>
          </w:p>
        </w:tc>
        <w:tc>
          <w:tcPr>
            <w:tcW w:w="4920" w:type="dxa"/>
          </w:tcPr>
          <w:p w:rsidR="0060585A" w:rsidRPr="00321D31" w:rsidRDefault="00A1042F" w:rsidP="00321D31">
            <w:pPr>
              <w:keepNext/>
              <w:keepLines/>
              <w:spacing w:line="276" w:lineRule="auto"/>
              <w:rPr>
                <w:b/>
                <w:i/>
                <w:szCs w:val="20"/>
              </w:rPr>
            </w:pPr>
            <w:r>
              <w:rPr>
                <w:b/>
                <w:i/>
                <w:noProof/>
                <w:szCs w:val="20"/>
              </w:rPr>
              <w:drawing>
                <wp:inline distT="0" distB="0" distL="0" distR="0">
                  <wp:extent cx="2895600" cy="1733550"/>
                  <wp:effectExtent l="19050" t="0" r="0" b="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srcRect/>
                          <a:stretch>
                            <a:fillRect/>
                          </a:stretch>
                        </pic:blipFill>
                        <pic:spPr bwMode="auto">
                          <a:xfrm>
                            <a:off x="0" y="0"/>
                            <a:ext cx="2895600" cy="1733550"/>
                          </a:xfrm>
                          <a:prstGeom prst="rect">
                            <a:avLst/>
                          </a:prstGeom>
                          <a:noFill/>
                          <a:ln w="9525">
                            <a:noFill/>
                            <a:miter lim="800000"/>
                            <a:headEnd/>
                            <a:tailEnd/>
                          </a:ln>
                        </pic:spPr>
                      </pic:pic>
                    </a:graphicData>
                  </a:graphic>
                </wp:inline>
              </w:drawing>
            </w:r>
          </w:p>
        </w:tc>
      </w:tr>
      <w:tr w:rsidR="0060585A" w:rsidRPr="00321D31" w:rsidTr="00390DCF">
        <w:tc>
          <w:tcPr>
            <w:tcW w:w="4908" w:type="dxa"/>
          </w:tcPr>
          <w:p w:rsidR="0060585A" w:rsidRPr="00321D31" w:rsidRDefault="0060585A" w:rsidP="00321D31">
            <w:pPr>
              <w:keepNext/>
              <w:keepLines/>
              <w:spacing w:before="60" w:after="40" w:line="276" w:lineRule="auto"/>
              <w:rPr>
                <w:i/>
                <w:sz w:val="18"/>
                <w:szCs w:val="18"/>
              </w:rPr>
            </w:pPr>
            <w:r w:rsidRPr="00321D31">
              <w:rPr>
                <w:i/>
                <w:sz w:val="18"/>
                <w:szCs w:val="18"/>
              </w:rPr>
              <w:t xml:space="preserve">Source: </w:t>
            </w:r>
            <w:r w:rsidRPr="00321D31">
              <w:rPr>
                <w:sz w:val="18"/>
                <w:szCs w:val="18"/>
              </w:rPr>
              <w:t>Eurostat, World Bank staff calculations.</w:t>
            </w:r>
          </w:p>
        </w:tc>
        <w:tc>
          <w:tcPr>
            <w:tcW w:w="4920" w:type="dxa"/>
          </w:tcPr>
          <w:p w:rsidR="0060585A" w:rsidRPr="00321D31" w:rsidRDefault="0060585A" w:rsidP="00321D31">
            <w:pPr>
              <w:keepNext/>
              <w:keepLines/>
              <w:spacing w:before="60" w:after="40" w:line="276" w:lineRule="auto"/>
              <w:rPr>
                <w:i/>
                <w:sz w:val="18"/>
                <w:szCs w:val="18"/>
              </w:rPr>
            </w:pPr>
            <w:r w:rsidRPr="00321D31">
              <w:rPr>
                <w:i/>
                <w:sz w:val="18"/>
                <w:szCs w:val="18"/>
              </w:rPr>
              <w:t xml:space="preserve">Source: </w:t>
            </w:r>
            <w:r w:rsidRPr="00321D31">
              <w:rPr>
                <w:sz w:val="18"/>
                <w:szCs w:val="18"/>
              </w:rPr>
              <w:t>Eurostat, World Bank staff calculations.</w:t>
            </w:r>
          </w:p>
        </w:tc>
      </w:tr>
    </w:tbl>
    <w:p w:rsidR="0060585A" w:rsidRDefault="0060585A" w:rsidP="00E41045">
      <w:pPr>
        <w:spacing w:line="276" w:lineRule="auto"/>
        <w:rPr>
          <w:b/>
        </w:rPr>
      </w:pPr>
    </w:p>
    <w:p w:rsidR="0060585A" w:rsidRDefault="0060585A" w:rsidP="00E41045">
      <w:pPr>
        <w:spacing w:line="276" w:lineRule="auto"/>
        <w:rPr>
          <w:szCs w:val="20"/>
        </w:rPr>
      </w:pPr>
      <w:r>
        <w:rPr>
          <w:b/>
          <w:szCs w:val="20"/>
        </w:rPr>
        <w:t>C</w:t>
      </w:r>
      <w:r w:rsidRPr="00AD1C11">
        <w:rPr>
          <w:b/>
          <w:szCs w:val="20"/>
        </w:rPr>
        <w:t xml:space="preserve">ore inflation in the EU11 countries accelerated markedly </w:t>
      </w:r>
      <w:r>
        <w:rPr>
          <w:b/>
          <w:szCs w:val="20"/>
        </w:rPr>
        <w:t xml:space="preserve">in 2011, </w:t>
      </w:r>
      <w:r w:rsidRPr="00AD1C11">
        <w:rPr>
          <w:b/>
          <w:szCs w:val="20"/>
        </w:rPr>
        <w:t xml:space="preserve">from slightly above 2 percent early </w:t>
      </w:r>
      <w:r>
        <w:rPr>
          <w:b/>
          <w:szCs w:val="20"/>
        </w:rPr>
        <w:t>in the year</w:t>
      </w:r>
      <w:r w:rsidRPr="00AD1C11">
        <w:rPr>
          <w:b/>
          <w:szCs w:val="20"/>
        </w:rPr>
        <w:t xml:space="preserve"> to 3.3 percent in December.</w:t>
      </w:r>
      <w:r>
        <w:rPr>
          <w:szCs w:val="20"/>
        </w:rPr>
        <w:t xml:space="preserve"> The i</w:t>
      </w:r>
      <w:r w:rsidRPr="009C00D4">
        <w:rPr>
          <w:szCs w:val="20"/>
        </w:rPr>
        <w:t xml:space="preserve">ncreases in core inflation were driven by </w:t>
      </w:r>
      <w:r>
        <w:rPr>
          <w:szCs w:val="20"/>
        </w:rPr>
        <w:t xml:space="preserve">one-off factors, such as </w:t>
      </w:r>
      <w:r w:rsidRPr="009C00D4">
        <w:rPr>
          <w:szCs w:val="20"/>
        </w:rPr>
        <w:t>increases in indirect taxes as governments pursued fiscal consolidation</w:t>
      </w:r>
      <w:r>
        <w:rPr>
          <w:szCs w:val="20"/>
        </w:rPr>
        <w:t>. Value-added tax</w:t>
      </w:r>
      <w:r w:rsidRPr="009C00D4">
        <w:rPr>
          <w:szCs w:val="20"/>
        </w:rPr>
        <w:t xml:space="preserve"> (</w:t>
      </w:r>
      <w:r w:rsidRPr="009E680D">
        <w:rPr>
          <w:szCs w:val="20"/>
        </w:rPr>
        <w:t>VAT</w:t>
      </w:r>
      <w:r>
        <w:rPr>
          <w:szCs w:val="20"/>
        </w:rPr>
        <w:t>)</w:t>
      </w:r>
      <w:r w:rsidRPr="009E680D">
        <w:rPr>
          <w:szCs w:val="20"/>
        </w:rPr>
        <w:t xml:space="preserve"> rates went up in </w:t>
      </w:r>
      <w:r>
        <w:rPr>
          <w:szCs w:val="20"/>
        </w:rPr>
        <w:t xml:space="preserve">Croatia, the </w:t>
      </w:r>
      <w:r w:rsidRPr="001A1055">
        <w:rPr>
          <w:szCs w:val="20"/>
        </w:rPr>
        <w:t>Czech Republic</w:t>
      </w:r>
      <w:r>
        <w:rPr>
          <w:szCs w:val="20"/>
        </w:rPr>
        <w:t xml:space="preserve">, </w:t>
      </w:r>
      <w:r w:rsidRPr="009E680D">
        <w:rPr>
          <w:szCs w:val="20"/>
        </w:rPr>
        <w:t xml:space="preserve">Hungary, </w:t>
      </w:r>
      <w:r>
        <w:rPr>
          <w:szCs w:val="20"/>
        </w:rPr>
        <w:t xml:space="preserve">Poland, Latvia, </w:t>
      </w:r>
      <w:r w:rsidRPr="009E680D">
        <w:rPr>
          <w:szCs w:val="20"/>
        </w:rPr>
        <w:t>and</w:t>
      </w:r>
      <w:r>
        <w:rPr>
          <w:szCs w:val="20"/>
        </w:rPr>
        <w:t xml:space="preserve"> Slovakia.</w:t>
      </w:r>
      <w:r>
        <w:rPr>
          <w:rStyle w:val="FootnoteReference"/>
          <w:szCs w:val="20"/>
        </w:rPr>
        <w:footnoteReference w:id="7"/>
      </w:r>
      <w:r w:rsidRPr="009C00D4">
        <w:rPr>
          <w:szCs w:val="20"/>
        </w:rPr>
        <w:t xml:space="preserve"> In Poland, import prices </w:t>
      </w:r>
      <w:r>
        <w:rPr>
          <w:szCs w:val="20"/>
        </w:rPr>
        <w:t xml:space="preserve">went up as the </w:t>
      </w:r>
      <w:r w:rsidRPr="009C00D4">
        <w:rPr>
          <w:szCs w:val="20"/>
        </w:rPr>
        <w:t>zloty depreciat</w:t>
      </w:r>
      <w:r>
        <w:rPr>
          <w:szCs w:val="20"/>
        </w:rPr>
        <w:t>ed</w:t>
      </w:r>
      <w:r w:rsidRPr="009C00D4">
        <w:rPr>
          <w:szCs w:val="20"/>
        </w:rPr>
        <w:t xml:space="preserve"> and increases in administered prices kept</w:t>
      </w:r>
      <w:r>
        <w:rPr>
          <w:szCs w:val="20"/>
        </w:rPr>
        <w:t xml:space="preserve"> core</w:t>
      </w:r>
      <w:r w:rsidRPr="009C00D4">
        <w:rPr>
          <w:szCs w:val="20"/>
        </w:rPr>
        <w:t xml:space="preserve"> inflation </w:t>
      </w:r>
      <w:r>
        <w:rPr>
          <w:szCs w:val="20"/>
        </w:rPr>
        <w:t>high</w:t>
      </w:r>
      <w:r w:rsidRPr="009C00D4">
        <w:rPr>
          <w:szCs w:val="20"/>
        </w:rPr>
        <w:t>.</w:t>
      </w:r>
      <w:r>
        <w:rPr>
          <w:szCs w:val="20"/>
        </w:rPr>
        <w:t xml:space="preserve"> In addition, robust domestic demand contributed to high core inflation in Poland.  In Hungary, </w:t>
      </w:r>
      <w:r w:rsidRPr="007C0D6A">
        <w:rPr>
          <w:szCs w:val="20"/>
        </w:rPr>
        <w:t>weakly anchored inflation expectations and</w:t>
      </w:r>
      <w:r>
        <w:rPr>
          <w:szCs w:val="20"/>
        </w:rPr>
        <w:t xml:space="preserve"> important </w:t>
      </w:r>
      <w:r w:rsidRPr="007C0D6A">
        <w:rPr>
          <w:szCs w:val="20"/>
        </w:rPr>
        <w:t>currency weakness</w:t>
      </w:r>
      <w:r>
        <w:rPr>
          <w:szCs w:val="20"/>
        </w:rPr>
        <w:t xml:space="preserve"> pushed up core inflation</w:t>
      </w:r>
      <w:r w:rsidRPr="007C0D6A">
        <w:rPr>
          <w:szCs w:val="20"/>
        </w:rPr>
        <w:t xml:space="preserve"> despite a large degree of slack in the economy</w:t>
      </w:r>
      <w:r>
        <w:rPr>
          <w:szCs w:val="20"/>
        </w:rPr>
        <w:t>.  Surging commodity prices globally were pushing up energy and administered prices. Across the region, declining food prices in the second half of 2011 helped to contain increases in inflation.</w:t>
      </w:r>
    </w:p>
    <w:p w:rsidR="0060585A" w:rsidRDefault="0060585A" w:rsidP="00E41045">
      <w:pPr>
        <w:spacing w:line="276" w:lineRule="auto"/>
        <w:rPr>
          <w:b/>
        </w:rPr>
      </w:pPr>
    </w:p>
    <w:tbl>
      <w:tblPr>
        <w:tblW w:w="6708" w:type="dxa"/>
        <w:tblLayout w:type="fixed"/>
        <w:tblLook w:val="00A0"/>
      </w:tblPr>
      <w:tblGrid>
        <w:gridCol w:w="6708"/>
      </w:tblGrid>
      <w:tr w:rsidR="0060585A" w:rsidRPr="00321D31" w:rsidTr="002A4C0C">
        <w:trPr>
          <w:trHeight w:val="384"/>
        </w:trPr>
        <w:tc>
          <w:tcPr>
            <w:tcW w:w="6708" w:type="dxa"/>
          </w:tcPr>
          <w:p w:rsidR="0060585A" w:rsidRPr="00321D31" w:rsidRDefault="0060585A" w:rsidP="004D31F4">
            <w:pPr>
              <w:pStyle w:val="Caption"/>
              <w:keepNext/>
              <w:keepLines/>
              <w:spacing w:before="60" w:after="60" w:line="276" w:lineRule="auto"/>
              <w:jc w:val="left"/>
              <w:rPr>
                <w:sz w:val="22"/>
                <w:szCs w:val="22"/>
              </w:rPr>
            </w:pPr>
            <w:r w:rsidRPr="00321D31">
              <w:rPr>
                <w:sz w:val="22"/>
                <w:szCs w:val="22"/>
              </w:rPr>
              <w:t xml:space="preserve">Figure </w:t>
            </w:r>
            <w:r w:rsidR="00185C05" w:rsidRPr="00321D31">
              <w:rPr>
                <w:sz w:val="22"/>
                <w:szCs w:val="22"/>
              </w:rPr>
              <w:fldChar w:fldCharType="begin"/>
            </w:r>
            <w:r w:rsidRPr="00321D31">
              <w:rPr>
                <w:sz w:val="22"/>
                <w:szCs w:val="22"/>
              </w:rPr>
              <w:instrText xml:space="preserve"> SEQ Figure \* ARABIC </w:instrText>
            </w:r>
            <w:r w:rsidR="00185C05" w:rsidRPr="00321D31">
              <w:rPr>
                <w:sz w:val="22"/>
                <w:szCs w:val="22"/>
              </w:rPr>
              <w:fldChar w:fldCharType="separate"/>
            </w:r>
            <w:r w:rsidRPr="00321D31">
              <w:rPr>
                <w:noProof/>
                <w:sz w:val="22"/>
                <w:szCs w:val="22"/>
              </w:rPr>
              <w:t>28</w:t>
            </w:r>
            <w:r w:rsidR="00185C05" w:rsidRPr="00321D31">
              <w:rPr>
                <w:sz w:val="22"/>
                <w:szCs w:val="22"/>
              </w:rPr>
              <w:fldChar w:fldCharType="end"/>
            </w:r>
            <w:r w:rsidRPr="00321D31">
              <w:rPr>
                <w:sz w:val="22"/>
                <w:szCs w:val="22"/>
              </w:rPr>
              <w:t xml:space="preserve">. HICP Inflation Rates in May 2012, EU11 </w:t>
            </w:r>
          </w:p>
        </w:tc>
      </w:tr>
      <w:tr w:rsidR="0060585A" w:rsidRPr="00321D31" w:rsidTr="002A4C0C">
        <w:trPr>
          <w:trHeight w:val="2794"/>
        </w:trPr>
        <w:tc>
          <w:tcPr>
            <w:tcW w:w="6708" w:type="dxa"/>
          </w:tcPr>
          <w:p w:rsidR="0060585A" w:rsidRPr="00321D31" w:rsidRDefault="00A1042F" w:rsidP="002A4C0C">
            <w:pPr>
              <w:keepNext/>
              <w:keepLines/>
              <w:autoSpaceDE w:val="0"/>
              <w:autoSpaceDN w:val="0"/>
              <w:adjustRightInd w:val="0"/>
              <w:spacing w:line="276" w:lineRule="auto"/>
              <w:jc w:val="left"/>
              <w:rPr>
                <w:rFonts w:ascii="Trebuchet MS" w:hAnsi="Trebuchet MS"/>
                <w:b/>
                <w:sz w:val="20"/>
                <w:szCs w:val="20"/>
              </w:rPr>
            </w:pPr>
            <w:r>
              <w:rPr>
                <w:rFonts w:ascii="Trebuchet MS" w:hAnsi="Trebuchet MS"/>
                <w:b/>
                <w:noProof/>
                <w:sz w:val="20"/>
                <w:szCs w:val="20"/>
              </w:rPr>
              <w:drawing>
                <wp:inline distT="0" distB="0" distL="0" distR="0">
                  <wp:extent cx="3086100" cy="1790700"/>
                  <wp:effectExtent l="19050" t="0" r="0"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srcRect/>
                          <a:stretch>
                            <a:fillRect/>
                          </a:stretch>
                        </pic:blipFill>
                        <pic:spPr bwMode="auto">
                          <a:xfrm>
                            <a:off x="0" y="0"/>
                            <a:ext cx="3086100" cy="1790700"/>
                          </a:xfrm>
                          <a:prstGeom prst="rect">
                            <a:avLst/>
                          </a:prstGeom>
                          <a:noFill/>
                          <a:ln w="9525">
                            <a:noFill/>
                            <a:miter lim="800000"/>
                            <a:headEnd/>
                            <a:tailEnd/>
                          </a:ln>
                        </pic:spPr>
                      </pic:pic>
                    </a:graphicData>
                  </a:graphic>
                </wp:inline>
              </w:drawing>
            </w:r>
          </w:p>
        </w:tc>
      </w:tr>
      <w:tr w:rsidR="0060585A" w:rsidRPr="00321D31" w:rsidTr="002A4C0C">
        <w:trPr>
          <w:trHeight w:val="324"/>
        </w:trPr>
        <w:tc>
          <w:tcPr>
            <w:tcW w:w="6708" w:type="dxa"/>
          </w:tcPr>
          <w:p w:rsidR="0060585A" w:rsidRPr="00321D31" w:rsidRDefault="0060585A" w:rsidP="002A4C0C">
            <w:pPr>
              <w:keepNext/>
              <w:spacing w:before="60" w:after="40" w:line="276" w:lineRule="auto"/>
              <w:jc w:val="left"/>
              <w:rPr>
                <w:i/>
                <w:sz w:val="18"/>
                <w:szCs w:val="18"/>
              </w:rPr>
            </w:pPr>
            <w:r w:rsidRPr="00321D31">
              <w:rPr>
                <w:i/>
                <w:sz w:val="18"/>
                <w:szCs w:val="18"/>
              </w:rPr>
              <w:t xml:space="preserve">Source: </w:t>
            </w:r>
            <w:r w:rsidRPr="00321D31">
              <w:rPr>
                <w:sz w:val="18"/>
                <w:szCs w:val="18"/>
              </w:rPr>
              <w:t>Eurostat, World Bank staff calculations.</w:t>
            </w:r>
          </w:p>
        </w:tc>
      </w:tr>
    </w:tbl>
    <w:p w:rsidR="0060585A" w:rsidRDefault="0060585A" w:rsidP="00E41045">
      <w:pPr>
        <w:spacing w:before="120" w:line="276" w:lineRule="auto"/>
        <w:rPr>
          <w:b/>
        </w:rPr>
      </w:pPr>
    </w:p>
    <w:p w:rsidR="0060585A" w:rsidRDefault="0060585A" w:rsidP="00E41045">
      <w:pPr>
        <w:spacing w:before="120" w:line="276" w:lineRule="auto"/>
      </w:pPr>
      <w:r w:rsidRPr="004A2D0D">
        <w:rPr>
          <w:b/>
        </w:rPr>
        <w:t xml:space="preserve">Volatility in the Euro area in late 2011 and early 2012 was passed through into exchange rate fluctuations in the EU11. </w:t>
      </w:r>
      <w:r w:rsidRPr="004A2D0D">
        <w:t xml:space="preserve">The </w:t>
      </w:r>
      <w:r>
        <w:t>e</w:t>
      </w:r>
      <w:r w:rsidRPr="004A2D0D">
        <w:t xml:space="preserve">uro </w:t>
      </w:r>
      <w:r>
        <w:t xml:space="preserve">yo-yoed against </w:t>
      </w:r>
      <w:r w:rsidRPr="004A2D0D">
        <w:t xml:space="preserve">the currencies of </w:t>
      </w:r>
      <w:r>
        <w:t xml:space="preserve">the EU’s </w:t>
      </w:r>
      <w:r w:rsidRPr="004A2D0D">
        <w:t xml:space="preserve">20 most important trading partners as market sentiments </w:t>
      </w:r>
      <w:r>
        <w:t xml:space="preserve">about </w:t>
      </w:r>
      <w:r w:rsidRPr="004A2D0D">
        <w:t xml:space="preserve">the fiscal and economic prospects of some </w:t>
      </w:r>
      <w:r>
        <w:t>e</w:t>
      </w:r>
      <w:r w:rsidRPr="004A2D0D">
        <w:t>uro</w:t>
      </w:r>
      <w:r>
        <w:t>-</w:t>
      </w:r>
      <w:r w:rsidRPr="004A2D0D">
        <w:t xml:space="preserve">area countries kept changing. The unprecedented </w:t>
      </w:r>
      <w:r>
        <w:t xml:space="preserve">ECB </w:t>
      </w:r>
      <w:r w:rsidRPr="004A2D0D">
        <w:t xml:space="preserve">policy interventions in late 2011 </w:t>
      </w:r>
      <w:r>
        <w:t xml:space="preserve">and early 2012 </w:t>
      </w:r>
      <w:r w:rsidRPr="004A2D0D">
        <w:t>calmed markets and translated into real exchange rate appreciation in most EU11</w:t>
      </w:r>
      <w:r>
        <w:t xml:space="preserve"> countries</w:t>
      </w:r>
      <w:r w:rsidRPr="004A2D0D">
        <w:t xml:space="preserve">. </w:t>
      </w:r>
      <w:r>
        <w:t xml:space="preserve">When </w:t>
      </w:r>
      <w:r w:rsidRPr="004A2D0D">
        <w:t xml:space="preserve">uncertainty </w:t>
      </w:r>
      <w:r>
        <w:t xml:space="preserve">about the euro area was renewed </w:t>
      </w:r>
      <w:r w:rsidRPr="004A2D0D">
        <w:t xml:space="preserve">in the </w:t>
      </w:r>
      <w:r>
        <w:t xml:space="preserve">spring </w:t>
      </w:r>
      <w:r w:rsidRPr="004A2D0D">
        <w:t xml:space="preserve">of 2012, however, EU11 exchange rates </w:t>
      </w:r>
      <w:r>
        <w:t xml:space="preserve">again </w:t>
      </w:r>
      <w:r w:rsidRPr="004A2D0D">
        <w:t>began depreciating.</w:t>
      </w:r>
      <w:r>
        <w:t xml:space="preserve"> </w:t>
      </w:r>
    </w:p>
    <w:p w:rsidR="0060585A" w:rsidRDefault="0060585A" w:rsidP="00E41045">
      <w:pPr>
        <w:spacing w:before="120" w:line="276" w:lineRule="auto"/>
      </w:pPr>
    </w:p>
    <w:tbl>
      <w:tblPr>
        <w:tblW w:w="9744" w:type="dxa"/>
        <w:tblInd w:w="-12" w:type="dxa"/>
        <w:tblLook w:val="00A0"/>
      </w:tblPr>
      <w:tblGrid>
        <w:gridCol w:w="4938"/>
        <w:gridCol w:w="4806"/>
      </w:tblGrid>
      <w:tr w:rsidR="0060585A" w:rsidRPr="00321D31" w:rsidTr="00390DCF">
        <w:tc>
          <w:tcPr>
            <w:tcW w:w="4970" w:type="dxa"/>
          </w:tcPr>
          <w:p w:rsidR="0060585A" w:rsidRPr="00321D31" w:rsidRDefault="0060585A" w:rsidP="004D31F4">
            <w:pPr>
              <w:pStyle w:val="Caption"/>
              <w:keepNext/>
              <w:spacing w:after="0" w:line="276" w:lineRule="auto"/>
              <w:jc w:val="left"/>
              <w:rPr>
                <w:sz w:val="22"/>
                <w:szCs w:val="22"/>
              </w:rPr>
            </w:pPr>
            <w:r w:rsidRPr="00321D31">
              <w:rPr>
                <w:sz w:val="22"/>
                <w:szCs w:val="22"/>
              </w:rPr>
              <w:t xml:space="preserve">Figure </w:t>
            </w:r>
            <w:r w:rsidR="00185C05" w:rsidRPr="00321D31">
              <w:rPr>
                <w:sz w:val="22"/>
                <w:szCs w:val="22"/>
              </w:rPr>
              <w:fldChar w:fldCharType="begin"/>
            </w:r>
            <w:r w:rsidRPr="00321D31">
              <w:rPr>
                <w:sz w:val="22"/>
                <w:szCs w:val="22"/>
              </w:rPr>
              <w:instrText xml:space="preserve"> SEQ Figure \* ARABIC </w:instrText>
            </w:r>
            <w:r w:rsidR="00185C05" w:rsidRPr="00321D31">
              <w:rPr>
                <w:sz w:val="22"/>
                <w:szCs w:val="22"/>
              </w:rPr>
              <w:fldChar w:fldCharType="separate"/>
            </w:r>
            <w:r w:rsidRPr="00321D31">
              <w:rPr>
                <w:noProof/>
                <w:sz w:val="22"/>
                <w:szCs w:val="22"/>
              </w:rPr>
              <w:t>29</w:t>
            </w:r>
            <w:r w:rsidR="00185C05" w:rsidRPr="00321D31">
              <w:rPr>
                <w:sz w:val="22"/>
                <w:szCs w:val="22"/>
              </w:rPr>
              <w:fldChar w:fldCharType="end"/>
            </w:r>
            <w:r w:rsidRPr="00321D31">
              <w:rPr>
                <w:sz w:val="22"/>
                <w:szCs w:val="22"/>
              </w:rPr>
              <w:t>. Exchange Rate, EUR vs. USD</w:t>
            </w:r>
          </w:p>
          <w:p w:rsidR="0060585A" w:rsidRPr="00321D31" w:rsidRDefault="0060585A" w:rsidP="004D31F4">
            <w:pPr>
              <w:pStyle w:val="Caption"/>
              <w:keepNext/>
              <w:spacing w:after="0" w:line="276" w:lineRule="auto"/>
              <w:jc w:val="left"/>
              <w:rPr>
                <w:sz w:val="22"/>
                <w:szCs w:val="22"/>
              </w:rPr>
            </w:pPr>
            <w:r w:rsidRPr="00321D31">
              <w:rPr>
                <w:sz w:val="22"/>
                <w:szCs w:val="22"/>
              </w:rPr>
              <w:t>(Index: August 2008=100)</w:t>
            </w:r>
          </w:p>
        </w:tc>
        <w:tc>
          <w:tcPr>
            <w:tcW w:w="4774" w:type="dxa"/>
          </w:tcPr>
          <w:p w:rsidR="0060585A" w:rsidRPr="00321D31" w:rsidRDefault="0060585A" w:rsidP="004D31F4">
            <w:pPr>
              <w:pStyle w:val="Caption"/>
              <w:keepNext/>
              <w:spacing w:after="0" w:line="276" w:lineRule="auto"/>
              <w:jc w:val="left"/>
              <w:rPr>
                <w:sz w:val="22"/>
                <w:szCs w:val="22"/>
                <w:lang w:val="fr-FR"/>
              </w:rPr>
            </w:pPr>
            <w:r w:rsidRPr="00321D31">
              <w:rPr>
                <w:sz w:val="22"/>
                <w:szCs w:val="22"/>
                <w:lang w:val="fr-FR"/>
              </w:rPr>
              <w:t xml:space="preserve">Figure </w:t>
            </w:r>
            <w:r w:rsidR="00185C05" w:rsidRPr="00321D31">
              <w:rPr>
                <w:sz w:val="22"/>
                <w:szCs w:val="22"/>
                <w:lang w:val="fr-FR"/>
              </w:rPr>
              <w:fldChar w:fldCharType="begin"/>
            </w:r>
            <w:r w:rsidRPr="00321D31">
              <w:rPr>
                <w:sz w:val="22"/>
                <w:szCs w:val="22"/>
                <w:lang w:val="fr-FR"/>
              </w:rPr>
              <w:instrText xml:space="preserve"> SEQ Figure \* ARABIC </w:instrText>
            </w:r>
            <w:r w:rsidR="00185C05" w:rsidRPr="00321D31">
              <w:rPr>
                <w:sz w:val="22"/>
                <w:szCs w:val="22"/>
                <w:lang w:val="fr-FR"/>
              </w:rPr>
              <w:fldChar w:fldCharType="separate"/>
            </w:r>
            <w:r w:rsidRPr="00321D31">
              <w:rPr>
                <w:noProof/>
                <w:sz w:val="22"/>
                <w:szCs w:val="22"/>
                <w:lang w:val="fr-FR"/>
              </w:rPr>
              <w:t>30</w:t>
            </w:r>
            <w:r w:rsidR="00185C05" w:rsidRPr="00321D31">
              <w:rPr>
                <w:sz w:val="22"/>
                <w:szCs w:val="22"/>
                <w:lang w:val="fr-FR"/>
              </w:rPr>
              <w:fldChar w:fldCharType="end"/>
            </w:r>
            <w:r w:rsidRPr="00321D31">
              <w:rPr>
                <w:sz w:val="22"/>
                <w:szCs w:val="22"/>
                <w:lang w:val="fr-FR"/>
              </w:rPr>
              <w:t>. Exchange Rates vs. EUR</w:t>
            </w:r>
          </w:p>
          <w:p w:rsidR="0060585A" w:rsidRPr="00321D31" w:rsidRDefault="0060585A" w:rsidP="004D31F4">
            <w:pPr>
              <w:pStyle w:val="Caption"/>
              <w:keepNext/>
              <w:spacing w:after="0" w:line="276" w:lineRule="auto"/>
              <w:jc w:val="left"/>
              <w:rPr>
                <w:sz w:val="22"/>
                <w:szCs w:val="22"/>
              </w:rPr>
            </w:pPr>
            <w:r w:rsidRPr="00321D31">
              <w:rPr>
                <w:sz w:val="22"/>
                <w:szCs w:val="22"/>
              </w:rPr>
              <w:t>(Index: August 2008=100)</w:t>
            </w:r>
          </w:p>
        </w:tc>
      </w:tr>
      <w:tr w:rsidR="0060585A" w:rsidRPr="00321D31" w:rsidTr="00390DCF">
        <w:tc>
          <w:tcPr>
            <w:tcW w:w="4970" w:type="dxa"/>
          </w:tcPr>
          <w:p w:rsidR="0060585A" w:rsidRPr="00321D31" w:rsidRDefault="00A1042F" w:rsidP="00321D31">
            <w:pPr>
              <w:spacing w:line="276" w:lineRule="auto"/>
              <w:rPr>
                <w:b/>
              </w:rPr>
            </w:pPr>
            <w:r>
              <w:rPr>
                <w:b/>
                <w:noProof/>
              </w:rPr>
              <w:drawing>
                <wp:inline distT="0" distB="0" distL="0" distR="0">
                  <wp:extent cx="2838450" cy="161925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srcRect/>
                          <a:stretch>
                            <a:fillRect/>
                          </a:stretch>
                        </pic:blipFill>
                        <pic:spPr bwMode="auto">
                          <a:xfrm>
                            <a:off x="0" y="0"/>
                            <a:ext cx="2838450" cy="1619250"/>
                          </a:xfrm>
                          <a:prstGeom prst="rect">
                            <a:avLst/>
                          </a:prstGeom>
                          <a:noFill/>
                          <a:ln w="9525">
                            <a:noFill/>
                            <a:miter lim="800000"/>
                            <a:headEnd/>
                            <a:tailEnd/>
                          </a:ln>
                        </pic:spPr>
                      </pic:pic>
                    </a:graphicData>
                  </a:graphic>
                </wp:inline>
              </w:drawing>
            </w:r>
          </w:p>
        </w:tc>
        <w:tc>
          <w:tcPr>
            <w:tcW w:w="4774" w:type="dxa"/>
          </w:tcPr>
          <w:p w:rsidR="0060585A" w:rsidRPr="00321D31" w:rsidRDefault="00A1042F" w:rsidP="00321D31">
            <w:pPr>
              <w:spacing w:line="276" w:lineRule="auto"/>
              <w:rPr>
                <w:b/>
              </w:rPr>
            </w:pPr>
            <w:r>
              <w:rPr>
                <w:b/>
                <w:noProof/>
              </w:rPr>
              <w:drawing>
                <wp:inline distT="0" distB="0" distL="0" distR="0">
                  <wp:extent cx="2895600" cy="17145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srcRect/>
                          <a:stretch>
                            <a:fillRect/>
                          </a:stretch>
                        </pic:blipFill>
                        <pic:spPr bwMode="auto">
                          <a:xfrm>
                            <a:off x="0" y="0"/>
                            <a:ext cx="2895600" cy="1714500"/>
                          </a:xfrm>
                          <a:prstGeom prst="rect">
                            <a:avLst/>
                          </a:prstGeom>
                          <a:noFill/>
                          <a:ln w="9525">
                            <a:noFill/>
                            <a:miter lim="800000"/>
                            <a:headEnd/>
                            <a:tailEnd/>
                          </a:ln>
                        </pic:spPr>
                      </pic:pic>
                    </a:graphicData>
                  </a:graphic>
                </wp:inline>
              </w:drawing>
            </w:r>
          </w:p>
        </w:tc>
      </w:tr>
      <w:tr w:rsidR="0060585A" w:rsidRPr="00321D31" w:rsidTr="00390DCF">
        <w:tc>
          <w:tcPr>
            <w:tcW w:w="9744" w:type="dxa"/>
            <w:gridSpan w:val="2"/>
          </w:tcPr>
          <w:p w:rsidR="0060585A" w:rsidRPr="00321D31" w:rsidRDefault="0060585A" w:rsidP="00321D31">
            <w:pPr>
              <w:keepNext/>
              <w:spacing w:before="60" w:after="40" w:line="276" w:lineRule="auto"/>
              <w:rPr>
                <w:i/>
                <w:sz w:val="18"/>
                <w:szCs w:val="18"/>
              </w:rPr>
            </w:pPr>
            <w:r w:rsidRPr="00321D31">
              <w:rPr>
                <w:i/>
                <w:sz w:val="18"/>
                <w:szCs w:val="18"/>
              </w:rPr>
              <w:t xml:space="preserve">Source: </w:t>
            </w:r>
            <w:r w:rsidRPr="00321D31">
              <w:rPr>
                <w:sz w:val="18"/>
                <w:szCs w:val="18"/>
              </w:rPr>
              <w:t>Reuters, World Bank staff calculations.</w:t>
            </w:r>
          </w:p>
          <w:p w:rsidR="0060585A" w:rsidRPr="00321D31" w:rsidRDefault="0060585A" w:rsidP="00321D31">
            <w:pPr>
              <w:keepNext/>
              <w:spacing w:before="60" w:after="40" w:line="276" w:lineRule="auto"/>
              <w:rPr>
                <w:i/>
                <w:sz w:val="18"/>
                <w:szCs w:val="18"/>
              </w:rPr>
            </w:pPr>
            <w:r w:rsidRPr="00321D31">
              <w:rPr>
                <w:i/>
                <w:sz w:val="18"/>
                <w:szCs w:val="18"/>
              </w:rPr>
              <w:t xml:space="preserve">Notes: </w:t>
            </w:r>
            <w:r w:rsidRPr="00321D31">
              <w:rPr>
                <w:sz w:val="18"/>
                <w:szCs w:val="18"/>
              </w:rPr>
              <w:t>Movement upward denotes depreciation</w:t>
            </w:r>
            <w:r w:rsidRPr="00321D31">
              <w:rPr>
                <w:i/>
                <w:sz w:val="18"/>
                <w:szCs w:val="18"/>
              </w:rPr>
              <w:t>.</w:t>
            </w:r>
          </w:p>
        </w:tc>
      </w:tr>
    </w:tbl>
    <w:p w:rsidR="0060585A" w:rsidRDefault="0060585A" w:rsidP="00BD02E7">
      <w:pPr>
        <w:spacing w:line="276" w:lineRule="auto"/>
      </w:pPr>
    </w:p>
    <w:p w:rsidR="0060585A" w:rsidRDefault="0060585A" w:rsidP="00BD02E7">
      <w:pPr>
        <w:spacing w:line="276" w:lineRule="auto"/>
      </w:pPr>
      <w:r w:rsidRPr="001E5566">
        <w:rPr>
          <w:b/>
        </w:rPr>
        <w:t xml:space="preserve">Real effective exchange rates </w:t>
      </w:r>
      <w:r>
        <w:rPr>
          <w:b/>
        </w:rPr>
        <w:t xml:space="preserve">(REER) </w:t>
      </w:r>
      <w:r w:rsidRPr="001E5566">
        <w:rPr>
          <w:b/>
        </w:rPr>
        <w:t xml:space="preserve">for Poland, Hungary, and Romania </w:t>
      </w:r>
      <w:r>
        <w:rPr>
          <w:b/>
        </w:rPr>
        <w:t xml:space="preserve">are noticeably </w:t>
      </w:r>
      <w:r w:rsidRPr="001E5566">
        <w:rPr>
          <w:b/>
        </w:rPr>
        <w:t>below pre-crisis levels.</w:t>
      </w:r>
      <w:r>
        <w:t xml:space="preserve"> </w:t>
      </w:r>
      <w:r w:rsidRPr="004A2D0D">
        <w:t xml:space="preserve">In contrast, countries with pegged exchange rates are close to August 2008 </w:t>
      </w:r>
      <w:r>
        <w:t xml:space="preserve">levels </w:t>
      </w:r>
      <w:r w:rsidRPr="004A2D0D">
        <w:t>(</w:t>
      </w:r>
      <w:fldSimple w:instr=" REF _Ref324518196 \h  \* MERGEFORMAT ">
        <w:r w:rsidRPr="005D6031">
          <w:t>Figure 31</w:t>
        </w:r>
      </w:fldSimple>
      <w:r w:rsidRPr="004A2D0D">
        <w:t>).</w:t>
      </w:r>
      <w:r>
        <w:t xml:space="preserve"> REERs </w:t>
      </w:r>
      <w:r w:rsidRPr="004A2D0D">
        <w:t xml:space="preserve">for only three of the </w:t>
      </w:r>
      <w:r>
        <w:t xml:space="preserve">EU11 </w:t>
      </w:r>
      <w:r w:rsidRPr="004A2D0D">
        <w:t>countries</w:t>
      </w:r>
      <w:r>
        <w:t>—</w:t>
      </w:r>
      <w:r w:rsidRPr="004A2D0D">
        <w:lastRenderedPageBreak/>
        <w:t>Bulgaria, Lithuania</w:t>
      </w:r>
      <w:r>
        <w:t>,</w:t>
      </w:r>
      <w:r w:rsidRPr="004A2D0D">
        <w:t xml:space="preserve"> and Slovakia</w:t>
      </w:r>
      <w:r>
        <w:t>—</w:t>
      </w:r>
      <w:r w:rsidRPr="004A2D0D">
        <w:t xml:space="preserve">remain above pre-crisis levels. In </w:t>
      </w:r>
      <w:r>
        <w:t xml:space="preserve">the euro countries, </w:t>
      </w:r>
      <w:r w:rsidRPr="004A2D0D">
        <w:t>Slovakia, Estonia</w:t>
      </w:r>
      <w:r>
        <w:t>,</w:t>
      </w:r>
      <w:r w:rsidRPr="004A2D0D">
        <w:t xml:space="preserve"> and Slovenia, the REER appreciated by 0.4 to 0.8 percent in the last quarter, </w:t>
      </w:r>
      <w:r>
        <w:t xml:space="preserve">which is </w:t>
      </w:r>
      <w:r w:rsidRPr="004A2D0D">
        <w:t xml:space="preserve">less than </w:t>
      </w:r>
      <w:r>
        <w:t>for the e</w:t>
      </w:r>
      <w:r w:rsidRPr="004A2D0D">
        <w:t xml:space="preserve">uro area </w:t>
      </w:r>
      <w:r>
        <w:t xml:space="preserve">as a whole, </w:t>
      </w:r>
      <w:r w:rsidRPr="004A2D0D">
        <w:t>where the REER appreciated by 1.6</w:t>
      </w:r>
      <w:r>
        <w:t xml:space="preserve"> percent in the first few months of 2012. </w:t>
      </w:r>
    </w:p>
    <w:p w:rsidR="0060585A" w:rsidRPr="001E5566" w:rsidRDefault="0060585A" w:rsidP="00BD02E7">
      <w:pPr>
        <w:spacing w:line="276" w:lineRule="auto"/>
      </w:pPr>
    </w:p>
    <w:tbl>
      <w:tblPr>
        <w:tblW w:w="9840" w:type="dxa"/>
        <w:tblInd w:w="-12" w:type="dxa"/>
        <w:tblLook w:val="00A0"/>
      </w:tblPr>
      <w:tblGrid>
        <w:gridCol w:w="4806"/>
        <w:gridCol w:w="5034"/>
      </w:tblGrid>
      <w:tr w:rsidR="0060585A" w:rsidRPr="00321D31" w:rsidTr="00390DCF">
        <w:tc>
          <w:tcPr>
            <w:tcW w:w="9840" w:type="dxa"/>
            <w:gridSpan w:val="2"/>
          </w:tcPr>
          <w:p w:rsidR="0060585A" w:rsidRPr="00321D31" w:rsidRDefault="0060585A" w:rsidP="004D31F4">
            <w:pPr>
              <w:pStyle w:val="Caption"/>
              <w:keepNext/>
              <w:spacing w:before="60" w:after="60" w:line="276" w:lineRule="auto"/>
              <w:jc w:val="left"/>
              <w:rPr>
                <w:sz w:val="22"/>
                <w:szCs w:val="22"/>
              </w:rPr>
            </w:pPr>
            <w:bookmarkStart w:id="31" w:name="_Ref324518196"/>
            <w:r w:rsidRPr="00321D31">
              <w:rPr>
                <w:sz w:val="22"/>
                <w:szCs w:val="22"/>
              </w:rPr>
              <w:t xml:space="preserve">Figure </w:t>
            </w:r>
            <w:r w:rsidR="00185C05" w:rsidRPr="00321D31">
              <w:rPr>
                <w:sz w:val="22"/>
                <w:szCs w:val="22"/>
              </w:rPr>
              <w:fldChar w:fldCharType="begin"/>
            </w:r>
            <w:r w:rsidRPr="00321D31">
              <w:rPr>
                <w:sz w:val="22"/>
                <w:szCs w:val="22"/>
              </w:rPr>
              <w:instrText xml:space="preserve"> SEQ Figure \* ARABIC </w:instrText>
            </w:r>
            <w:r w:rsidR="00185C05" w:rsidRPr="00321D31">
              <w:rPr>
                <w:sz w:val="22"/>
                <w:szCs w:val="22"/>
              </w:rPr>
              <w:fldChar w:fldCharType="separate"/>
            </w:r>
            <w:r w:rsidRPr="00321D31">
              <w:rPr>
                <w:noProof/>
                <w:sz w:val="22"/>
                <w:szCs w:val="22"/>
              </w:rPr>
              <w:t>31</w:t>
            </w:r>
            <w:r w:rsidR="00185C05" w:rsidRPr="00321D31">
              <w:rPr>
                <w:sz w:val="22"/>
                <w:szCs w:val="22"/>
              </w:rPr>
              <w:fldChar w:fldCharType="end"/>
            </w:r>
            <w:bookmarkEnd w:id="31"/>
            <w:r w:rsidRPr="00321D31">
              <w:rPr>
                <w:sz w:val="22"/>
                <w:szCs w:val="22"/>
              </w:rPr>
              <w:t>. Real Effective Exchange Rates, CPI Deflated (Index: Aug 2008=100)</w:t>
            </w:r>
          </w:p>
        </w:tc>
      </w:tr>
      <w:tr w:rsidR="0060585A" w:rsidRPr="00321D31" w:rsidTr="00390DCF">
        <w:tc>
          <w:tcPr>
            <w:tcW w:w="4800" w:type="dxa"/>
          </w:tcPr>
          <w:p w:rsidR="0060585A" w:rsidRPr="00321D31" w:rsidRDefault="00A1042F" w:rsidP="00321D31">
            <w:pPr>
              <w:spacing w:before="120" w:line="276" w:lineRule="auto"/>
              <w:rPr>
                <w:b/>
              </w:rPr>
            </w:pPr>
            <w:r>
              <w:rPr>
                <w:b/>
                <w:noProof/>
              </w:rPr>
              <w:drawing>
                <wp:inline distT="0" distB="0" distL="0" distR="0">
                  <wp:extent cx="2895600" cy="171450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srcRect/>
                          <a:stretch>
                            <a:fillRect/>
                          </a:stretch>
                        </pic:blipFill>
                        <pic:spPr bwMode="auto">
                          <a:xfrm>
                            <a:off x="0" y="0"/>
                            <a:ext cx="2895600" cy="1714500"/>
                          </a:xfrm>
                          <a:prstGeom prst="rect">
                            <a:avLst/>
                          </a:prstGeom>
                          <a:noFill/>
                          <a:ln w="9525">
                            <a:noFill/>
                            <a:miter lim="800000"/>
                            <a:headEnd/>
                            <a:tailEnd/>
                          </a:ln>
                        </pic:spPr>
                      </pic:pic>
                    </a:graphicData>
                  </a:graphic>
                </wp:inline>
              </w:drawing>
            </w:r>
          </w:p>
        </w:tc>
        <w:tc>
          <w:tcPr>
            <w:tcW w:w="5040" w:type="dxa"/>
          </w:tcPr>
          <w:p w:rsidR="0060585A" w:rsidRPr="00321D31" w:rsidRDefault="00A1042F" w:rsidP="00321D31">
            <w:pPr>
              <w:spacing w:before="120" w:line="276" w:lineRule="auto"/>
              <w:rPr>
                <w:b/>
              </w:rPr>
            </w:pPr>
            <w:r>
              <w:rPr>
                <w:b/>
                <w:noProof/>
              </w:rPr>
              <w:drawing>
                <wp:inline distT="0" distB="0" distL="0" distR="0">
                  <wp:extent cx="2933700" cy="171450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srcRect/>
                          <a:stretch>
                            <a:fillRect/>
                          </a:stretch>
                        </pic:blipFill>
                        <pic:spPr bwMode="auto">
                          <a:xfrm>
                            <a:off x="0" y="0"/>
                            <a:ext cx="2933700" cy="1714500"/>
                          </a:xfrm>
                          <a:prstGeom prst="rect">
                            <a:avLst/>
                          </a:prstGeom>
                          <a:noFill/>
                          <a:ln w="9525">
                            <a:noFill/>
                            <a:miter lim="800000"/>
                            <a:headEnd/>
                            <a:tailEnd/>
                          </a:ln>
                        </pic:spPr>
                      </pic:pic>
                    </a:graphicData>
                  </a:graphic>
                </wp:inline>
              </w:drawing>
            </w:r>
          </w:p>
        </w:tc>
      </w:tr>
      <w:tr w:rsidR="0060585A" w:rsidRPr="00321D31" w:rsidTr="00390DCF">
        <w:tc>
          <w:tcPr>
            <w:tcW w:w="9840" w:type="dxa"/>
            <w:gridSpan w:val="2"/>
          </w:tcPr>
          <w:p w:rsidR="0060585A" w:rsidRPr="00321D31" w:rsidRDefault="0060585A" w:rsidP="00321D31">
            <w:pPr>
              <w:keepNext/>
              <w:spacing w:before="60" w:after="40" w:line="276" w:lineRule="auto"/>
              <w:rPr>
                <w:i/>
                <w:sz w:val="18"/>
                <w:szCs w:val="18"/>
              </w:rPr>
            </w:pPr>
            <w:r w:rsidRPr="00321D31">
              <w:rPr>
                <w:i/>
                <w:sz w:val="18"/>
                <w:szCs w:val="18"/>
              </w:rPr>
              <w:t xml:space="preserve">Source: </w:t>
            </w:r>
            <w:r w:rsidRPr="00321D31">
              <w:rPr>
                <w:sz w:val="18"/>
                <w:szCs w:val="18"/>
              </w:rPr>
              <w:t>BIS, World Bank staff calculations.</w:t>
            </w:r>
          </w:p>
        </w:tc>
      </w:tr>
    </w:tbl>
    <w:tbl>
      <w:tblPr>
        <w:tblpPr w:leftFromText="180" w:rightFromText="180" w:vertAnchor="text" w:horzAnchor="margin" w:tblpXSpec="right" w:tblpY="2458"/>
        <w:tblOverlap w:val="never"/>
        <w:tblW w:w="5141" w:type="dxa"/>
        <w:tblLook w:val="00A0"/>
      </w:tblPr>
      <w:tblGrid>
        <w:gridCol w:w="5166"/>
      </w:tblGrid>
      <w:tr w:rsidR="0060585A" w:rsidRPr="00321D31" w:rsidTr="00321D31">
        <w:tc>
          <w:tcPr>
            <w:tcW w:w="5141" w:type="dxa"/>
          </w:tcPr>
          <w:p w:rsidR="0060585A" w:rsidRPr="00321D31" w:rsidRDefault="0060585A" w:rsidP="004D31F4">
            <w:pPr>
              <w:pStyle w:val="Caption"/>
              <w:keepNext/>
              <w:spacing w:before="60" w:after="60" w:line="276" w:lineRule="auto"/>
              <w:jc w:val="left"/>
              <w:rPr>
                <w:sz w:val="22"/>
                <w:szCs w:val="22"/>
              </w:rPr>
            </w:pPr>
            <w:bookmarkStart w:id="32" w:name="_Ref327267470"/>
            <w:r w:rsidRPr="00321D31">
              <w:rPr>
                <w:sz w:val="22"/>
                <w:szCs w:val="22"/>
              </w:rPr>
              <w:t xml:space="preserve">Figure </w:t>
            </w:r>
            <w:r w:rsidR="00185C05" w:rsidRPr="00321D31">
              <w:rPr>
                <w:sz w:val="22"/>
                <w:szCs w:val="22"/>
              </w:rPr>
              <w:fldChar w:fldCharType="begin"/>
            </w:r>
            <w:r w:rsidRPr="00321D31">
              <w:rPr>
                <w:sz w:val="22"/>
                <w:szCs w:val="22"/>
              </w:rPr>
              <w:instrText xml:space="preserve"> SEQ Figure \* ARABIC </w:instrText>
            </w:r>
            <w:r w:rsidR="00185C05" w:rsidRPr="00321D31">
              <w:rPr>
                <w:sz w:val="22"/>
                <w:szCs w:val="22"/>
              </w:rPr>
              <w:fldChar w:fldCharType="separate"/>
            </w:r>
            <w:r w:rsidRPr="00321D31">
              <w:rPr>
                <w:noProof/>
                <w:sz w:val="22"/>
                <w:szCs w:val="22"/>
              </w:rPr>
              <w:t>32</w:t>
            </w:r>
            <w:r w:rsidR="00185C05" w:rsidRPr="00321D31">
              <w:rPr>
                <w:sz w:val="22"/>
                <w:szCs w:val="22"/>
              </w:rPr>
              <w:fldChar w:fldCharType="end"/>
            </w:r>
            <w:bookmarkEnd w:id="32"/>
            <w:r w:rsidRPr="00321D31">
              <w:rPr>
                <w:sz w:val="22"/>
                <w:szCs w:val="22"/>
              </w:rPr>
              <w:t>. Policy Interest Rates (Percent)</w:t>
            </w:r>
          </w:p>
        </w:tc>
      </w:tr>
      <w:tr w:rsidR="0060585A" w:rsidRPr="00321D31" w:rsidTr="00321D31">
        <w:tc>
          <w:tcPr>
            <w:tcW w:w="5141" w:type="dxa"/>
          </w:tcPr>
          <w:p w:rsidR="0060585A" w:rsidRPr="00321D31" w:rsidRDefault="00A1042F" w:rsidP="00321D31">
            <w:pPr>
              <w:spacing w:before="120" w:line="276" w:lineRule="auto"/>
              <w:rPr>
                <w:b/>
              </w:rPr>
            </w:pPr>
            <w:r>
              <w:rPr>
                <w:b/>
                <w:noProof/>
              </w:rPr>
              <w:drawing>
                <wp:inline distT="0" distB="0" distL="0" distR="0">
                  <wp:extent cx="3124200" cy="18288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srcRect/>
                          <a:stretch>
                            <a:fillRect/>
                          </a:stretch>
                        </pic:blipFill>
                        <pic:spPr bwMode="auto">
                          <a:xfrm>
                            <a:off x="0" y="0"/>
                            <a:ext cx="3124200" cy="1828800"/>
                          </a:xfrm>
                          <a:prstGeom prst="rect">
                            <a:avLst/>
                          </a:prstGeom>
                          <a:noFill/>
                          <a:ln w="9525">
                            <a:noFill/>
                            <a:miter lim="800000"/>
                            <a:headEnd/>
                            <a:tailEnd/>
                          </a:ln>
                        </pic:spPr>
                      </pic:pic>
                    </a:graphicData>
                  </a:graphic>
                </wp:inline>
              </w:drawing>
            </w:r>
          </w:p>
        </w:tc>
      </w:tr>
      <w:tr w:rsidR="0060585A" w:rsidRPr="00321D31" w:rsidTr="00321D31">
        <w:tc>
          <w:tcPr>
            <w:tcW w:w="5141" w:type="dxa"/>
          </w:tcPr>
          <w:p w:rsidR="0060585A" w:rsidRPr="00321D31" w:rsidRDefault="0060585A" w:rsidP="00321D31">
            <w:pPr>
              <w:keepNext/>
              <w:spacing w:before="60" w:after="40" w:line="276" w:lineRule="auto"/>
              <w:rPr>
                <w:i/>
                <w:sz w:val="18"/>
                <w:szCs w:val="18"/>
              </w:rPr>
            </w:pPr>
            <w:r w:rsidRPr="00321D31">
              <w:rPr>
                <w:i/>
                <w:sz w:val="18"/>
                <w:szCs w:val="18"/>
              </w:rPr>
              <w:t xml:space="preserve">Source: </w:t>
            </w:r>
            <w:r w:rsidRPr="00321D31">
              <w:rPr>
                <w:sz w:val="18"/>
                <w:szCs w:val="18"/>
              </w:rPr>
              <w:t>Central banks, World Bank staff calculations.</w:t>
            </w:r>
          </w:p>
        </w:tc>
      </w:tr>
    </w:tbl>
    <w:p w:rsidR="0060585A" w:rsidRDefault="0060585A" w:rsidP="00E41045">
      <w:pPr>
        <w:spacing w:before="120" w:line="276" w:lineRule="auto"/>
        <w:rPr>
          <w:b/>
        </w:rPr>
      </w:pPr>
    </w:p>
    <w:p w:rsidR="0060585A" w:rsidRDefault="0060585A" w:rsidP="00E41045">
      <w:pPr>
        <w:spacing w:before="120" w:line="276" w:lineRule="auto"/>
      </w:pPr>
      <w:r w:rsidRPr="0082652C">
        <w:rPr>
          <w:b/>
        </w:rPr>
        <w:t>Policy rates have remained at low levels in EU11.</w:t>
      </w:r>
      <w:r>
        <w:rPr>
          <w:b/>
        </w:rPr>
        <w:t xml:space="preserve"> </w:t>
      </w:r>
      <w:r>
        <w:t>A</w:t>
      </w:r>
      <w:r w:rsidRPr="009E680D">
        <w:t>lthough policy rates in Hungary and Poland are already inching up</w:t>
      </w:r>
      <w:r>
        <w:t xml:space="preserve">, </w:t>
      </w:r>
      <w:r w:rsidRPr="004A2D0D">
        <w:t xml:space="preserve">recent increases in headline inflation rates </w:t>
      </w:r>
      <w:r>
        <w:t xml:space="preserve">have </w:t>
      </w:r>
      <w:r w:rsidRPr="004A2D0D">
        <w:t xml:space="preserve">led central banks to tighten </w:t>
      </w:r>
      <w:r>
        <w:t xml:space="preserve">their </w:t>
      </w:r>
      <w:r w:rsidRPr="004A2D0D">
        <w:t xml:space="preserve">policy rates. Since end-November 2010, the Central Bank of Hungary in five steps </w:t>
      </w:r>
      <w:r>
        <w:t xml:space="preserve">has </w:t>
      </w:r>
      <w:r w:rsidRPr="004A2D0D">
        <w:t xml:space="preserve">increased the policy rate from 5.25 percent to 7.00 percent. On May 9, </w:t>
      </w:r>
      <w:r>
        <w:t xml:space="preserve">2012, </w:t>
      </w:r>
      <w:r w:rsidRPr="004A2D0D">
        <w:t>the Central Bank of Poland raised its benchmark rate by a quarter point</w:t>
      </w:r>
      <w:r>
        <w:t>,</w:t>
      </w:r>
      <w:r w:rsidRPr="004A2D0D">
        <w:t xml:space="preserve"> to 4.75 percent, the highest since January 2009 and the first increase since June 2011</w:t>
      </w:r>
      <w:r>
        <w:t xml:space="preserve"> (</w:t>
      </w:r>
      <w:fldSimple w:instr=" REF _Ref327267470 \h  \* MERGEFORMAT ">
        <w:r w:rsidRPr="005D6031">
          <w:t>Figure 32</w:t>
        </w:r>
      </w:fldSimple>
      <w:r>
        <w:t xml:space="preserve">). The policy rate was hiked </w:t>
      </w:r>
      <w:r w:rsidRPr="004A2D0D">
        <w:t>to fight persistent inflation</w:t>
      </w:r>
      <w:r>
        <w:t>,</w:t>
      </w:r>
      <w:r w:rsidRPr="004A2D0D">
        <w:t xml:space="preserve"> which reached 3.9 percent in March</w:t>
      </w:r>
      <w:r>
        <w:t>—</w:t>
      </w:r>
      <w:r w:rsidRPr="004A2D0D">
        <w:t>well above the 2.5</w:t>
      </w:r>
      <w:r>
        <w:t xml:space="preserve"> </w:t>
      </w:r>
      <w:r w:rsidRPr="004A2D0D">
        <w:t>percent target for 18 months. In May 2012, Romania’s central bank for the first time in eight months kept its policy interest rate unchanged</w:t>
      </w:r>
      <w:r>
        <w:t>,</w:t>
      </w:r>
      <w:r w:rsidRPr="004A2D0D">
        <w:t xml:space="preserve"> at 5.25 percent, halting a series of </w:t>
      </w:r>
      <w:r>
        <w:t xml:space="preserve">four </w:t>
      </w:r>
      <w:r w:rsidRPr="004A2D0D">
        <w:t xml:space="preserve">rate cuts </w:t>
      </w:r>
      <w:r>
        <w:t xml:space="preserve">(by a cumulative 100 basis points) </w:t>
      </w:r>
      <w:r w:rsidRPr="004A2D0D">
        <w:t xml:space="preserve">to protect the leu, which </w:t>
      </w:r>
      <w:r>
        <w:t xml:space="preserve">on May 24 </w:t>
      </w:r>
      <w:r w:rsidRPr="004A2D0D">
        <w:t>fell to an all-time low of 4.46</w:t>
      </w:r>
      <w:r>
        <w:t>6</w:t>
      </w:r>
      <w:r w:rsidRPr="004A2D0D">
        <w:t xml:space="preserve"> per euro. </w:t>
      </w:r>
    </w:p>
    <w:p w:rsidR="0060585A" w:rsidRDefault="0060585A">
      <w:pPr>
        <w:spacing w:after="200" w:line="276" w:lineRule="auto"/>
        <w:jc w:val="left"/>
        <w:rPr>
          <w:rFonts w:ascii="Batang" w:eastAsia="Batang" w:hAnsi="Batang"/>
          <w:bCs/>
          <w:iCs/>
          <w:smallCaps/>
          <w:color w:val="005BAB"/>
          <w:szCs w:val="26"/>
        </w:rPr>
      </w:pPr>
      <w:r>
        <w:br w:type="page"/>
      </w:r>
    </w:p>
    <w:p w:rsidR="0060585A" w:rsidRDefault="0060585A" w:rsidP="007C638E">
      <w:pPr>
        <w:pStyle w:val="IntenseQuote"/>
      </w:pPr>
      <w:r w:rsidRPr="00F8203E">
        <w:lastRenderedPageBreak/>
        <w:t xml:space="preserve">A Deleveraging Financial Sector </w:t>
      </w:r>
    </w:p>
    <w:p w:rsidR="0060585A" w:rsidRPr="001B12FD" w:rsidRDefault="0060585A" w:rsidP="00E41045">
      <w:pPr>
        <w:autoSpaceDE w:val="0"/>
        <w:autoSpaceDN w:val="0"/>
        <w:adjustRightInd w:val="0"/>
        <w:spacing w:after="200" w:line="276" w:lineRule="auto"/>
        <w:rPr>
          <w:rFonts w:cs="Arial"/>
          <w:bCs/>
          <w:i/>
          <w:iCs/>
          <w:color w:val="1F497D"/>
          <w:sz w:val="22"/>
          <w:szCs w:val="22"/>
          <w:lang w:eastAsia="pl-PL"/>
        </w:rPr>
      </w:pPr>
      <w:r w:rsidRPr="00683057">
        <w:rPr>
          <w:rFonts w:cs="Arial"/>
          <w:bCs/>
          <w:i/>
          <w:iCs/>
          <w:color w:val="1F497D"/>
          <w:sz w:val="22"/>
          <w:szCs w:val="22"/>
          <w:lang w:eastAsia="pl-PL"/>
        </w:rPr>
        <w:t xml:space="preserve">Instability in the </w:t>
      </w:r>
      <w:r>
        <w:rPr>
          <w:rFonts w:cs="Arial"/>
          <w:bCs/>
          <w:i/>
          <w:iCs/>
          <w:color w:val="1F497D"/>
          <w:sz w:val="22"/>
          <w:szCs w:val="22"/>
          <w:lang w:eastAsia="pl-PL"/>
        </w:rPr>
        <w:t>e</w:t>
      </w:r>
      <w:r w:rsidRPr="00683057">
        <w:rPr>
          <w:rFonts w:cs="Arial"/>
          <w:bCs/>
          <w:i/>
          <w:iCs/>
          <w:color w:val="1F497D"/>
          <w:sz w:val="22"/>
          <w:szCs w:val="22"/>
          <w:lang w:eastAsia="pl-PL"/>
        </w:rPr>
        <w:t xml:space="preserve">uro area </w:t>
      </w:r>
      <w:r>
        <w:rPr>
          <w:rFonts w:cs="Arial"/>
          <w:bCs/>
          <w:i/>
          <w:iCs/>
          <w:color w:val="1F497D"/>
          <w:sz w:val="22"/>
          <w:szCs w:val="22"/>
          <w:lang w:eastAsia="pl-PL"/>
        </w:rPr>
        <w:t xml:space="preserve">is having a continuing </w:t>
      </w:r>
      <w:r w:rsidRPr="00683057">
        <w:rPr>
          <w:rFonts w:cs="Arial"/>
          <w:bCs/>
          <w:i/>
          <w:iCs/>
          <w:color w:val="1F497D"/>
          <w:sz w:val="22"/>
          <w:szCs w:val="22"/>
          <w:lang w:eastAsia="pl-PL"/>
        </w:rPr>
        <w:t xml:space="preserve">negative </w:t>
      </w:r>
      <w:r>
        <w:rPr>
          <w:rFonts w:cs="Arial"/>
          <w:bCs/>
          <w:i/>
          <w:iCs/>
          <w:color w:val="1F497D"/>
          <w:sz w:val="22"/>
          <w:szCs w:val="22"/>
          <w:lang w:eastAsia="pl-PL"/>
        </w:rPr>
        <w:t xml:space="preserve">effect on </w:t>
      </w:r>
      <w:r w:rsidRPr="00683057">
        <w:rPr>
          <w:rFonts w:cs="Arial"/>
          <w:bCs/>
          <w:i/>
          <w:iCs/>
          <w:color w:val="1F497D"/>
          <w:sz w:val="22"/>
          <w:szCs w:val="22"/>
          <w:lang w:eastAsia="pl-PL"/>
        </w:rPr>
        <w:t>EU11 financial markets, exerting pressures on bank funding, constraining credit growth</w:t>
      </w:r>
      <w:r>
        <w:rPr>
          <w:rFonts w:cs="Arial"/>
          <w:bCs/>
          <w:i/>
          <w:iCs/>
          <w:color w:val="1F497D"/>
          <w:sz w:val="22"/>
          <w:szCs w:val="22"/>
          <w:lang w:eastAsia="pl-PL"/>
        </w:rPr>
        <w:t>,</w:t>
      </w:r>
      <w:r w:rsidRPr="00683057">
        <w:rPr>
          <w:rFonts w:cs="Arial"/>
          <w:bCs/>
          <w:i/>
          <w:iCs/>
          <w:color w:val="1F497D"/>
          <w:sz w:val="22"/>
          <w:szCs w:val="22"/>
          <w:lang w:eastAsia="pl-PL"/>
        </w:rPr>
        <w:t xml:space="preserve"> and fueling financial sector deleveraging.</w:t>
      </w:r>
      <w:r>
        <w:rPr>
          <w:rFonts w:cs="Arial"/>
          <w:bCs/>
          <w:i/>
          <w:iCs/>
          <w:color w:val="1F497D"/>
          <w:sz w:val="22"/>
          <w:szCs w:val="22"/>
          <w:lang w:eastAsia="pl-PL"/>
        </w:rPr>
        <w:t xml:space="preserve"> </w:t>
      </w:r>
      <w:r w:rsidRPr="00683057">
        <w:rPr>
          <w:rFonts w:cs="Arial"/>
          <w:bCs/>
          <w:i/>
          <w:iCs/>
          <w:color w:val="1F497D"/>
          <w:sz w:val="22"/>
          <w:szCs w:val="22"/>
          <w:lang w:eastAsia="pl-PL"/>
        </w:rPr>
        <w:t>With foreign banks</w:t>
      </w:r>
      <w:r>
        <w:rPr>
          <w:rFonts w:cs="Arial"/>
          <w:bCs/>
          <w:i/>
          <w:iCs/>
          <w:color w:val="1F497D"/>
          <w:sz w:val="22"/>
          <w:szCs w:val="22"/>
          <w:lang w:eastAsia="pl-PL"/>
        </w:rPr>
        <w:t xml:space="preserve"> deleveraging</w:t>
      </w:r>
      <w:r w:rsidRPr="00683057">
        <w:rPr>
          <w:rFonts w:cs="Arial"/>
          <w:bCs/>
          <w:i/>
          <w:iCs/>
          <w:color w:val="1F497D"/>
          <w:sz w:val="22"/>
          <w:szCs w:val="22"/>
          <w:lang w:eastAsia="pl-PL"/>
        </w:rPr>
        <w:t xml:space="preserve">, local private </w:t>
      </w:r>
      <w:r w:rsidRPr="001B12FD">
        <w:rPr>
          <w:rFonts w:cs="Arial"/>
          <w:bCs/>
          <w:i/>
          <w:iCs/>
          <w:color w:val="1F497D"/>
          <w:sz w:val="22"/>
          <w:szCs w:val="22"/>
          <w:lang w:eastAsia="pl-PL"/>
        </w:rPr>
        <w:t xml:space="preserve">sector deposits became the dominant source of </w:t>
      </w:r>
      <w:r>
        <w:rPr>
          <w:rFonts w:cs="Arial"/>
          <w:bCs/>
          <w:i/>
          <w:iCs/>
          <w:color w:val="1F497D"/>
          <w:sz w:val="22"/>
          <w:szCs w:val="22"/>
          <w:lang w:eastAsia="pl-PL"/>
        </w:rPr>
        <w:t xml:space="preserve">EU11 </w:t>
      </w:r>
      <w:r w:rsidRPr="001B12FD">
        <w:rPr>
          <w:rFonts w:cs="Arial"/>
          <w:bCs/>
          <w:i/>
          <w:iCs/>
          <w:color w:val="1F497D"/>
          <w:sz w:val="22"/>
          <w:szCs w:val="22"/>
          <w:lang w:eastAsia="pl-PL"/>
        </w:rPr>
        <w:t xml:space="preserve">funding in 2011. </w:t>
      </w:r>
      <w:r>
        <w:rPr>
          <w:rFonts w:cs="Arial"/>
          <w:bCs/>
          <w:i/>
          <w:iCs/>
          <w:color w:val="1F497D"/>
          <w:sz w:val="22"/>
          <w:szCs w:val="22"/>
          <w:lang w:eastAsia="pl-PL"/>
        </w:rPr>
        <w:t xml:space="preserve">Except in Estonia, nonperforming loans </w:t>
      </w:r>
      <w:r w:rsidRPr="001B12FD">
        <w:rPr>
          <w:rFonts w:cs="Arial"/>
          <w:bCs/>
          <w:i/>
          <w:iCs/>
          <w:color w:val="1F497D"/>
          <w:sz w:val="22"/>
          <w:szCs w:val="22"/>
          <w:lang w:eastAsia="pl-PL"/>
        </w:rPr>
        <w:t>remained at elevated levels in 2011</w:t>
      </w:r>
      <w:r>
        <w:rPr>
          <w:rFonts w:cs="Arial"/>
          <w:bCs/>
          <w:i/>
          <w:iCs/>
          <w:color w:val="1F497D"/>
          <w:sz w:val="22"/>
          <w:szCs w:val="22"/>
          <w:lang w:eastAsia="pl-PL"/>
        </w:rPr>
        <w:t>.</w:t>
      </w:r>
      <w:r w:rsidRPr="001B12FD">
        <w:rPr>
          <w:rFonts w:cs="Arial"/>
          <w:bCs/>
          <w:i/>
          <w:iCs/>
          <w:color w:val="1F497D"/>
          <w:sz w:val="22"/>
          <w:szCs w:val="22"/>
          <w:lang w:eastAsia="pl-PL"/>
        </w:rPr>
        <w:t xml:space="preserve"> </w:t>
      </w:r>
    </w:p>
    <w:p w:rsidR="0060585A" w:rsidRDefault="0060585A" w:rsidP="00E41045">
      <w:pPr>
        <w:autoSpaceDE w:val="0"/>
        <w:autoSpaceDN w:val="0"/>
        <w:adjustRightInd w:val="0"/>
        <w:spacing w:before="120" w:after="120" w:line="276" w:lineRule="auto"/>
        <w:rPr>
          <w:rFonts w:cs="Estrangelo Edessa"/>
          <w:b/>
          <w:color w:val="000000"/>
        </w:rPr>
      </w:pPr>
    </w:p>
    <w:p w:rsidR="0060585A" w:rsidRDefault="0060585A" w:rsidP="00E41045">
      <w:pPr>
        <w:autoSpaceDE w:val="0"/>
        <w:autoSpaceDN w:val="0"/>
        <w:adjustRightInd w:val="0"/>
        <w:spacing w:before="120" w:after="120" w:line="276" w:lineRule="auto"/>
        <w:rPr>
          <w:rFonts w:cs="Estrangelo Edessa"/>
          <w:color w:val="000000"/>
        </w:rPr>
      </w:pPr>
      <w:r w:rsidRPr="00EE5C71">
        <w:rPr>
          <w:rFonts w:cs="Estrangelo Edessa"/>
          <w:b/>
          <w:color w:val="000000"/>
        </w:rPr>
        <w:t xml:space="preserve">Concerns about the stability of the financial sector in the </w:t>
      </w:r>
      <w:r>
        <w:rPr>
          <w:rFonts w:cs="Estrangelo Edessa"/>
          <w:b/>
          <w:color w:val="000000"/>
        </w:rPr>
        <w:t>e</w:t>
      </w:r>
      <w:r w:rsidRPr="00EE5C71">
        <w:rPr>
          <w:rFonts w:cs="Estrangelo Edessa"/>
          <w:b/>
          <w:color w:val="000000"/>
        </w:rPr>
        <w:t xml:space="preserve">uro area </w:t>
      </w:r>
      <w:r>
        <w:rPr>
          <w:rFonts w:cs="Estrangelo Edessa"/>
          <w:b/>
          <w:color w:val="000000"/>
        </w:rPr>
        <w:t xml:space="preserve">have affected the performance of EU11 </w:t>
      </w:r>
      <w:r w:rsidRPr="00EE5C71">
        <w:rPr>
          <w:rFonts w:cs="Estrangelo Edessa"/>
          <w:b/>
          <w:color w:val="000000"/>
        </w:rPr>
        <w:t>financial market</w:t>
      </w:r>
      <w:r>
        <w:rPr>
          <w:rFonts w:cs="Estrangelo Edessa"/>
          <w:b/>
          <w:color w:val="000000"/>
        </w:rPr>
        <w:t>s, as can be seen in the volatility of EU11 sovereign bond pricing</w:t>
      </w:r>
      <w:r w:rsidRPr="00EE5C71">
        <w:rPr>
          <w:rFonts w:cs="Estrangelo Edessa"/>
          <w:b/>
          <w:color w:val="000000"/>
        </w:rPr>
        <w:t xml:space="preserve">. </w:t>
      </w:r>
      <w:r w:rsidRPr="00205924">
        <w:rPr>
          <w:rFonts w:cs="Estrangelo Edessa"/>
          <w:color w:val="000000"/>
        </w:rPr>
        <w:t>A</w:t>
      </w:r>
      <w:r>
        <w:rPr>
          <w:rFonts w:cs="Estrangelo Edessa"/>
          <w:color w:val="000000"/>
        </w:rPr>
        <w:t>s</w:t>
      </w:r>
      <w:r w:rsidRPr="00205924">
        <w:rPr>
          <w:rFonts w:cs="Estrangelo Edessa"/>
          <w:color w:val="000000"/>
        </w:rPr>
        <w:t xml:space="preserve"> </w:t>
      </w:r>
      <w:r>
        <w:rPr>
          <w:rFonts w:cs="Estrangelo Edessa"/>
          <w:color w:val="000000"/>
        </w:rPr>
        <w:t>the first half of 2012 ends, f</w:t>
      </w:r>
      <w:r w:rsidRPr="009E680D">
        <w:rPr>
          <w:rFonts w:cs="Estrangelo Edessa"/>
          <w:color w:val="000000"/>
        </w:rPr>
        <w:t xml:space="preserve">inancial markets </w:t>
      </w:r>
      <w:r>
        <w:rPr>
          <w:rFonts w:cs="Estrangelo Edessa"/>
          <w:color w:val="000000"/>
        </w:rPr>
        <w:t xml:space="preserve">are </w:t>
      </w:r>
      <w:r w:rsidRPr="009E680D">
        <w:rPr>
          <w:rFonts w:cs="Estrangelo Edessa"/>
          <w:color w:val="000000"/>
        </w:rPr>
        <w:t>weaker</w:t>
      </w:r>
      <w:r>
        <w:rPr>
          <w:rFonts w:cs="Estrangelo Edessa"/>
          <w:b/>
          <w:color w:val="000000"/>
        </w:rPr>
        <w:t xml:space="preserve"> </w:t>
      </w:r>
      <w:r w:rsidRPr="00E31054">
        <w:rPr>
          <w:rFonts w:cs="Estrangelo Edessa"/>
          <w:color w:val="000000"/>
        </w:rPr>
        <w:t>than they were</w:t>
      </w:r>
      <w:r>
        <w:rPr>
          <w:rFonts w:cs="Estrangelo Edessa"/>
          <w:b/>
          <w:color w:val="000000"/>
        </w:rPr>
        <w:t xml:space="preserve"> </w:t>
      </w:r>
      <w:r w:rsidRPr="00E31054">
        <w:rPr>
          <w:rFonts w:cs="Estrangelo Edessa"/>
          <w:color w:val="000000"/>
        </w:rPr>
        <w:t>in</w:t>
      </w:r>
      <w:r>
        <w:rPr>
          <w:rFonts w:cs="Estrangelo Edessa"/>
          <w:b/>
          <w:color w:val="000000"/>
        </w:rPr>
        <w:t xml:space="preserve"> </w:t>
      </w:r>
      <w:r>
        <w:rPr>
          <w:rFonts w:cs="Estrangelo Edessa"/>
          <w:color w:val="000000"/>
        </w:rPr>
        <w:t xml:space="preserve">June 2011 because </w:t>
      </w:r>
      <w:r w:rsidRPr="0089150A">
        <w:rPr>
          <w:rFonts w:cs="Estrangelo Edessa"/>
          <w:color w:val="000000"/>
        </w:rPr>
        <w:t xml:space="preserve">investors </w:t>
      </w:r>
      <w:r>
        <w:rPr>
          <w:rFonts w:cs="Estrangelo Edessa"/>
          <w:color w:val="000000"/>
        </w:rPr>
        <w:t xml:space="preserve">are </w:t>
      </w:r>
      <w:r w:rsidRPr="0089150A">
        <w:rPr>
          <w:rFonts w:cs="Estrangelo Edessa"/>
          <w:color w:val="000000"/>
        </w:rPr>
        <w:t>increasing</w:t>
      </w:r>
      <w:r>
        <w:rPr>
          <w:rFonts w:cs="Estrangelo Edessa"/>
          <w:color w:val="000000"/>
        </w:rPr>
        <w:t xml:space="preserve">ly wary </w:t>
      </w:r>
      <w:r w:rsidRPr="0089150A">
        <w:rPr>
          <w:rFonts w:cs="Estrangelo Edessa"/>
          <w:color w:val="000000"/>
        </w:rPr>
        <w:t xml:space="preserve">of a disorderly </w:t>
      </w:r>
      <w:r>
        <w:rPr>
          <w:rFonts w:cs="Estrangelo Edessa"/>
          <w:color w:val="000000"/>
        </w:rPr>
        <w:t xml:space="preserve">default by a European </w:t>
      </w:r>
      <w:r w:rsidRPr="0089150A">
        <w:rPr>
          <w:rFonts w:cs="Estrangelo Edessa"/>
          <w:color w:val="000000"/>
        </w:rPr>
        <w:t>bank</w:t>
      </w:r>
      <w:r>
        <w:rPr>
          <w:rFonts w:cs="Estrangelo Edessa"/>
          <w:color w:val="000000"/>
        </w:rPr>
        <w:t xml:space="preserve"> </w:t>
      </w:r>
      <w:r w:rsidRPr="0089150A">
        <w:rPr>
          <w:rFonts w:cs="Estrangelo Edessa"/>
          <w:color w:val="000000"/>
        </w:rPr>
        <w:t>or sovereign</w:t>
      </w:r>
      <w:r>
        <w:rPr>
          <w:rFonts w:cs="Estrangelo Edessa"/>
          <w:color w:val="000000"/>
        </w:rPr>
        <w:t>. EU11 sovereign and banking group risk spreads have generally tracked market sentiments.</w:t>
      </w:r>
      <w:r>
        <w:rPr>
          <w:rFonts w:cs="Estrangelo Edessa"/>
          <w:b/>
          <w:color w:val="000000"/>
        </w:rPr>
        <w:t xml:space="preserve"> </w:t>
      </w:r>
      <w:r>
        <w:rPr>
          <w:rFonts w:cs="Estrangelo Edessa"/>
          <w:color w:val="000000"/>
        </w:rPr>
        <w:t>In the last year</w:t>
      </w:r>
      <w:r w:rsidRPr="009E680D">
        <w:rPr>
          <w:rFonts w:cs="Estrangelo Edessa"/>
          <w:color w:val="000000"/>
        </w:rPr>
        <w:t xml:space="preserve"> </w:t>
      </w:r>
      <w:r>
        <w:rPr>
          <w:rFonts w:cs="Estrangelo Edessa"/>
          <w:color w:val="000000"/>
        </w:rPr>
        <w:t xml:space="preserve">CDS spreads have </w:t>
      </w:r>
      <w:r w:rsidRPr="00EE5C71">
        <w:rPr>
          <w:rFonts w:cs="Estrangelo Edessa"/>
          <w:color w:val="000000"/>
        </w:rPr>
        <w:t>rise</w:t>
      </w:r>
      <w:r>
        <w:rPr>
          <w:rFonts w:cs="Estrangelo Edessa"/>
          <w:color w:val="000000"/>
        </w:rPr>
        <w:t xml:space="preserve">n most in </w:t>
      </w:r>
      <w:r w:rsidRPr="00EE5C71">
        <w:rPr>
          <w:rFonts w:cs="Estrangelo Edessa"/>
          <w:color w:val="000000"/>
        </w:rPr>
        <w:t>Hungary, Slovenia, and Croatia</w:t>
      </w:r>
      <w:r>
        <w:rPr>
          <w:rFonts w:cs="Estrangelo Edessa"/>
          <w:color w:val="000000"/>
        </w:rPr>
        <w:t xml:space="preserve">—countries where </w:t>
      </w:r>
      <w:r w:rsidRPr="00EE5C71">
        <w:rPr>
          <w:rFonts w:cs="Estrangelo Edessa"/>
          <w:color w:val="000000"/>
        </w:rPr>
        <w:t>economic activity</w:t>
      </w:r>
      <w:r>
        <w:rPr>
          <w:rFonts w:cs="Estrangelo Edessa"/>
          <w:color w:val="000000"/>
        </w:rPr>
        <w:t xml:space="preserve"> has been particularly sluggish</w:t>
      </w:r>
      <w:r w:rsidRPr="00EE5C71">
        <w:rPr>
          <w:rFonts w:cs="Estrangelo Edessa"/>
          <w:color w:val="000000"/>
        </w:rPr>
        <w:t>.</w:t>
      </w:r>
      <w:r>
        <w:rPr>
          <w:rFonts w:cs="Estrangelo Edessa"/>
          <w:color w:val="000000"/>
        </w:rPr>
        <w:t xml:space="preserve"> In addition to that, CDS spreads for Slovenia rose due to delayed structural reforms and fragile situation in the financial sector.  </w:t>
      </w:r>
      <w:r w:rsidRPr="00EE5C71">
        <w:rPr>
          <w:rFonts w:cs="Estrangelo Edessa"/>
          <w:color w:val="000000"/>
        </w:rPr>
        <w:t xml:space="preserve">In contrast, </w:t>
      </w:r>
      <w:r>
        <w:rPr>
          <w:rFonts w:cs="Estrangelo Edessa"/>
          <w:color w:val="000000"/>
        </w:rPr>
        <w:t xml:space="preserve">thanks to their healthy economic prospects and their solid fiscal position </w:t>
      </w:r>
      <w:r w:rsidRPr="00EE5C71">
        <w:rPr>
          <w:rFonts w:cs="Estrangelo Edessa"/>
          <w:color w:val="000000"/>
        </w:rPr>
        <w:t xml:space="preserve">Estonia and the Czech Republic </w:t>
      </w:r>
      <w:r>
        <w:rPr>
          <w:rFonts w:cs="Estrangelo Edessa"/>
          <w:color w:val="000000"/>
        </w:rPr>
        <w:t xml:space="preserve">have </w:t>
      </w:r>
      <w:r w:rsidRPr="00EE5C71">
        <w:rPr>
          <w:rFonts w:cs="Estrangelo Edessa"/>
          <w:color w:val="000000"/>
        </w:rPr>
        <w:t xml:space="preserve">the lowest risk in the region. </w:t>
      </w:r>
      <w:r>
        <w:rPr>
          <w:rFonts w:cs="Estrangelo Edessa"/>
          <w:color w:val="000000"/>
        </w:rPr>
        <w:t>Poland’s CDS spreads remained at moderate levels reflecting its strong position in the EU11 region.  Financial market agents</w:t>
      </w:r>
      <w:r w:rsidRPr="00EE5C71">
        <w:rPr>
          <w:rFonts w:cs="Estrangelo Edessa"/>
          <w:color w:val="000000"/>
        </w:rPr>
        <w:t xml:space="preserve"> </w:t>
      </w:r>
      <w:r>
        <w:rPr>
          <w:rFonts w:cs="Estrangelo Edessa"/>
          <w:color w:val="000000"/>
        </w:rPr>
        <w:t xml:space="preserve">on the whole </w:t>
      </w:r>
      <w:r w:rsidRPr="00EE5C71">
        <w:rPr>
          <w:rFonts w:cs="Estrangelo Edessa"/>
          <w:color w:val="000000"/>
        </w:rPr>
        <w:t xml:space="preserve">continue to differentiate between countries </w:t>
      </w:r>
      <w:r>
        <w:rPr>
          <w:rFonts w:cs="Estrangelo Edessa"/>
          <w:color w:val="000000"/>
        </w:rPr>
        <w:t xml:space="preserve">on the basis of </w:t>
      </w:r>
      <w:r w:rsidRPr="00EE5C71">
        <w:rPr>
          <w:rFonts w:cs="Estrangelo Edessa"/>
          <w:color w:val="000000"/>
        </w:rPr>
        <w:t>their economic fundamentals</w:t>
      </w:r>
      <w:r>
        <w:rPr>
          <w:rFonts w:cs="Estrangelo Edessa"/>
          <w:color w:val="000000"/>
        </w:rPr>
        <w:t>.</w:t>
      </w:r>
    </w:p>
    <w:tbl>
      <w:tblPr>
        <w:tblW w:w="9639" w:type="dxa"/>
        <w:jc w:val="center"/>
        <w:tblInd w:w="2400" w:type="dxa"/>
        <w:tblLook w:val="00A0"/>
      </w:tblPr>
      <w:tblGrid>
        <w:gridCol w:w="4716"/>
        <w:gridCol w:w="4923"/>
      </w:tblGrid>
      <w:tr w:rsidR="0060585A" w:rsidRPr="00D10DF0" w:rsidTr="00004575">
        <w:trPr>
          <w:jc w:val="center"/>
        </w:trPr>
        <w:tc>
          <w:tcPr>
            <w:tcW w:w="9639" w:type="dxa"/>
            <w:gridSpan w:val="2"/>
          </w:tcPr>
          <w:p w:rsidR="0060585A" w:rsidRPr="00321D31" w:rsidRDefault="0060585A" w:rsidP="004D31F4">
            <w:pPr>
              <w:pStyle w:val="Caption"/>
              <w:keepNext/>
              <w:spacing w:before="60" w:after="60" w:line="276" w:lineRule="auto"/>
              <w:jc w:val="left"/>
              <w:rPr>
                <w:rFonts w:cs="Estrangelo Edessa"/>
                <w:b w:val="0"/>
                <w:bCs w:val="0"/>
                <w:color w:val="000000"/>
                <w:sz w:val="24"/>
                <w:szCs w:val="24"/>
                <w:lang w:val="fr-BE"/>
              </w:rPr>
            </w:pPr>
            <w:bookmarkStart w:id="33" w:name="_Ref325641602"/>
            <w:r w:rsidRPr="00321D31">
              <w:rPr>
                <w:sz w:val="24"/>
                <w:szCs w:val="24"/>
                <w:lang w:val="fr-BE"/>
              </w:rPr>
              <w:t xml:space="preserve">Figure </w:t>
            </w:r>
            <w:r w:rsidR="00185C05" w:rsidRPr="00321D31">
              <w:rPr>
                <w:sz w:val="24"/>
                <w:szCs w:val="24"/>
                <w:lang w:val="fr-BE"/>
              </w:rPr>
              <w:fldChar w:fldCharType="begin"/>
            </w:r>
            <w:r w:rsidRPr="00321D31">
              <w:rPr>
                <w:sz w:val="24"/>
                <w:szCs w:val="24"/>
                <w:lang w:val="fr-BE"/>
              </w:rPr>
              <w:instrText xml:space="preserve"> SEQ Figure \* ARABIC </w:instrText>
            </w:r>
            <w:r w:rsidR="00185C05" w:rsidRPr="00321D31">
              <w:rPr>
                <w:sz w:val="24"/>
                <w:szCs w:val="24"/>
                <w:lang w:val="fr-BE"/>
              </w:rPr>
              <w:fldChar w:fldCharType="separate"/>
            </w:r>
            <w:r w:rsidRPr="00321D31">
              <w:rPr>
                <w:noProof/>
                <w:sz w:val="24"/>
                <w:szCs w:val="24"/>
                <w:lang w:val="fr-BE"/>
              </w:rPr>
              <w:t>33</w:t>
            </w:r>
            <w:r w:rsidR="00185C05" w:rsidRPr="00321D31">
              <w:rPr>
                <w:sz w:val="24"/>
                <w:szCs w:val="24"/>
                <w:lang w:val="fr-BE"/>
              </w:rPr>
              <w:fldChar w:fldCharType="end"/>
            </w:r>
            <w:bookmarkEnd w:id="33"/>
            <w:r w:rsidRPr="00321D31">
              <w:rPr>
                <w:sz w:val="24"/>
                <w:szCs w:val="24"/>
                <w:lang w:val="fr-BE"/>
              </w:rPr>
              <w:t>. 5Y CDS, EU11 Countries (Basis points)</w:t>
            </w:r>
          </w:p>
        </w:tc>
      </w:tr>
      <w:tr w:rsidR="0060585A" w:rsidRPr="00321D31" w:rsidTr="00004575">
        <w:trPr>
          <w:jc w:val="center"/>
        </w:trPr>
        <w:tc>
          <w:tcPr>
            <w:tcW w:w="4691" w:type="dxa"/>
          </w:tcPr>
          <w:p w:rsidR="0060585A" w:rsidRPr="00321D31" w:rsidRDefault="00A1042F" w:rsidP="00321D31">
            <w:pPr>
              <w:autoSpaceDE w:val="0"/>
              <w:autoSpaceDN w:val="0"/>
              <w:adjustRightInd w:val="0"/>
              <w:spacing w:before="120" w:after="120" w:line="276" w:lineRule="auto"/>
              <w:rPr>
                <w:rFonts w:cs="Estrangelo Edessa"/>
                <w:b/>
                <w:color w:val="000000"/>
              </w:rPr>
            </w:pPr>
            <w:r>
              <w:rPr>
                <w:rFonts w:cs="Estrangelo Edessa"/>
                <w:b/>
                <w:noProof/>
                <w:color w:val="000000"/>
              </w:rPr>
              <w:drawing>
                <wp:inline distT="0" distB="0" distL="0" distR="0">
                  <wp:extent cx="2838450" cy="161925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srcRect/>
                          <a:stretch>
                            <a:fillRect/>
                          </a:stretch>
                        </pic:blipFill>
                        <pic:spPr bwMode="auto">
                          <a:xfrm>
                            <a:off x="0" y="0"/>
                            <a:ext cx="2838450" cy="1619250"/>
                          </a:xfrm>
                          <a:prstGeom prst="rect">
                            <a:avLst/>
                          </a:prstGeom>
                          <a:noFill/>
                          <a:ln w="9525">
                            <a:noFill/>
                            <a:miter lim="800000"/>
                            <a:headEnd/>
                            <a:tailEnd/>
                          </a:ln>
                        </pic:spPr>
                      </pic:pic>
                    </a:graphicData>
                  </a:graphic>
                </wp:inline>
              </w:drawing>
            </w:r>
          </w:p>
        </w:tc>
        <w:tc>
          <w:tcPr>
            <w:tcW w:w="4948" w:type="dxa"/>
          </w:tcPr>
          <w:p w:rsidR="0060585A" w:rsidRPr="00321D31" w:rsidRDefault="00A1042F" w:rsidP="00321D31">
            <w:pPr>
              <w:autoSpaceDE w:val="0"/>
              <w:autoSpaceDN w:val="0"/>
              <w:adjustRightInd w:val="0"/>
              <w:spacing w:before="120" w:after="120" w:line="276" w:lineRule="auto"/>
              <w:rPr>
                <w:rFonts w:cs="Estrangelo Edessa"/>
                <w:b/>
                <w:color w:val="000000"/>
              </w:rPr>
            </w:pPr>
            <w:r>
              <w:rPr>
                <w:rFonts w:cs="Estrangelo Edessa"/>
                <w:b/>
                <w:noProof/>
                <w:color w:val="000000"/>
              </w:rPr>
              <w:drawing>
                <wp:inline distT="0" distB="0" distL="0" distR="0">
                  <wp:extent cx="2895600" cy="161925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srcRect/>
                          <a:stretch>
                            <a:fillRect/>
                          </a:stretch>
                        </pic:blipFill>
                        <pic:spPr bwMode="auto">
                          <a:xfrm>
                            <a:off x="0" y="0"/>
                            <a:ext cx="2895600" cy="1619250"/>
                          </a:xfrm>
                          <a:prstGeom prst="rect">
                            <a:avLst/>
                          </a:prstGeom>
                          <a:noFill/>
                          <a:ln w="9525">
                            <a:noFill/>
                            <a:miter lim="800000"/>
                            <a:headEnd/>
                            <a:tailEnd/>
                          </a:ln>
                        </pic:spPr>
                      </pic:pic>
                    </a:graphicData>
                  </a:graphic>
                </wp:inline>
              </w:drawing>
            </w:r>
          </w:p>
        </w:tc>
      </w:tr>
      <w:tr w:rsidR="0060585A" w:rsidRPr="00321D31" w:rsidTr="00004575">
        <w:trPr>
          <w:jc w:val="center"/>
        </w:trPr>
        <w:tc>
          <w:tcPr>
            <w:tcW w:w="9639" w:type="dxa"/>
            <w:gridSpan w:val="2"/>
          </w:tcPr>
          <w:p w:rsidR="0060585A" w:rsidRPr="00321D31" w:rsidRDefault="0060585A" w:rsidP="00321D31">
            <w:pPr>
              <w:keepNext/>
              <w:spacing w:before="60" w:after="40" w:line="276" w:lineRule="auto"/>
              <w:rPr>
                <w:i/>
                <w:sz w:val="18"/>
                <w:szCs w:val="18"/>
              </w:rPr>
            </w:pPr>
            <w:r w:rsidRPr="00321D31">
              <w:rPr>
                <w:i/>
                <w:sz w:val="18"/>
                <w:szCs w:val="18"/>
              </w:rPr>
              <w:t xml:space="preserve">Source: </w:t>
            </w:r>
            <w:r w:rsidRPr="00321D31">
              <w:rPr>
                <w:sz w:val="18"/>
                <w:szCs w:val="18"/>
              </w:rPr>
              <w:t>Reuters, Bloomberg, World Bank staff calculations.</w:t>
            </w:r>
          </w:p>
        </w:tc>
      </w:tr>
    </w:tbl>
    <w:p w:rsidR="0060585A" w:rsidRDefault="0060585A" w:rsidP="00E41045">
      <w:pPr>
        <w:spacing w:before="120" w:after="120" w:line="276" w:lineRule="auto"/>
        <w:rPr>
          <w:bCs/>
        </w:rPr>
      </w:pPr>
      <w:r w:rsidRPr="00EE5C71">
        <w:rPr>
          <w:b/>
          <w:bCs/>
        </w:rPr>
        <w:t xml:space="preserve">Financial sector uncertainties in the </w:t>
      </w:r>
      <w:r>
        <w:rPr>
          <w:b/>
          <w:bCs/>
        </w:rPr>
        <w:t>e</w:t>
      </w:r>
      <w:r w:rsidRPr="00EE5C71">
        <w:rPr>
          <w:b/>
          <w:bCs/>
        </w:rPr>
        <w:t xml:space="preserve">uro area have also </w:t>
      </w:r>
      <w:r>
        <w:rPr>
          <w:b/>
          <w:bCs/>
        </w:rPr>
        <w:t xml:space="preserve">slowed </w:t>
      </w:r>
      <w:r w:rsidRPr="00EE5C71">
        <w:rPr>
          <w:b/>
          <w:bCs/>
        </w:rPr>
        <w:t xml:space="preserve">capital flows to EU11 countries, fueling </w:t>
      </w:r>
      <w:r>
        <w:rPr>
          <w:b/>
          <w:bCs/>
        </w:rPr>
        <w:t xml:space="preserve">the </w:t>
      </w:r>
      <w:r w:rsidRPr="00EE5C71">
        <w:rPr>
          <w:b/>
          <w:bCs/>
        </w:rPr>
        <w:t xml:space="preserve">financial sector deleveraging. </w:t>
      </w:r>
      <w:r w:rsidRPr="00EE5C71">
        <w:rPr>
          <w:bCs/>
        </w:rPr>
        <w:t>Gross capital flows to EU11 countries (</w:t>
      </w:r>
      <w:fldSimple w:instr=" REF _Ref308467800 \h  \* MERGEFORMAT ">
        <w:r w:rsidRPr="004A555E">
          <w:t xml:space="preserve">Figure </w:t>
        </w:r>
        <w:r>
          <w:rPr>
            <w:noProof/>
          </w:rPr>
          <w:t>34</w:t>
        </w:r>
      </w:fldSimple>
      <w:r w:rsidRPr="00EE5C71">
        <w:rPr>
          <w:bCs/>
        </w:rPr>
        <w:t xml:space="preserve">) amounted to </w:t>
      </w:r>
      <w:r>
        <w:rPr>
          <w:bCs/>
        </w:rPr>
        <w:t>€</w:t>
      </w:r>
      <w:r w:rsidRPr="00EE5C71">
        <w:rPr>
          <w:bCs/>
        </w:rPr>
        <w:t xml:space="preserve">48.7 billion in 2011, a contraction of almost </w:t>
      </w:r>
      <w:r>
        <w:rPr>
          <w:bCs/>
        </w:rPr>
        <w:t xml:space="preserve">25 percent </w:t>
      </w:r>
      <w:r w:rsidRPr="00EE5C71">
        <w:rPr>
          <w:bCs/>
        </w:rPr>
        <w:t>relative to 2010.</w:t>
      </w:r>
      <w:r>
        <w:rPr>
          <w:bCs/>
        </w:rPr>
        <w:t xml:space="preserve"> </w:t>
      </w:r>
      <w:r w:rsidRPr="00EE5C71">
        <w:rPr>
          <w:bCs/>
        </w:rPr>
        <w:t>While equity flows remained robust, bank-related debt flows decreased to a new low</w:t>
      </w:r>
      <w:r>
        <w:rPr>
          <w:bCs/>
        </w:rPr>
        <w:t xml:space="preserve"> in 2011</w:t>
      </w:r>
      <w:r w:rsidRPr="00EE5C71">
        <w:rPr>
          <w:bCs/>
        </w:rPr>
        <w:t>.</w:t>
      </w:r>
      <w:r>
        <w:rPr>
          <w:bCs/>
        </w:rPr>
        <w:t xml:space="preserve"> </w:t>
      </w:r>
      <w:r w:rsidRPr="00EE5C71">
        <w:rPr>
          <w:bCs/>
        </w:rPr>
        <w:t>As reported by the Bank for International Settlement (BIS), cross-border claims by foreign banks dropped in all EU11 countries</w:t>
      </w:r>
      <w:r>
        <w:rPr>
          <w:bCs/>
        </w:rPr>
        <w:t xml:space="preserve"> as the </w:t>
      </w:r>
      <w:r w:rsidRPr="00EE5C71">
        <w:rPr>
          <w:bCs/>
        </w:rPr>
        <w:t>bank</w:t>
      </w:r>
      <w:r>
        <w:rPr>
          <w:bCs/>
        </w:rPr>
        <w:t>s</w:t>
      </w:r>
      <w:r w:rsidRPr="00EE5C71">
        <w:rPr>
          <w:bCs/>
        </w:rPr>
        <w:t xml:space="preserve"> </w:t>
      </w:r>
      <w:r>
        <w:rPr>
          <w:bCs/>
        </w:rPr>
        <w:t>downsized their operations</w:t>
      </w:r>
      <w:r w:rsidRPr="00EE5C71">
        <w:rPr>
          <w:bCs/>
        </w:rPr>
        <w:t>.</w:t>
      </w:r>
      <w:r>
        <w:rPr>
          <w:bCs/>
        </w:rPr>
        <w:t xml:space="preserve"> </w:t>
      </w:r>
      <w:r w:rsidRPr="00EE5C71">
        <w:rPr>
          <w:bCs/>
        </w:rPr>
        <w:t xml:space="preserve">Bank claims on EU11 </w:t>
      </w:r>
      <w:r>
        <w:rPr>
          <w:bCs/>
        </w:rPr>
        <w:t xml:space="preserve">countries </w:t>
      </w:r>
      <w:r w:rsidRPr="00EE5C71">
        <w:rPr>
          <w:bCs/>
        </w:rPr>
        <w:t xml:space="preserve">by </w:t>
      </w:r>
      <w:r>
        <w:rPr>
          <w:bCs/>
        </w:rPr>
        <w:t xml:space="preserve">the </w:t>
      </w:r>
      <w:r w:rsidRPr="00EE5C71">
        <w:rPr>
          <w:bCs/>
        </w:rPr>
        <w:t>end</w:t>
      </w:r>
      <w:r>
        <w:rPr>
          <w:bCs/>
        </w:rPr>
        <w:t xml:space="preserve"> of 2011 totaled </w:t>
      </w:r>
      <w:r w:rsidRPr="006769A4">
        <w:rPr>
          <w:bCs/>
        </w:rPr>
        <w:t>EUR</w:t>
      </w:r>
      <w:r>
        <w:rPr>
          <w:bCs/>
        </w:rPr>
        <w:t xml:space="preserve"> </w:t>
      </w:r>
      <w:r w:rsidRPr="00EE5C71">
        <w:rPr>
          <w:bCs/>
        </w:rPr>
        <w:t>3</w:t>
      </w:r>
      <w:r>
        <w:rPr>
          <w:bCs/>
        </w:rPr>
        <w:t>0</w:t>
      </w:r>
      <w:r w:rsidRPr="00EE5C71">
        <w:rPr>
          <w:bCs/>
        </w:rPr>
        <w:t>4.</w:t>
      </w:r>
      <w:r>
        <w:rPr>
          <w:bCs/>
        </w:rPr>
        <w:t>8</w:t>
      </w:r>
      <w:r w:rsidRPr="00EE5C71">
        <w:rPr>
          <w:bCs/>
        </w:rPr>
        <w:t xml:space="preserve"> billion </w:t>
      </w:r>
      <w:r w:rsidRPr="00EE5C71">
        <w:rPr>
          <w:bCs/>
        </w:rPr>
        <w:lastRenderedPageBreak/>
        <w:t>(</w:t>
      </w:r>
      <w:fldSimple w:instr=" REF _Ref308467976 \h  \* MERGEFORMAT ">
        <w:r w:rsidRPr="005D6031">
          <w:t xml:space="preserve">Figure </w:t>
        </w:r>
        <w:r w:rsidRPr="005D6031">
          <w:rPr>
            <w:noProof/>
          </w:rPr>
          <w:t>35</w:t>
        </w:r>
      </w:fldSimple>
      <w:r w:rsidRPr="00EE5C71">
        <w:rPr>
          <w:bCs/>
        </w:rPr>
        <w:t>)</w:t>
      </w:r>
      <w:r>
        <w:rPr>
          <w:bCs/>
        </w:rPr>
        <w:t>—</w:t>
      </w:r>
      <w:r w:rsidRPr="00EE5C71">
        <w:rPr>
          <w:bCs/>
        </w:rPr>
        <w:t xml:space="preserve">11.2 percent less than </w:t>
      </w:r>
      <w:r>
        <w:rPr>
          <w:bCs/>
        </w:rPr>
        <w:t>at the end of 2010</w:t>
      </w:r>
      <w:r w:rsidRPr="00EE5C71">
        <w:rPr>
          <w:bCs/>
        </w:rPr>
        <w:t xml:space="preserve"> and a noteworthy </w:t>
      </w:r>
      <w:r>
        <w:rPr>
          <w:bCs/>
        </w:rPr>
        <w:t>23.7 percent less than at the end of the first quarter of 2011</w:t>
      </w:r>
      <w:r w:rsidRPr="00EE5C71">
        <w:rPr>
          <w:bCs/>
        </w:rPr>
        <w:t xml:space="preserve">. </w:t>
      </w:r>
    </w:p>
    <w:tbl>
      <w:tblPr>
        <w:tblW w:w="9589" w:type="dxa"/>
        <w:jc w:val="center"/>
        <w:tblInd w:w="937" w:type="dxa"/>
        <w:tblLook w:val="00A0"/>
      </w:tblPr>
      <w:tblGrid>
        <w:gridCol w:w="4956"/>
        <w:gridCol w:w="4633"/>
      </w:tblGrid>
      <w:tr w:rsidR="0060585A" w:rsidRPr="00321D31" w:rsidTr="00004575">
        <w:trPr>
          <w:jc w:val="center"/>
        </w:trPr>
        <w:tc>
          <w:tcPr>
            <w:tcW w:w="4926" w:type="dxa"/>
          </w:tcPr>
          <w:p w:rsidR="0060585A" w:rsidRPr="00321D31" w:rsidRDefault="0060585A" w:rsidP="004D31F4">
            <w:pPr>
              <w:pStyle w:val="Caption"/>
              <w:keepNext/>
              <w:spacing w:before="60" w:after="60" w:line="276" w:lineRule="auto"/>
              <w:jc w:val="left"/>
              <w:rPr>
                <w:sz w:val="24"/>
                <w:szCs w:val="24"/>
              </w:rPr>
            </w:pPr>
            <w:bookmarkStart w:id="34" w:name="_Ref308467800"/>
            <w:r w:rsidRPr="00321D31">
              <w:rPr>
                <w:sz w:val="24"/>
                <w:szCs w:val="24"/>
              </w:rPr>
              <w:t xml:space="preserve">Figure </w:t>
            </w:r>
            <w:r w:rsidR="00185C05" w:rsidRPr="00321D31">
              <w:rPr>
                <w:sz w:val="24"/>
                <w:szCs w:val="24"/>
              </w:rPr>
              <w:fldChar w:fldCharType="begin"/>
            </w:r>
            <w:r w:rsidRPr="00321D31">
              <w:rPr>
                <w:sz w:val="24"/>
                <w:szCs w:val="24"/>
              </w:rPr>
              <w:instrText xml:space="preserve"> SEQ Figure \* ARABIC </w:instrText>
            </w:r>
            <w:r w:rsidR="00185C05" w:rsidRPr="00321D31">
              <w:rPr>
                <w:sz w:val="24"/>
                <w:szCs w:val="24"/>
              </w:rPr>
              <w:fldChar w:fldCharType="separate"/>
            </w:r>
            <w:r w:rsidRPr="00321D31">
              <w:rPr>
                <w:noProof/>
                <w:sz w:val="24"/>
                <w:szCs w:val="24"/>
              </w:rPr>
              <w:t>34</w:t>
            </w:r>
            <w:r w:rsidR="00185C05" w:rsidRPr="00321D31">
              <w:rPr>
                <w:sz w:val="24"/>
                <w:szCs w:val="24"/>
              </w:rPr>
              <w:fldChar w:fldCharType="end"/>
            </w:r>
            <w:bookmarkEnd w:id="34"/>
            <w:r w:rsidRPr="00321D31">
              <w:rPr>
                <w:sz w:val="24"/>
                <w:szCs w:val="24"/>
              </w:rPr>
              <w:t>. Cumulative Gross Capital Inflows, EU11 (€ billions)</w:t>
            </w:r>
          </w:p>
        </w:tc>
        <w:tc>
          <w:tcPr>
            <w:tcW w:w="4663" w:type="dxa"/>
          </w:tcPr>
          <w:p w:rsidR="0060585A" w:rsidRPr="00321D31" w:rsidRDefault="0060585A" w:rsidP="004D31F4">
            <w:pPr>
              <w:pStyle w:val="Caption"/>
              <w:keepNext/>
              <w:spacing w:before="60" w:after="60" w:line="276" w:lineRule="auto"/>
              <w:jc w:val="left"/>
              <w:rPr>
                <w:sz w:val="24"/>
                <w:szCs w:val="24"/>
                <w:lang w:val="fr-FR"/>
              </w:rPr>
            </w:pPr>
            <w:bookmarkStart w:id="35" w:name="_Ref308467976"/>
            <w:r w:rsidRPr="00321D31">
              <w:rPr>
                <w:sz w:val="24"/>
                <w:szCs w:val="24"/>
                <w:lang w:val="fr-FR"/>
              </w:rPr>
              <w:t xml:space="preserve">Figure </w:t>
            </w:r>
            <w:r w:rsidR="00185C05" w:rsidRPr="00321D31">
              <w:rPr>
                <w:sz w:val="24"/>
                <w:szCs w:val="24"/>
                <w:lang w:val="fr-FR"/>
              </w:rPr>
              <w:fldChar w:fldCharType="begin"/>
            </w:r>
            <w:r w:rsidRPr="00321D31">
              <w:rPr>
                <w:sz w:val="24"/>
                <w:szCs w:val="24"/>
                <w:lang w:val="fr-FR"/>
              </w:rPr>
              <w:instrText xml:space="preserve"> SEQ Figure \* ARABIC </w:instrText>
            </w:r>
            <w:r w:rsidR="00185C05" w:rsidRPr="00321D31">
              <w:rPr>
                <w:sz w:val="24"/>
                <w:szCs w:val="24"/>
                <w:lang w:val="fr-FR"/>
              </w:rPr>
              <w:fldChar w:fldCharType="separate"/>
            </w:r>
            <w:r w:rsidRPr="00321D31">
              <w:rPr>
                <w:noProof/>
                <w:sz w:val="24"/>
                <w:szCs w:val="24"/>
                <w:lang w:val="fr-FR"/>
              </w:rPr>
              <w:t>35</w:t>
            </w:r>
            <w:r w:rsidR="00185C05" w:rsidRPr="00321D31">
              <w:rPr>
                <w:sz w:val="24"/>
                <w:szCs w:val="24"/>
                <w:lang w:val="fr-FR"/>
              </w:rPr>
              <w:fldChar w:fldCharType="end"/>
            </w:r>
            <w:bookmarkEnd w:id="35"/>
            <w:r w:rsidRPr="00321D31">
              <w:rPr>
                <w:sz w:val="24"/>
                <w:szCs w:val="24"/>
                <w:lang w:val="fr-FR"/>
              </w:rPr>
              <w:t xml:space="preserve">. </w:t>
            </w:r>
            <w:r w:rsidRPr="00321D31">
              <w:rPr>
                <w:sz w:val="24"/>
              </w:rPr>
              <w:t>Foreign</w:t>
            </w:r>
            <w:r w:rsidRPr="00321D31">
              <w:rPr>
                <w:sz w:val="24"/>
                <w:szCs w:val="24"/>
                <w:lang w:val="fr-FR"/>
              </w:rPr>
              <w:t xml:space="preserve"> Bank Claims </w:t>
            </w:r>
            <w:r>
              <w:rPr>
                <w:sz w:val="24"/>
                <w:szCs w:val="24"/>
                <w:lang w:val="fr-FR"/>
              </w:rPr>
              <w:br/>
            </w:r>
            <w:r w:rsidRPr="00321D31">
              <w:rPr>
                <w:sz w:val="24"/>
                <w:szCs w:val="24"/>
                <w:lang w:val="fr-FR"/>
              </w:rPr>
              <w:t xml:space="preserve">on EU11 vis-à-vis </w:t>
            </w:r>
            <w:r w:rsidRPr="00321D31">
              <w:rPr>
                <w:sz w:val="24"/>
                <w:szCs w:val="24"/>
                <w:lang w:val="fr-BE"/>
              </w:rPr>
              <w:t>Banking</w:t>
            </w:r>
            <w:r w:rsidRPr="00321D31">
              <w:rPr>
                <w:sz w:val="24"/>
                <w:szCs w:val="24"/>
                <w:lang w:val="fr-FR"/>
              </w:rPr>
              <w:t xml:space="preserve"> Sector</w:t>
            </w:r>
          </w:p>
        </w:tc>
      </w:tr>
      <w:tr w:rsidR="0060585A" w:rsidRPr="00321D31" w:rsidTr="00004575">
        <w:trPr>
          <w:jc w:val="center"/>
        </w:trPr>
        <w:tc>
          <w:tcPr>
            <w:tcW w:w="4926" w:type="dxa"/>
          </w:tcPr>
          <w:p w:rsidR="0060585A" w:rsidRPr="00321D31" w:rsidRDefault="00A1042F" w:rsidP="00321D31">
            <w:pPr>
              <w:autoSpaceDE w:val="0"/>
              <w:autoSpaceDN w:val="0"/>
              <w:adjustRightInd w:val="0"/>
              <w:spacing w:line="276" w:lineRule="auto"/>
              <w:rPr>
                <w:b/>
              </w:rPr>
            </w:pPr>
            <w:r>
              <w:rPr>
                <w:b/>
                <w:noProof/>
              </w:rPr>
              <w:drawing>
                <wp:inline distT="0" distB="0" distL="0" distR="0">
                  <wp:extent cx="2990850" cy="1752600"/>
                  <wp:effectExtent l="19050" t="0" r="0" b="0"/>
                  <wp:docPr id="46"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8"/>
                          <a:srcRect/>
                          <a:stretch>
                            <a:fillRect/>
                          </a:stretch>
                        </pic:blipFill>
                        <pic:spPr bwMode="auto">
                          <a:xfrm>
                            <a:off x="0" y="0"/>
                            <a:ext cx="2990850" cy="1752600"/>
                          </a:xfrm>
                          <a:prstGeom prst="rect">
                            <a:avLst/>
                          </a:prstGeom>
                          <a:noFill/>
                          <a:ln w="9525">
                            <a:noFill/>
                            <a:miter lim="800000"/>
                            <a:headEnd/>
                            <a:tailEnd/>
                          </a:ln>
                        </pic:spPr>
                      </pic:pic>
                    </a:graphicData>
                  </a:graphic>
                </wp:inline>
              </w:drawing>
            </w:r>
          </w:p>
        </w:tc>
        <w:tc>
          <w:tcPr>
            <w:tcW w:w="4663" w:type="dxa"/>
          </w:tcPr>
          <w:p w:rsidR="0060585A" w:rsidRPr="00321D31" w:rsidRDefault="00A1042F" w:rsidP="00321D31">
            <w:pPr>
              <w:autoSpaceDE w:val="0"/>
              <w:autoSpaceDN w:val="0"/>
              <w:adjustRightInd w:val="0"/>
              <w:spacing w:line="276" w:lineRule="auto"/>
              <w:rPr>
                <w:b/>
                <w:highlight w:val="yellow"/>
              </w:rPr>
            </w:pPr>
            <w:r>
              <w:rPr>
                <w:b/>
                <w:noProof/>
              </w:rPr>
              <w:drawing>
                <wp:inline distT="0" distB="0" distL="0" distR="0">
                  <wp:extent cx="2781300" cy="171450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srcRect/>
                          <a:stretch>
                            <a:fillRect/>
                          </a:stretch>
                        </pic:blipFill>
                        <pic:spPr bwMode="auto">
                          <a:xfrm>
                            <a:off x="0" y="0"/>
                            <a:ext cx="2781300" cy="1714500"/>
                          </a:xfrm>
                          <a:prstGeom prst="rect">
                            <a:avLst/>
                          </a:prstGeom>
                          <a:noFill/>
                          <a:ln w="9525">
                            <a:noFill/>
                            <a:miter lim="800000"/>
                            <a:headEnd/>
                            <a:tailEnd/>
                          </a:ln>
                        </pic:spPr>
                      </pic:pic>
                    </a:graphicData>
                  </a:graphic>
                </wp:inline>
              </w:drawing>
            </w:r>
          </w:p>
        </w:tc>
      </w:tr>
      <w:tr w:rsidR="0060585A" w:rsidRPr="00321D31" w:rsidTr="00004575">
        <w:trPr>
          <w:jc w:val="center"/>
        </w:trPr>
        <w:tc>
          <w:tcPr>
            <w:tcW w:w="4926" w:type="dxa"/>
          </w:tcPr>
          <w:p w:rsidR="0060585A" w:rsidRPr="00321D31" w:rsidRDefault="0060585A" w:rsidP="00321D31">
            <w:pPr>
              <w:keepNext/>
              <w:spacing w:before="60" w:after="40" w:line="276" w:lineRule="auto"/>
              <w:rPr>
                <w:i/>
                <w:sz w:val="18"/>
                <w:szCs w:val="18"/>
              </w:rPr>
            </w:pPr>
            <w:r w:rsidRPr="00321D31">
              <w:rPr>
                <w:i/>
                <w:sz w:val="18"/>
                <w:szCs w:val="18"/>
              </w:rPr>
              <w:t xml:space="preserve">Source: </w:t>
            </w:r>
            <w:r w:rsidRPr="00321D31">
              <w:rPr>
                <w:sz w:val="18"/>
                <w:szCs w:val="18"/>
              </w:rPr>
              <w:t>Eurostat, World Bank staff calculations.</w:t>
            </w:r>
          </w:p>
        </w:tc>
        <w:tc>
          <w:tcPr>
            <w:tcW w:w="4663" w:type="dxa"/>
          </w:tcPr>
          <w:p w:rsidR="0060585A" w:rsidRPr="00321D31" w:rsidRDefault="0060585A" w:rsidP="00321D31">
            <w:pPr>
              <w:keepNext/>
              <w:spacing w:before="60" w:after="40" w:line="276" w:lineRule="auto"/>
              <w:rPr>
                <w:i/>
                <w:sz w:val="18"/>
                <w:szCs w:val="18"/>
              </w:rPr>
            </w:pPr>
            <w:r w:rsidRPr="00321D31">
              <w:rPr>
                <w:i/>
                <w:sz w:val="18"/>
                <w:szCs w:val="18"/>
              </w:rPr>
              <w:t xml:space="preserve">Source: </w:t>
            </w:r>
            <w:r w:rsidRPr="00321D31">
              <w:rPr>
                <w:sz w:val="18"/>
                <w:szCs w:val="18"/>
              </w:rPr>
              <w:t>BIS, World Bank staff calculations.</w:t>
            </w:r>
          </w:p>
        </w:tc>
      </w:tr>
    </w:tbl>
    <w:p w:rsidR="0060585A" w:rsidRDefault="0060585A" w:rsidP="00E41045">
      <w:pPr>
        <w:autoSpaceDE w:val="0"/>
        <w:autoSpaceDN w:val="0"/>
        <w:adjustRightInd w:val="0"/>
        <w:spacing w:before="120" w:after="120" w:line="276" w:lineRule="auto"/>
        <w:rPr>
          <w:rFonts w:cs="Estrangelo Edessa"/>
          <w:b/>
          <w:color w:val="000000"/>
        </w:rPr>
      </w:pPr>
    </w:p>
    <w:tbl>
      <w:tblPr>
        <w:tblpPr w:leftFromText="180" w:rightFromText="180" w:vertAnchor="text" w:horzAnchor="margin" w:tblpXSpec="right" w:tblpY="1392"/>
        <w:tblOverlap w:val="never"/>
        <w:tblW w:w="5724" w:type="dxa"/>
        <w:tblLook w:val="00A0"/>
      </w:tblPr>
      <w:tblGrid>
        <w:gridCol w:w="5724"/>
      </w:tblGrid>
      <w:tr w:rsidR="0060585A" w:rsidRPr="00321D31" w:rsidTr="004D31F4">
        <w:tc>
          <w:tcPr>
            <w:tcW w:w="5724" w:type="dxa"/>
          </w:tcPr>
          <w:p w:rsidR="0060585A" w:rsidRPr="00321D31" w:rsidRDefault="0060585A" w:rsidP="004D31F4">
            <w:pPr>
              <w:pStyle w:val="Caption"/>
              <w:keepNext/>
              <w:keepLines/>
              <w:spacing w:before="120" w:after="60" w:line="276" w:lineRule="auto"/>
              <w:jc w:val="left"/>
              <w:rPr>
                <w:sz w:val="24"/>
                <w:szCs w:val="24"/>
              </w:rPr>
            </w:pPr>
            <w:bookmarkStart w:id="36" w:name="_Ref327263137"/>
            <w:r w:rsidRPr="00321D31">
              <w:rPr>
                <w:sz w:val="24"/>
                <w:szCs w:val="24"/>
              </w:rPr>
              <w:t xml:space="preserve">Figure </w:t>
            </w:r>
            <w:r w:rsidR="00185C05" w:rsidRPr="00321D31">
              <w:rPr>
                <w:sz w:val="24"/>
                <w:szCs w:val="24"/>
              </w:rPr>
              <w:fldChar w:fldCharType="begin"/>
            </w:r>
            <w:r w:rsidRPr="00321D31">
              <w:rPr>
                <w:sz w:val="24"/>
                <w:szCs w:val="24"/>
              </w:rPr>
              <w:instrText xml:space="preserve"> SEQ Figure \* ARABIC </w:instrText>
            </w:r>
            <w:r w:rsidR="00185C05" w:rsidRPr="00321D31">
              <w:rPr>
                <w:sz w:val="24"/>
                <w:szCs w:val="24"/>
              </w:rPr>
              <w:fldChar w:fldCharType="separate"/>
            </w:r>
            <w:r w:rsidRPr="00321D31">
              <w:rPr>
                <w:noProof/>
                <w:sz w:val="24"/>
                <w:szCs w:val="24"/>
              </w:rPr>
              <w:t>36</w:t>
            </w:r>
            <w:r w:rsidR="00185C05" w:rsidRPr="00321D31">
              <w:rPr>
                <w:sz w:val="24"/>
                <w:szCs w:val="24"/>
              </w:rPr>
              <w:fldChar w:fldCharType="end"/>
            </w:r>
            <w:bookmarkEnd w:id="36"/>
            <w:r w:rsidRPr="00321D31">
              <w:rPr>
                <w:sz w:val="24"/>
                <w:szCs w:val="24"/>
              </w:rPr>
              <w:t>. Parent Bank CD Spreads</w:t>
            </w:r>
          </w:p>
        </w:tc>
      </w:tr>
      <w:tr w:rsidR="0060585A" w:rsidRPr="00321D31" w:rsidTr="004D31F4">
        <w:tc>
          <w:tcPr>
            <w:tcW w:w="5724" w:type="dxa"/>
          </w:tcPr>
          <w:p w:rsidR="0060585A" w:rsidRPr="00321D31" w:rsidRDefault="00A1042F" w:rsidP="004D31F4">
            <w:pPr>
              <w:keepNext/>
              <w:keepLines/>
              <w:autoSpaceDE w:val="0"/>
              <w:autoSpaceDN w:val="0"/>
              <w:adjustRightInd w:val="0"/>
              <w:spacing w:line="276" w:lineRule="auto"/>
              <w:jc w:val="left"/>
              <w:rPr>
                <w:b/>
              </w:rPr>
            </w:pPr>
            <w:r>
              <w:rPr>
                <w:b/>
                <w:noProof/>
              </w:rPr>
              <w:drawing>
                <wp:inline distT="0" distB="0" distL="0" distR="0">
                  <wp:extent cx="3352800" cy="2038350"/>
                  <wp:effectExtent l="19050" t="0" r="0" b="0"/>
                  <wp:docPr id="48"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0"/>
                          <a:srcRect/>
                          <a:stretch>
                            <a:fillRect/>
                          </a:stretch>
                        </pic:blipFill>
                        <pic:spPr bwMode="auto">
                          <a:xfrm>
                            <a:off x="0" y="0"/>
                            <a:ext cx="3352800" cy="2038350"/>
                          </a:xfrm>
                          <a:prstGeom prst="rect">
                            <a:avLst/>
                          </a:prstGeom>
                          <a:noFill/>
                          <a:ln w="9525">
                            <a:noFill/>
                            <a:miter lim="800000"/>
                            <a:headEnd/>
                            <a:tailEnd/>
                          </a:ln>
                        </pic:spPr>
                      </pic:pic>
                    </a:graphicData>
                  </a:graphic>
                </wp:inline>
              </w:drawing>
            </w:r>
          </w:p>
        </w:tc>
      </w:tr>
      <w:tr w:rsidR="0060585A" w:rsidRPr="00321D31" w:rsidTr="004D31F4">
        <w:tc>
          <w:tcPr>
            <w:tcW w:w="5724" w:type="dxa"/>
          </w:tcPr>
          <w:p w:rsidR="0060585A" w:rsidRPr="00321D31" w:rsidRDefault="0060585A" w:rsidP="00321D31">
            <w:pPr>
              <w:keepNext/>
              <w:keepLines/>
              <w:spacing w:before="60" w:after="40" w:line="276" w:lineRule="auto"/>
              <w:jc w:val="center"/>
              <w:rPr>
                <w:i/>
                <w:sz w:val="18"/>
                <w:szCs w:val="18"/>
              </w:rPr>
            </w:pPr>
            <w:r w:rsidRPr="00321D31">
              <w:rPr>
                <w:i/>
                <w:sz w:val="18"/>
                <w:szCs w:val="18"/>
              </w:rPr>
              <w:t xml:space="preserve">Source: </w:t>
            </w:r>
            <w:r w:rsidRPr="00321D31">
              <w:rPr>
                <w:sz w:val="18"/>
                <w:szCs w:val="18"/>
              </w:rPr>
              <w:t>Bloomberg, Reuters, World Bank staff calculations.</w:t>
            </w:r>
          </w:p>
        </w:tc>
      </w:tr>
    </w:tbl>
    <w:p w:rsidR="0060585A" w:rsidRPr="00EE5C71" w:rsidRDefault="0060585A" w:rsidP="00E41045">
      <w:pPr>
        <w:autoSpaceDE w:val="0"/>
        <w:autoSpaceDN w:val="0"/>
        <w:adjustRightInd w:val="0"/>
        <w:spacing w:before="120" w:after="120" w:line="276" w:lineRule="auto"/>
        <w:rPr>
          <w:rFonts w:cs="Estrangelo Edessa"/>
          <w:color w:val="000000"/>
        </w:rPr>
      </w:pPr>
      <w:r>
        <w:rPr>
          <w:rFonts w:cs="Estrangelo Edessa"/>
          <w:b/>
          <w:color w:val="000000"/>
        </w:rPr>
        <w:t xml:space="preserve">Funding pressures on </w:t>
      </w:r>
      <w:r w:rsidRPr="00EE5C71">
        <w:rPr>
          <w:rFonts w:cs="Estrangelo Edessa"/>
          <w:b/>
          <w:color w:val="000000"/>
        </w:rPr>
        <w:t xml:space="preserve">EU11 banks have </w:t>
      </w:r>
      <w:r>
        <w:rPr>
          <w:rFonts w:cs="Estrangelo Edessa"/>
          <w:b/>
          <w:color w:val="000000"/>
        </w:rPr>
        <w:t>intensified</w:t>
      </w:r>
      <w:r w:rsidRPr="00EE5C71">
        <w:rPr>
          <w:rFonts w:cs="Estrangelo Edessa"/>
          <w:color w:val="000000"/>
        </w:rPr>
        <w:t>.</w:t>
      </w:r>
      <w:r>
        <w:rPr>
          <w:rFonts w:cs="Estrangelo Edessa"/>
          <w:color w:val="000000"/>
        </w:rPr>
        <w:t xml:space="preserve"> After the two LTRO liquidity injections by the ECB, s</w:t>
      </w:r>
      <w:r w:rsidRPr="00EE5C71">
        <w:rPr>
          <w:rFonts w:cs="Estrangelo Edessa"/>
          <w:color w:val="000000"/>
        </w:rPr>
        <w:t>preads of dominant European banking groups operating in</w:t>
      </w:r>
      <w:r>
        <w:rPr>
          <w:rFonts w:cs="Estrangelo Edessa"/>
          <w:color w:val="000000"/>
        </w:rPr>
        <w:t xml:space="preserve"> EU11 countries declined. The positive developments were short-lived, however, as </w:t>
      </w:r>
      <w:r w:rsidRPr="00EE5C71">
        <w:rPr>
          <w:rFonts w:cs="Estrangelo Edessa"/>
          <w:color w:val="000000"/>
        </w:rPr>
        <w:t xml:space="preserve">tensions in </w:t>
      </w:r>
      <w:r>
        <w:rPr>
          <w:rFonts w:cs="Estrangelo Edessa"/>
          <w:color w:val="000000"/>
        </w:rPr>
        <w:t>e</w:t>
      </w:r>
      <w:r w:rsidRPr="00EE5C71">
        <w:rPr>
          <w:rFonts w:cs="Estrangelo Edessa"/>
          <w:color w:val="000000"/>
        </w:rPr>
        <w:t xml:space="preserve">uro area financial markets </w:t>
      </w:r>
      <w:r>
        <w:rPr>
          <w:rFonts w:cs="Estrangelo Edessa"/>
          <w:color w:val="000000"/>
        </w:rPr>
        <w:t xml:space="preserve">resurged </w:t>
      </w:r>
      <w:r w:rsidRPr="006C3906">
        <w:rPr>
          <w:bCs/>
        </w:rPr>
        <w:t>in spring 2012.</w:t>
      </w:r>
      <w:r>
        <w:rPr>
          <w:bCs/>
        </w:rPr>
        <w:t xml:space="preserve"> W</w:t>
      </w:r>
      <w:r w:rsidRPr="00EE5C71">
        <w:rPr>
          <w:bCs/>
        </w:rPr>
        <w:t>ith investor confidence in Europe</w:t>
      </w:r>
      <w:r>
        <w:rPr>
          <w:bCs/>
        </w:rPr>
        <w:t xml:space="preserve"> slipping</w:t>
      </w:r>
      <w:r w:rsidRPr="00EE5C71">
        <w:rPr>
          <w:bCs/>
        </w:rPr>
        <w:t xml:space="preserve">, funding </w:t>
      </w:r>
      <w:r>
        <w:rPr>
          <w:bCs/>
        </w:rPr>
        <w:t>costs went up (</w:t>
      </w:r>
      <w:fldSimple w:instr=" REF _Ref327263137 \h  \* MERGEFORMAT ">
        <w:r w:rsidRPr="005D6031">
          <w:rPr>
            <w:bCs/>
          </w:rPr>
          <w:t>Figure 36</w:t>
        </w:r>
      </w:fldSimple>
      <w:r>
        <w:rPr>
          <w:bCs/>
        </w:rPr>
        <w:t>)</w:t>
      </w:r>
      <w:r w:rsidRPr="00EE5C71">
        <w:rPr>
          <w:bCs/>
        </w:rPr>
        <w:t>, further pressur</w:t>
      </w:r>
      <w:r>
        <w:rPr>
          <w:bCs/>
        </w:rPr>
        <w:t>ing</w:t>
      </w:r>
      <w:r w:rsidRPr="00EE5C71">
        <w:rPr>
          <w:bCs/>
        </w:rPr>
        <w:t xml:space="preserve"> banks to shrink their balance sheets.</w:t>
      </w:r>
      <w:r>
        <w:rPr>
          <w:bCs/>
        </w:rPr>
        <w:t xml:space="preserve"> </w:t>
      </w:r>
      <w:r w:rsidRPr="00A23127">
        <w:rPr>
          <w:bCs/>
        </w:rPr>
        <w:t>Euro</w:t>
      </w:r>
      <w:r>
        <w:rPr>
          <w:bCs/>
        </w:rPr>
        <w:t xml:space="preserve"> area</w:t>
      </w:r>
      <w:r w:rsidRPr="00A23127">
        <w:rPr>
          <w:bCs/>
        </w:rPr>
        <w:t xml:space="preserve"> banks </w:t>
      </w:r>
      <w:r>
        <w:rPr>
          <w:bCs/>
        </w:rPr>
        <w:t>have also begun to reinforce their</w:t>
      </w:r>
      <w:r w:rsidRPr="00A23127">
        <w:rPr>
          <w:bCs/>
        </w:rPr>
        <w:t xml:space="preserve"> balance sheets</w:t>
      </w:r>
      <w:r>
        <w:rPr>
          <w:bCs/>
        </w:rPr>
        <w:t xml:space="preserve">, through, e.g., </w:t>
      </w:r>
      <w:r w:rsidRPr="00A23127">
        <w:rPr>
          <w:bCs/>
        </w:rPr>
        <w:t>stricter capital adequacy requirements</w:t>
      </w:r>
      <w:r>
        <w:rPr>
          <w:bCs/>
        </w:rPr>
        <w:t xml:space="preserve">. </w:t>
      </w:r>
      <w:r>
        <w:rPr>
          <w:rFonts w:cs="Estrangelo Edessa"/>
          <w:color w:val="000000"/>
        </w:rPr>
        <w:t>T</w:t>
      </w:r>
      <w:r w:rsidRPr="00EE5C71">
        <w:rPr>
          <w:rFonts w:cs="Estrangelo Edessa"/>
          <w:color w:val="000000"/>
        </w:rPr>
        <w:t xml:space="preserve">he cost </w:t>
      </w:r>
      <w:r>
        <w:rPr>
          <w:rFonts w:cs="Estrangelo Edessa"/>
          <w:color w:val="000000"/>
        </w:rPr>
        <w:t xml:space="preserve">for </w:t>
      </w:r>
      <w:r w:rsidRPr="00EE5C71">
        <w:rPr>
          <w:rFonts w:cs="Estrangelo Edessa"/>
          <w:color w:val="000000"/>
        </w:rPr>
        <w:t xml:space="preserve">parent funding </w:t>
      </w:r>
      <w:r>
        <w:rPr>
          <w:rFonts w:cs="Estrangelo Edessa"/>
          <w:color w:val="000000"/>
        </w:rPr>
        <w:t xml:space="preserve">to </w:t>
      </w:r>
      <w:r w:rsidRPr="00EE5C71">
        <w:rPr>
          <w:rFonts w:cs="Estrangelo Edessa"/>
          <w:color w:val="000000"/>
        </w:rPr>
        <w:t xml:space="preserve">subsidiaries in the EU11 has </w:t>
      </w:r>
      <w:r>
        <w:rPr>
          <w:rFonts w:cs="Estrangelo Edessa"/>
          <w:color w:val="000000"/>
        </w:rPr>
        <w:t xml:space="preserve">therefore </w:t>
      </w:r>
      <w:r w:rsidRPr="00EE5C71">
        <w:rPr>
          <w:rFonts w:cs="Estrangelo Edessa"/>
          <w:color w:val="000000"/>
        </w:rPr>
        <w:t>risen</w:t>
      </w:r>
      <w:r>
        <w:rPr>
          <w:rFonts w:cs="Estrangelo Edessa"/>
          <w:color w:val="000000"/>
        </w:rPr>
        <w:t>, and access has narrowed</w:t>
      </w:r>
      <w:r w:rsidRPr="00EE5C71">
        <w:rPr>
          <w:rFonts w:cs="Estrangelo Edessa"/>
          <w:color w:val="000000"/>
        </w:rPr>
        <w:t>.</w:t>
      </w:r>
    </w:p>
    <w:p w:rsidR="0060585A" w:rsidRDefault="0060585A" w:rsidP="00E41045">
      <w:pPr>
        <w:autoSpaceDE w:val="0"/>
        <w:autoSpaceDN w:val="0"/>
        <w:adjustRightInd w:val="0"/>
        <w:spacing w:before="120" w:after="120" w:line="276" w:lineRule="auto"/>
        <w:rPr>
          <w:szCs w:val="22"/>
        </w:rPr>
      </w:pPr>
      <w:r w:rsidRPr="009E680D">
        <w:rPr>
          <w:rFonts w:cs="Estrangelo Edessa"/>
          <w:b/>
        </w:rPr>
        <w:t xml:space="preserve">Credit growth in the EU11 </w:t>
      </w:r>
      <w:r>
        <w:rPr>
          <w:rFonts w:cs="Estrangelo Edessa"/>
          <w:b/>
        </w:rPr>
        <w:t xml:space="preserve">has been </w:t>
      </w:r>
      <w:r w:rsidRPr="009E680D">
        <w:rPr>
          <w:rFonts w:cs="Estrangelo Edessa"/>
          <w:b/>
        </w:rPr>
        <w:t>subdued</w:t>
      </w:r>
      <w:r w:rsidRPr="009E680D">
        <w:rPr>
          <w:rFonts w:cs="Estrangelo Edessa"/>
        </w:rPr>
        <w:t xml:space="preserve">. </w:t>
      </w:r>
      <w:r>
        <w:rPr>
          <w:rFonts w:cs="Estrangelo Edessa"/>
        </w:rPr>
        <w:t xml:space="preserve">As in the </w:t>
      </w:r>
      <w:r>
        <w:t xml:space="preserve">EU15 private sector credit in EU11 in March 2012 was about 6 percent below its pre-crisis peak in October 2008 </w:t>
      </w:r>
      <w:r w:rsidRPr="006C3906">
        <w:rPr>
          <w:szCs w:val="22"/>
        </w:rPr>
        <w:t>(</w:t>
      </w:r>
      <w:fldSimple w:instr=" REF _Ref325641641 \h  \* MERGEFORMAT ">
        <w:r w:rsidRPr="005D6031">
          <w:rPr>
            <w:szCs w:val="22"/>
          </w:rPr>
          <w:t>Figure 37</w:t>
        </w:r>
      </w:fldSimple>
      <w:r w:rsidRPr="006C3906">
        <w:rPr>
          <w:szCs w:val="22"/>
        </w:rPr>
        <w:t xml:space="preserve">). </w:t>
      </w:r>
      <w:r w:rsidRPr="009E680D">
        <w:rPr>
          <w:szCs w:val="22"/>
        </w:rPr>
        <w:t>The aggregate regional picture conceals large cross</w:t>
      </w:r>
      <w:r>
        <w:rPr>
          <w:szCs w:val="22"/>
        </w:rPr>
        <w:t>-</w:t>
      </w:r>
      <w:r w:rsidRPr="009E680D">
        <w:rPr>
          <w:szCs w:val="22"/>
        </w:rPr>
        <w:t>country differences.</w:t>
      </w:r>
      <w:r>
        <w:rPr>
          <w:szCs w:val="22"/>
        </w:rPr>
        <w:t xml:space="preserve"> </w:t>
      </w:r>
      <w:r w:rsidRPr="009E680D">
        <w:rPr>
          <w:szCs w:val="22"/>
        </w:rPr>
        <w:t xml:space="preserve"> </w:t>
      </w:r>
      <w:r>
        <w:rPr>
          <w:szCs w:val="22"/>
        </w:rPr>
        <w:t xml:space="preserve">In particular, credit is below the pre-crisis peak in </w:t>
      </w:r>
      <w:r w:rsidRPr="009E680D">
        <w:rPr>
          <w:szCs w:val="22"/>
        </w:rPr>
        <w:t>Hungary, Lithuania, Latvia, Estonia, Romania</w:t>
      </w:r>
      <w:r>
        <w:rPr>
          <w:szCs w:val="22"/>
        </w:rPr>
        <w:t>,</w:t>
      </w:r>
      <w:r w:rsidRPr="009E680D">
        <w:rPr>
          <w:szCs w:val="22"/>
        </w:rPr>
        <w:t xml:space="preserve"> and Slovenia.</w:t>
      </w:r>
      <w:r>
        <w:rPr>
          <w:szCs w:val="22"/>
        </w:rPr>
        <w:t xml:space="preserve"> </w:t>
      </w:r>
      <w:r w:rsidRPr="009E680D">
        <w:rPr>
          <w:szCs w:val="22"/>
        </w:rPr>
        <w:t>These are the countries where credit growth was particularly</w:t>
      </w:r>
      <w:r>
        <w:rPr>
          <w:szCs w:val="22"/>
        </w:rPr>
        <w:t xml:space="preserve"> strong</w:t>
      </w:r>
      <w:r w:rsidRPr="009E680D">
        <w:rPr>
          <w:szCs w:val="22"/>
        </w:rPr>
        <w:t xml:space="preserve"> prior to the 2008 financial crisis.</w:t>
      </w:r>
      <w:r>
        <w:rPr>
          <w:szCs w:val="22"/>
        </w:rPr>
        <w:t xml:space="preserve"> </w:t>
      </w:r>
      <w:r w:rsidRPr="009E680D">
        <w:rPr>
          <w:szCs w:val="22"/>
        </w:rPr>
        <w:t xml:space="preserve">In all </w:t>
      </w:r>
      <w:r>
        <w:rPr>
          <w:szCs w:val="22"/>
        </w:rPr>
        <w:t xml:space="preserve">these countries except </w:t>
      </w:r>
      <w:r w:rsidRPr="009E680D">
        <w:rPr>
          <w:szCs w:val="22"/>
        </w:rPr>
        <w:t>Romania</w:t>
      </w:r>
      <w:r>
        <w:rPr>
          <w:szCs w:val="22"/>
        </w:rPr>
        <w:t xml:space="preserve"> this was</w:t>
      </w:r>
      <w:r w:rsidRPr="009E680D">
        <w:rPr>
          <w:szCs w:val="22"/>
        </w:rPr>
        <w:t xml:space="preserve"> </w:t>
      </w:r>
      <w:r>
        <w:rPr>
          <w:szCs w:val="22"/>
        </w:rPr>
        <w:t>due</w:t>
      </w:r>
      <w:r w:rsidRPr="009E680D">
        <w:rPr>
          <w:szCs w:val="22"/>
        </w:rPr>
        <w:t xml:space="preserve"> to </w:t>
      </w:r>
      <w:r>
        <w:rPr>
          <w:szCs w:val="22"/>
        </w:rPr>
        <w:t xml:space="preserve">a </w:t>
      </w:r>
      <w:r w:rsidRPr="009E680D">
        <w:rPr>
          <w:szCs w:val="22"/>
        </w:rPr>
        <w:t xml:space="preserve">contraction in </w:t>
      </w:r>
      <w:r w:rsidRPr="009E680D">
        <w:rPr>
          <w:szCs w:val="22"/>
        </w:rPr>
        <w:lastRenderedPageBreak/>
        <w:t xml:space="preserve">credit to </w:t>
      </w:r>
      <w:r>
        <w:rPr>
          <w:szCs w:val="22"/>
        </w:rPr>
        <w:t xml:space="preserve">businesses rather </w:t>
      </w:r>
      <w:r w:rsidRPr="009E680D">
        <w:rPr>
          <w:szCs w:val="22"/>
        </w:rPr>
        <w:t>than households.</w:t>
      </w:r>
      <w:r>
        <w:rPr>
          <w:szCs w:val="22"/>
        </w:rPr>
        <w:t xml:space="preserve"> I</w:t>
      </w:r>
      <w:r w:rsidRPr="009E680D">
        <w:rPr>
          <w:szCs w:val="22"/>
        </w:rPr>
        <w:t>n Poland, Slovakia</w:t>
      </w:r>
      <w:r>
        <w:rPr>
          <w:szCs w:val="22"/>
        </w:rPr>
        <w:t>,</w:t>
      </w:r>
      <w:r w:rsidRPr="009E680D">
        <w:rPr>
          <w:szCs w:val="22"/>
        </w:rPr>
        <w:t xml:space="preserve"> and </w:t>
      </w:r>
      <w:r>
        <w:rPr>
          <w:szCs w:val="22"/>
        </w:rPr>
        <w:t xml:space="preserve">the </w:t>
      </w:r>
      <w:r w:rsidRPr="009E680D">
        <w:rPr>
          <w:szCs w:val="22"/>
        </w:rPr>
        <w:t>Czech Republic</w:t>
      </w:r>
      <w:r>
        <w:rPr>
          <w:szCs w:val="22"/>
        </w:rPr>
        <w:t>,</w:t>
      </w:r>
      <w:r w:rsidRPr="009E680D">
        <w:rPr>
          <w:szCs w:val="22"/>
        </w:rPr>
        <w:t xml:space="preserve"> </w:t>
      </w:r>
      <w:r>
        <w:rPr>
          <w:szCs w:val="22"/>
        </w:rPr>
        <w:t>fuelled by both household and corporate demand, private sector credit</w:t>
      </w:r>
      <w:r w:rsidRPr="009E680D">
        <w:rPr>
          <w:szCs w:val="22"/>
        </w:rPr>
        <w:t xml:space="preserve"> was 6 </w:t>
      </w:r>
      <w:r>
        <w:rPr>
          <w:szCs w:val="22"/>
        </w:rPr>
        <w:t xml:space="preserve">to </w:t>
      </w:r>
      <w:r w:rsidRPr="009E680D">
        <w:rPr>
          <w:szCs w:val="22"/>
        </w:rPr>
        <w:t>10 percent higher than in October 2008</w:t>
      </w:r>
      <w:r>
        <w:rPr>
          <w:szCs w:val="22"/>
        </w:rPr>
        <w:t xml:space="preserve"> (</w:t>
      </w:r>
      <w:fldSimple w:instr=" REF _Ref325641709 \h  \* MERGEFORMAT ">
        <w:r w:rsidRPr="005D6031">
          <w:rPr>
            <w:szCs w:val="22"/>
          </w:rPr>
          <w:t>Figure 38</w:t>
        </w:r>
      </w:fldSimple>
      <w:r>
        <w:rPr>
          <w:szCs w:val="22"/>
        </w:rPr>
        <w:t xml:space="preserve">). In Bulgaria and Croatia, overall private sector </w:t>
      </w:r>
      <w:r w:rsidRPr="009E680D">
        <w:rPr>
          <w:szCs w:val="22"/>
        </w:rPr>
        <w:t xml:space="preserve">credit </w:t>
      </w:r>
      <w:r>
        <w:rPr>
          <w:szCs w:val="22"/>
        </w:rPr>
        <w:t xml:space="preserve">remained flat as positive spur in corporate </w:t>
      </w:r>
      <w:r w:rsidRPr="009E680D">
        <w:rPr>
          <w:szCs w:val="22"/>
        </w:rPr>
        <w:t>loans</w:t>
      </w:r>
      <w:r>
        <w:rPr>
          <w:szCs w:val="22"/>
        </w:rPr>
        <w:t xml:space="preserve"> offset the negative growth of credit to households. </w:t>
      </w:r>
    </w:p>
    <w:tbl>
      <w:tblPr>
        <w:tblpPr w:leftFromText="180" w:rightFromText="180" w:vertAnchor="text" w:horzAnchor="margin" w:tblpY="142"/>
        <w:tblW w:w="9828" w:type="dxa"/>
        <w:tblLook w:val="00A0"/>
      </w:tblPr>
      <w:tblGrid>
        <w:gridCol w:w="4788"/>
        <w:gridCol w:w="5040"/>
      </w:tblGrid>
      <w:tr w:rsidR="0060585A" w:rsidRPr="00321D31" w:rsidTr="00004575">
        <w:trPr>
          <w:trHeight w:val="750"/>
        </w:trPr>
        <w:tc>
          <w:tcPr>
            <w:tcW w:w="4788" w:type="dxa"/>
          </w:tcPr>
          <w:p w:rsidR="0060585A" w:rsidRPr="00321D31" w:rsidRDefault="0060585A" w:rsidP="004D31F4">
            <w:pPr>
              <w:pStyle w:val="Caption"/>
              <w:keepNext/>
              <w:keepLines/>
              <w:spacing w:before="60" w:after="60" w:line="276" w:lineRule="auto"/>
              <w:jc w:val="left"/>
              <w:rPr>
                <w:sz w:val="22"/>
                <w:szCs w:val="22"/>
              </w:rPr>
            </w:pPr>
            <w:bookmarkStart w:id="37" w:name="_Ref325641641"/>
            <w:r w:rsidRPr="00321D31">
              <w:rPr>
                <w:sz w:val="22"/>
                <w:szCs w:val="22"/>
              </w:rPr>
              <w:t xml:space="preserve">Figure </w:t>
            </w:r>
            <w:r w:rsidR="00185C05" w:rsidRPr="00321D31">
              <w:rPr>
                <w:sz w:val="22"/>
                <w:szCs w:val="22"/>
              </w:rPr>
              <w:fldChar w:fldCharType="begin"/>
            </w:r>
            <w:r w:rsidRPr="00321D31">
              <w:rPr>
                <w:sz w:val="22"/>
                <w:szCs w:val="22"/>
              </w:rPr>
              <w:instrText xml:space="preserve"> SEQ Figure \* ARABIC </w:instrText>
            </w:r>
            <w:r w:rsidR="00185C05" w:rsidRPr="00321D31">
              <w:rPr>
                <w:sz w:val="22"/>
                <w:szCs w:val="22"/>
              </w:rPr>
              <w:fldChar w:fldCharType="separate"/>
            </w:r>
            <w:r w:rsidRPr="00321D31">
              <w:rPr>
                <w:noProof/>
                <w:sz w:val="22"/>
                <w:szCs w:val="22"/>
              </w:rPr>
              <w:t>37</w:t>
            </w:r>
            <w:r w:rsidR="00185C05" w:rsidRPr="00321D31">
              <w:rPr>
                <w:sz w:val="22"/>
                <w:szCs w:val="22"/>
              </w:rPr>
              <w:fldChar w:fldCharType="end"/>
            </w:r>
            <w:bookmarkEnd w:id="37"/>
            <w:r w:rsidRPr="00321D31">
              <w:rPr>
                <w:sz w:val="22"/>
                <w:szCs w:val="22"/>
              </w:rPr>
              <w:t>. Real Credit Growth, EU11 and EU15, (Index: Oct 2008=100)</w:t>
            </w:r>
          </w:p>
        </w:tc>
        <w:tc>
          <w:tcPr>
            <w:tcW w:w="5040" w:type="dxa"/>
          </w:tcPr>
          <w:p w:rsidR="0060585A" w:rsidRPr="00321D31" w:rsidRDefault="0060585A" w:rsidP="004D31F4">
            <w:pPr>
              <w:pStyle w:val="Caption"/>
              <w:keepNext/>
              <w:keepLines/>
              <w:spacing w:before="60" w:after="60" w:line="276" w:lineRule="auto"/>
              <w:jc w:val="left"/>
              <w:rPr>
                <w:sz w:val="22"/>
                <w:szCs w:val="22"/>
              </w:rPr>
            </w:pPr>
            <w:bookmarkStart w:id="38" w:name="_Ref325641709"/>
            <w:r w:rsidRPr="00321D31">
              <w:rPr>
                <w:sz w:val="22"/>
                <w:szCs w:val="22"/>
              </w:rPr>
              <w:t xml:space="preserve">Figure </w:t>
            </w:r>
            <w:r w:rsidR="00185C05" w:rsidRPr="00321D31">
              <w:rPr>
                <w:sz w:val="22"/>
                <w:szCs w:val="22"/>
              </w:rPr>
              <w:fldChar w:fldCharType="begin"/>
            </w:r>
            <w:r w:rsidRPr="00321D31">
              <w:rPr>
                <w:sz w:val="22"/>
                <w:szCs w:val="22"/>
              </w:rPr>
              <w:instrText xml:space="preserve"> SEQ Figure \* ARABIC </w:instrText>
            </w:r>
            <w:r w:rsidR="00185C05" w:rsidRPr="00321D31">
              <w:rPr>
                <w:sz w:val="22"/>
                <w:szCs w:val="22"/>
              </w:rPr>
              <w:fldChar w:fldCharType="separate"/>
            </w:r>
            <w:r w:rsidRPr="00321D31">
              <w:rPr>
                <w:noProof/>
                <w:sz w:val="22"/>
                <w:szCs w:val="22"/>
              </w:rPr>
              <w:t>38</w:t>
            </w:r>
            <w:r w:rsidR="00185C05" w:rsidRPr="00321D31">
              <w:rPr>
                <w:sz w:val="22"/>
                <w:szCs w:val="22"/>
              </w:rPr>
              <w:fldChar w:fldCharType="end"/>
            </w:r>
            <w:bookmarkEnd w:id="38"/>
            <w:r w:rsidRPr="00321D31">
              <w:rPr>
                <w:sz w:val="22"/>
                <w:szCs w:val="22"/>
              </w:rPr>
              <w:t>. Composition of Real Credit Growth. EU11 and EU15, Oct 2008–Mar 2012</w:t>
            </w:r>
          </w:p>
        </w:tc>
      </w:tr>
      <w:tr w:rsidR="0060585A" w:rsidRPr="00321D31" w:rsidTr="00004575">
        <w:trPr>
          <w:trHeight w:val="3250"/>
        </w:trPr>
        <w:tc>
          <w:tcPr>
            <w:tcW w:w="4788" w:type="dxa"/>
          </w:tcPr>
          <w:p w:rsidR="0060585A" w:rsidRPr="00321D31" w:rsidRDefault="00A1042F" w:rsidP="00004575">
            <w:pPr>
              <w:keepNext/>
              <w:keepLines/>
              <w:autoSpaceDE w:val="0"/>
              <w:autoSpaceDN w:val="0"/>
              <w:adjustRightInd w:val="0"/>
              <w:spacing w:line="276" w:lineRule="auto"/>
              <w:rPr>
                <w:b/>
              </w:rPr>
            </w:pPr>
            <w:r>
              <w:rPr>
                <w:b/>
                <w:noProof/>
              </w:rPr>
              <w:drawing>
                <wp:inline distT="0" distB="0" distL="0" distR="0">
                  <wp:extent cx="2838450" cy="1790700"/>
                  <wp:effectExtent l="19050" t="0" r="0" b="0"/>
                  <wp:docPr id="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61"/>
                          <a:srcRect/>
                          <a:stretch>
                            <a:fillRect/>
                          </a:stretch>
                        </pic:blipFill>
                        <pic:spPr bwMode="auto">
                          <a:xfrm>
                            <a:off x="0" y="0"/>
                            <a:ext cx="2838450" cy="1790700"/>
                          </a:xfrm>
                          <a:prstGeom prst="rect">
                            <a:avLst/>
                          </a:prstGeom>
                          <a:noFill/>
                          <a:ln w="9525">
                            <a:noFill/>
                            <a:miter lim="800000"/>
                            <a:headEnd/>
                            <a:tailEnd/>
                          </a:ln>
                        </pic:spPr>
                      </pic:pic>
                    </a:graphicData>
                  </a:graphic>
                </wp:inline>
              </w:drawing>
            </w:r>
          </w:p>
        </w:tc>
        <w:tc>
          <w:tcPr>
            <w:tcW w:w="5040" w:type="dxa"/>
          </w:tcPr>
          <w:p w:rsidR="0060585A" w:rsidRPr="00321D31" w:rsidRDefault="00A1042F" w:rsidP="00004575">
            <w:pPr>
              <w:keepNext/>
              <w:keepLines/>
              <w:autoSpaceDE w:val="0"/>
              <w:autoSpaceDN w:val="0"/>
              <w:adjustRightInd w:val="0"/>
              <w:spacing w:line="276" w:lineRule="auto"/>
              <w:rPr>
                <w:b/>
              </w:rPr>
            </w:pPr>
            <w:r>
              <w:rPr>
                <w:b/>
                <w:noProof/>
              </w:rPr>
              <w:drawing>
                <wp:inline distT="0" distB="0" distL="0" distR="0">
                  <wp:extent cx="2990850" cy="1790700"/>
                  <wp:effectExtent l="19050" t="0" r="0" b="0"/>
                  <wp:docPr id="50"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2"/>
                          <a:srcRect/>
                          <a:stretch>
                            <a:fillRect/>
                          </a:stretch>
                        </pic:blipFill>
                        <pic:spPr bwMode="auto">
                          <a:xfrm>
                            <a:off x="0" y="0"/>
                            <a:ext cx="2990850" cy="1790700"/>
                          </a:xfrm>
                          <a:prstGeom prst="rect">
                            <a:avLst/>
                          </a:prstGeom>
                          <a:noFill/>
                          <a:ln w="9525">
                            <a:noFill/>
                            <a:miter lim="800000"/>
                            <a:headEnd/>
                            <a:tailEnd/>
                          </a:ln>
                        </pic:spPr>
                      </pic:pic>
                    </a:graphicData>
                  </a:graphic>
                </wp:inline>
              </w:drawing>
            </w:r>
          </w:p>
        </w:tc>
      </w:tr>
      <w:tr w:rsidR="0060585A" w:rsidRPr="00321D31" w:rsidTr="00004575">
        <w:trPr>
          <w:trHeight w:val="364"/>
        </w:trPr>
        <w:tc>
          <w:tcPr>
            <w:tcW w:w="4788" w:type="dxa"/>
          </w:tcPr>
          <w:p w:rsidR="0060585A" w:rsidRPr="00321D31" w:rsidRDefault="0060585A" w:rsidP="00004575">
            <w:pPr>
              <w:keepNext/>
              <w:keepLines/>
              <w:spacing w:before="60" w:after="40" w:line="276" w:lineRule="auto"/>
              <w:rPr>
                <w:i/>
                <w:sz w:val="18"/>
                <w:szCs w:val="18"/>
              </w:rPr>
            </w:pPr>
            <w:r w:rsidRPr="00321D31">
              <w:rPr>
                <w:i/>
                <w:sz w:val="18"/>
                <w:szCs w:val="18"/>
              </w:rPr>
              <w:t xml:space="preserve">Source: </w:t>
            </w:r>
            <w:r w:rsidRPr="00321D31">
              <w:rPr>
                <w:sz w:val="18"/>
                <w:szCs w:val="18"/>
              </w:rPr>
              <w:t>ECB, World Bank staff calculations.</w:t>
            </w:r>
          </w:p>
        </w:tc>
        <w:tc>
          <w:tcPr>
            <w:tcW w:w="5040" w:type="dxa"/>
          </w:tcPr>
          <w:p w:rsidR="0060585A" w:rsidRPr="00321D31" w:rsidRDefault="0060585A" w:rsidP="00004575">
            <w:pPr>
              <w:keepNext/>
              <w:keepLines/>
              <w:spacing w:before="60" w:after="40" w:line="276" w:lineRule="auto"/>
              <w:rPr>
                <w:i/>
                <w:sz w:val="18"/>
                <w:szCs w:val="18"/>
              </w:rPr>
            </w:pPr>
            <w:r w:rsidRPr="00321D31">
              <w:rPr>
                <w:i/>
                <w:sz w:val="18"/>
                <w:szCs w:val="18"/>
              </w:rPr>
              <w:t xml:space="preserve">Source: </w:t>
            </w:r>
            <w:r w:rsidRPr="00321D31">
              <w:rPr>
                <w:sz w:val="18"/>
                <w:szCs w:val="18"/>
              </w:rPr>
              <w:t>ECB, World Bank staff calculations.</w:t>
            </w:r>
          </w:p>
        </w:tc>
      </w:tr>
    </w:tbl>
    <w:p w:rsidR="0060585A" w:rsidRDefault="0060585A" w:rsidP="006804CF">
      <w:pPr>
        <w:spacing w:after="120"/>
        <w:rPr>
          <w:rFonts w:cs="Estrangelo Edessa"/>
          <w:b/>
          <w:color w:val="000000"/>
        </w:rPr>
      </w:pPr>
    </w:p>
    <w:tbl>
      <w:tblPr>
        <w:tblpPr w:leftFromText="180" w:rightFromText="180" w:vertAnchor="text" w:horzAnchor="page" w:tblpX="6229" w:tblpY="89"/>
        <w:tblW w:w="5040" w:type="dxa"/>
        <w:tblLook w:val="00A0"/>
      </w:tblPr>
      <w:tblGrid>
        <w:gridCol w:w="5040"/>
      </w:tblGrid>
      <w:tr w:rsidR="0060585A" w:rsidRPr="00321D31" w:rsidTr="004D31F4">
        <w:tc>
          <w:tcPr>
            <w:tcW w:w="5040" w:type="dxa"/>
          </w:tcPr>
          <w:p w:rsidR="0060585A" w:rsidRPr="00321D31" w:rsidRDefault="0060585A" w:rsidP="004D31F4">
            <w:pPr>
              <w:pStyle w:val="Caption"/>
              <w:keepNext/>
              <w:spacing w:before="120" w:after="60" w:line="276" w:lineRule="auto"/>
              <w:jc w:val="left"/>
              <w:rPr>
                <w:sz w:val="22"/>
                <w:szCs w:val="22"/>
              </w:rPr>
            </w:pPr>
            <w:bookmarkStart w:id="39" w:name="_Ref328235411"/>
            <w:r w:rsidRPr="00321D31">
              <w:rPr>
                <w:sz w:val="22"/>
                <w:szCs w:val="22"/>
              </w:rPr>
              <w:t xml:space="preserve">Figure </w:t>
            </w:r>
            <w:r w:rsidR="00185C05" w:rsidRPr="00321D31">
              <w:rPr>
                <w:sz w:val="22"/>
                <w:szCs w:val="22"/>
              </w:rPr>
              <w:fldChar w:fldCharType="begin"/>
            </w:r>
            <w:r w:rsidRPr="00321D31">
              <w:rPr>
                <w:sz w:val="22"/>
                <w:szCs w:val="22"/>
              </w:rPr>
              <w:instrText xml:space="preserve"> SEQ Figure \* ARABIC </w:instrText>
            </w:r>
            <w:r w:rsidR="00185C05" w:rsidRPr="00321D31">
              <w:rPr>
                <w:sz w:val="22"/>
                <w:szCs w:val="22"/>
              </w:rPr>
              <w:fldChar w:fldCharType="separate"/>
            </w:r>
            <w:r w:rsidRPr="00321D31">
              <w:rPr>
                <w:noProof/>
                <w:sz w:val="22"/>
                <w:szCs w:val="22"/>
              </w:rPr>
              <w:t>39</w:t>
            </w:r>
            <w:r w:rsidR="00185C05" w:rsidRPr="00321D31">
              <w:rPr>
                <w:sz w:val="22"/>
                <w:szCs w:val="22"/>
              </w:rPr>
              <w:fldChar w:fldCharType="end"/>
            </w:r>
            <w:bookmarkEnd w:id="39"/>
            <w:r w:rsidRPr="00321D31">
              <w:rPr>
                <w:sz w:val="22"/>
                <w:szCs w:val="22"/>
              </w:rPr>
              <w:t>. Emerging Europe Bank Lending Conditions Index, by Categories (50=neutral)</w:t>
            </w:r>
          </w:p>
        </w:tc>
      </w:tr>
      <w:tr w:rsidR="0060585A" w:rsidRPr="00321D31" w:rsidTr="004D31F4">
        <w:tc>
          <w:tcPr>
            <w:tcW w:w="5040" w:type="dxa"/>
          </w:tcPr>
          <w:p w:rsidR="0060585A" w:rsidRPr="00321D31" w:rsidRDefault="00A1042F" w:rsidP="004D31F4">
            <w:pPr>
              <w:autoSpaceDE w:val="0"/>
              <w:autoSpaceDN w:val="0"/>
              <w:adjustRightInd w:val="0"/>
              <w:spacing w:line="276" w:lineRule="auto"/>
              <w:rPr>
                <w:b/>
              </w:rPr>
            </w:pPr>
            <w:r>
              <w:rPr>
                <w:b/>
                <w:noProof/>
              </w:rPr>
              <w:drawing>
                <wp:inline distT="0" distB="0" distL="0" distR="0">
                  <wp:extent cx="3028950" cy="182880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srcRect/>
                          <a:stretch>
                            <a:fillRect/>
                          </a:stretch>
                        </pic:blipFill>
                        <pic:spPr bwMode="auto">
                          <a:xfrm>
                            <a:off x="0" y="0"/>
                            <a:ext cx="3028950" cy="1828800"/>
                          </a:xfrm>
                          <a:prstGeom prst="rect">
                            <a:avLst/>
                          </a:prstGeom>
                          <a:noFill/>
                          <a:ln w="9525">
                            <a:noFill/>
                            <a:miter lim="800000"/>
                            <a:headEnd/>
                            <a:tailEnd/>
                          </a:ln>
                        </pic:spPr>
                      </pic:pic>
                    </a:graphicData>
                  </a:graphic>
                </wp:inline>
              </w:drawing>
            </w:r>
          </w:p>
        </w:tc>
      </w:tr>
      <w:tr w:rsidR="0060585A" w:rsidRPr="00321D31" w:rsidTr="004D31F4">
        <w:tc>
          <w:tcPr>
            <w:tcW w:w="5040" w:type="dxa"/>
          </w:tcPr>
          <w:p w:rsidR="0060585A" w:rsidRPr="00321D31" w:rsidRDefault="0060585A" w:rsidP="004D31F4">
            <w:pPr>
              <w:keepNext/>
              <w:spacing w:before="60" w:after="40" w:line="276" w:lineRule="auto"/>
              <w:rPr>
                <w:i/>
                <w:sz w:val="18"/>
                <w:szCs w:val="18"/>
              </w:rPr>
            </w:pPr>
            <w:r w:rsidRPr="00321D31">
              <w:rPr>
                <w:i/>
                <w:sz w:val="18"/>
                <w:szCs w:val="18"/>
              </w:rPr>
              <w:t>Source: IIF</w:t>
            </w:r>
          </w:p>
        </w:tc>
      </w:tr>
    </w:tbl>
    <w:p w:rsidR="0060585A" w:rsidRDefault="0060585A" w:rsidP="006804CF">
      <w:pPr>
        <w:spacing w:after="120"/>
      </w:pPr>
      <w:r w:rsidRPr="00EE5C71">
        <w:rPr>
          <w:rFonts w:cs="Estrangelo Edessa"/>
          <w:b/>
          <w:color w:val="000000"/>
        </w:rPr>
        <w:t xml:space="preserve">EU11 credit growth </w:t>
      </w:r>
      <w:r>
        <w:rPr>
          <w:rFonts w:cs="Estrangelo Edessa"/>
          <w:b/>
          <w:color w:val="000000"/>
        </w:rPr>
        <w:t xml:space="preserve">has been </w:t>
      </w:r>
      <w:r w:rsidRPr="00EE5C71">
        <w:rPr>
          <w:rFonts w:cs="Estrangelo Edessa"/>
          <w:b/>
          <w:color w:val="000000"/>
        </w:rPr>
        <w:t xml:space="preserve">constrained by supply </w:t>
      </w:r>
      <w:r>
        <w:rPr>
          <w:rFonts w:cs="Estrangelo Edessa"/>
          <w:b/>
          <w:color w:val="000000"/>
        </w:rPr>
        <w:t xml:space="preserve">and demand </w:t>
      </w:r>
      <w:r w:rsidRPr="00EE5C71">
        <w:rPr>
          <w:rFonts w:cs="Estrangelo Edessa"/>
          <w:b/>
          <w:color w:val="000000"/>
        </w:rPr>
        <w:t>factors.</w:t>
      </w:r>
      <w:r w:rsidRPr="00EE5C71">
        <w:rPr>
          <w:b/>
        </w:rPr>
        <w:t xml:space="preserve"> </w:t>
      </w:r>
      <w:r w:rsidRPr="00EE5C71">
        <w:t xml:space="preserve">Tensions surrounding the European economic outlook and </w:t>
      </w:r>
      <w:r>
        <w:t>e</w:t>
      </w:r>
      <w:r w:rsidRPr="00EE5C71">
        <w:t xml:space="preserve">uro area banks have </w:t>
      </w:r>
      <w:r>
        <w:t xml:space="preserve">inevitably </w:t>
      </w:r>
      <w:r w:rsidRPr="00EE5C71">
        <w:t xml:space="preserve">impacted </w:t>
      </w:r>
      <w:r>
        <w:t xml:space="preserve">EU11 </w:t>
      </w:r>
      <w:r w:rsidRPr="00EE5C71">
        <w:t xml:space="preserve">credit conditions. Banks </w:t>
      </w:r>
      <w:r>
        <w:t xml:space="preserve">remain </w:t>
      </w:r>
      <w:r w:rsidRPr="00EE5C71">
        <w:t>cautious in their lending practices and apply tougher lending standard</w:t>
      </w:r>
      <w:r w:rsidRPr="001246D7">
        <w:t>s, particularly for corporate loans</w:t>
      </w:r>
      <w:r>
        <w:t xml:space="preserve"> (</w:t>
      </w:r>
      <w:r w:rsidR="00185C05">
        <w:fldChar w:fldCharType="begin"/>
      </w:r>
      <w:r>
        <w:instrText xml:space="preserve"> REF _Ref328235411 \h </w:instrText>
      </w:r>
      <w:r w:rsidR="00185C05">
        <w:fldChar w:fldCharType="separate"/>
      </w:r>
      <w:r w:rsidRPr="00765A45">
        <w:rPr>
          <w:sz w:val="22"/>
          <w:szCs w:val="22"/>
        </w:rPr>
        <w:t xml:space="preserve">Figure </w:t>
      </w:r>
      <w:r>
        <w:rPr>
          <w:noProof/>
          <w:sz w:val="22"/>
          <w:szCs w:val="22"/>
        </w:rPr>
        <w:t>39</w:t>
      </w:r>
      <w:r w:rsidR="00185C05">
        <w:fldChar w:fldCharType="end"/>
      </w:r>
      <w:r>
        <w:t>)</w:t>
      </w:r>
      <w:r w:rsidRPr="001246D7">
        <w:t xml:space="preserve">. </w:t>
      </w:r>
      <w:r>
        <w:t xml:space="preserve">At the same time, </w:t>
      </w:r>
      <w:r w:rsidRPr="009E680D">
        <w:t xml:space="preserve">with </w:t>
      </w:r>
      <w:r>
        <w:t xml:space="preserve">slacking </w:t>
      </w:r>
      <w:r w:rsidRPr="009E680D">
        <w:t>economic activity and household and compan</w:t>
      </w:r>
      <w:r>
        <w:t>y</w:t>
      </w:r>
      <w:r w:rsidRPr="009E680D">
        <w:t xml:space="preserve"> balance sheets </w:t>
      </w:r>
      <w:r>
        <w:t xml:space="preserve">not yet repaired </w:t>
      </w:r>
      <w:r w:rsidRPr="009E680D">
        <w:t>in some EU11 countries,</w:t>
      </w:r>
      <w:r>
        <w:t xml:space="preserve"> </w:t>
      </w:r>
      <w:r w:rsidRPr="009E680D">
        <w:t xml:space="preserve">demand for </w:t>
      </w:r>
      <w:r>
        <w:t xml:space="preserve">both </w:t>
      </w:r>
      <w:r w:rsidRPr="009E680D">
        <w:t xml:space="preserve">household and corporate loans has </w:t>
      </w:r>
      <w:r>
        <w:t xml:space="preserve">remained weak in </w:t>
      </w:r>
      <w:r w:rsidRPr="009E680D">
        <w:t xml:space="preserve">segments of the EU11 economy. </w:t>
      </w:r>
    </w:p>
    <w:p w:rsidR="0060585A" w:rsidRDefault="0060585A" w:rsidP="00E41045">
      <w:pPr>
        <w:autoSpaceDE w:val="0"/>
        <w:autoSpaceDN w:val="0"/>
        <w:adjustRightInd w:val="0"/>
        <w:spacing w:before="120" w:after="120" w:line="276" w:lineRule="auto"/>
        <w:rPr>
          <w:rFonts w:cs="Estrangelo Edessa"/>
          <w:b/>
          <w:color w:val="000000"/>
        </w:rPr>
      </w:pPr>
    </w:p>
    <w:p w:rsidR="0060585A" w:rsidRDefault="0060585A" w:rsidP="00E41045">
      <w:pPr>
        <w:autoSpaceDE w:val="0"/>
        <w:autoSpaceDN w:val="0"/>
        <w:adjustRightInd w:val="0"/>
        <w:spacing w:before="120" w:after="120" w:line="276" w:lineRule="auto"/>
        <w:rPr>
          <w:rFonts w:cs="Estrangelo Edessa"/>
          <w:b/>
          <w:color w:val="000000"/>
        </w:rPr>
      </w:pPr>
    </w:p>
    <w:p w:rsidR="0060585A" w:rsidRDefault="0060585A" w:rsidP="00E41045">
      <w:pPr>
        <w:autoSpaceDE w:val="0"/>
        <w:autoSpaceDN w:val="0"/>
        <w:adjustRightInd w:val="0"/>
        <w:spacing w:before="120" w:after="120" w:line="276" w:lineRule="auto"/>
        <w:rPr>
          <w:rFonts w:cs="Estrangelo Edessa"/>
          <w:b/>
          <w:color w:val="000000"/>
        </w:rPr>
      </w:pPr>
    </w:p>
    <w:p w:rsidR="009B2EAB" w:rsidRDefault="009B2EAB">
      <w:pPr>
        <w:jc w:val="left"/>
        <w:rPr>
          <w:rFonts w:cs="Estrangelo Edessa"/>
          <w:b/>
          <w:color w:val="000000"/>
        </w:rPr>
      </w:pPr>
      <w:r>
        <w:rPr>
          <w:rFonts w:cs="Estrangelo Edessa"/>
          <w:b/>
          <w:color w:val="000000"/>
        </w:rPr>
        <w:br w:type="page"/>
      </w:r>
    </w:p>
    <w:p w:rsidR="0060585A" w:rsidRDefault="0060585A" w:rsidP="00E41045">
      <w:pPr>
        <w:autoSpaceDE w:val="0"/>
        <w:autoSpaceDN w:val="0"/>
        <w:adjustRightInd w:val="0"/>
        <w:spacing w:before="120" w:after="120" w:line="276" w:lineRule="auto"/>
        <w:rPr>
          <w:b/>
        </w:rPr>
      </w:pPr>
      <w:r w:rsidRPr="00EE5C71">
        <w:rPr>
          <w:rFonts w:cs="Estrangelo Edessa"/>
          <w:b/>
          <w:color w:val="000000"/>
        </w:rPr>
        <w:lastRenderedPageBreak/>
        <w:t xml:space="preserve">As </w:t>
      </w:r>
      <w:r>
        <w:rPr>
          <w:rFonts w:cs="Estrangelo Edessa"/>
          <w:b/>
          <w:color w:val="000000"/>
        </w:rPr>
        <w:t xml:space="preserve">foreign </w:t>
      </w:r>
      <w:r w:rsidRPr="00EE5C71">
        <w:rPr>
          <w:rFonts w:cs="Estrangelo Edessa"/>
          <w:b/>
          <w:color w:val="000000"/>
        </w:rPr>
        <w:t>banks deleverage</w:t>
      </w:r>
      <w:r>
        <w:rPr>
          <w:rFonts w:cs="Estrangelo Edessa"/>
          <w:b/>
          <w:color w:val="000000"/>
        </w:rPr>
        <w:t xml:space="preserve"> from the EU11 banking system</w:t>
      </w:r>
      <w:r w:rsidRPr="00EE5C71">
        <w:rPr>
          <w:rFonts w:cs="Estrangelo Edessa"/>
          <w:b/>
          <w:color w:val="000000"/>
        </w:rPr>
        <w:t xml:space="preserve">, local private deposits </w:t>
      </w:r>
      <w:r>
        <w:rPr>
          <w:rFonts w:cs="Estrangelo Edessa"/>
          <w:b/>
          <w:color w:val="000000"/>
        </w:rPr>
        <w:t xml:space="preserve">have </w:t>
      </w:r>
      <w:r w:rsidRPr="00EE5C71">
        <w:rPr>
          <w:rFonts w:cs="Estrangelo Edessa"/>
          <w:b/>
          <w:color w:val="000000"/>
        </w:rPr>
        <w:t>bec</w:t>
      </w:r>
      <w:r>
        <w:rPr>
          <w:rFonts w:cs="Estrangelo Edessa"/>
          <w:b/>
          <w:color w:val="000000"/>
        </w:rPr>
        <w:t>o</w:t>
      </w:r>
      <w:r w:rsidRPr="00EE5C71">
        <w:rPr>
          <w:rFonts w:cs="Estrangelo Edessa"/>
          <w:b/>
          <w:color w:val="000000"/>
        </w:rPr>
        <w:t xml:space="preserve">me </w:t>
      </w:r>
      <w:r w:rsidRPr="0088384E">
        <w:rPr>
          <w:rFonts w:cs="Estrangelo Edessa"/>
          <w:b/>
          <w:color w:val="000000"/>
        </w:rPr>
        <w:t>the dominant source of funding.</w:t>
      </w:r>
      <w:r>
        <w:t xml:space="preserve"> </w:t>
      </w:r>
      <w:r w:rsidRPr="0088384E">
        <w:t>Deposits have been growing faster than credit in EU11, driving loan-to-deposit ratios down in many countries (</w:t>
      </w:r>
      <w:fldSimple w:instr=" REF _Ref327263281 \h  \* MERGEFORMAT ">
        <w:r w:rsidRPr="00C17B8D">
          <w:t xml:space="preserve">Figure </w:t>
        </w:r>
        <w:r>
          <w:rPr>
            <w:noProof/>
          </w:rPr>
          <w:t>40</w:t>
        </w:r>
      </w:fldSimple>
      <w:r>
        <w:t xml:space="preserve"> and 41</w:t>
      </w:r>
      <w:r w:rsidRPr="0088384E">
        <w:t>)</w:t>
      </w:r>
      <w:r>
        <w:t xml:space="preserve"> and contributing to the deleveraging of foreign banks</w:t>
      </w:r>
      <w:r w:rsidRPr="0088384E">
        <w:t>. Notably, local deposits are supplanting foreign banks as they deleverage.</w:t>
      </w:r>
      <w:r>
        <w:t xml:space="preserve"> </w:t>
      </w:r>
      <w:r w:rsidRPr="0088384E">
        <w:t xml:space="preserve">Private deposits have </w:t>
      </w:r>
      <w:r>
        <w:t xml:space="preserve">overall </w:t>
      </w:r>
      <w:r w:rsidRPr="0088384E">
        <w:t xml:space="preserve">grown </w:t>
      </w:r>
      <w:r>
        <w:t>across EU11.</w:t>
      </w:r>
      <w:r w:rsidRPr="00EE5C71">
        <w:rPr>
          <w:b/>
        </w:rPr>
        <w:t xml:space="preserve"> </w:t>
      </w:r>
    </w:p>
    <w:tbl>
      <w:tblPr>
        <w:tblpPr w:leftFromText="180" w:rightFromText="180" w:vertAnchor="page" w:horzAnchor="margin" w:tblpY="3901"/>
        <w:tblOverlap w:val="never"/>
        <w:tblW w:w="9588" w:type="dxa"/>
        <w:tblLook w:val="00A0"/>
      </w:tblPr>
      <w:tblGrid>
        <w:gridCol w:w="5022"/>
        <w:gridCol w:w="4566"/>
      </w:tblGrid>
      <w:tr w:rsidR="0060585A" w:rsidRPr="00C17B8D" w:rsidTr="00C636EF">
        <w:tc>
          <w:tcPr>
            <w:tcW w:w="5028" w:type="dxa"/>
            <w:tcBorders>
              <w:top w:val="nil"/>
              <w:left w:val="nil"/>
              <w:bottom w:val="nil"/>
              <w:right w:val="nil"/>
            </w:tcBorders>
          </w:tcPr>
          <w:p w:rsidR="0060585A" w:rsidRPr="00C17B8D" w:rsidRDefault="0060585A" w:rsidP="00C636EF">
            <w:pPr>
              <w:pStyle w:val="Caption"/>
              <w:keepNext/>
              <w:spacing w:before="60" w:after="60" w:line="276" w:lineRule="auto"/>
              <w:jc w:val="left"/>
              <w:rPr>
                <w:sz w:val="24"/>
                <w:szCs w:val="24"/>
              </w:rPr>
            </w:pPr>
            <w:bookmarkStart w:id="40" w:name="_Ref327263281"/>
            <w:r w:rsidRPr="00C17B8D">
              <w:rPr>
                <w:sz w:val="24"/>
                <w:szCs w:val="24"/>
              </w:rPr>
              <w:t xml:space="preserve">Figure </w:t>
            </w:r>
            <w:r w:rsidR="00185C05" w:rsidRPr="00C17B8D">
              <w:rPr>
                <w:sz w:val="24"/>
                <w:szCs w:val="24"/>
              </w:rPr>
              <w:fldChar w:fldCharType="begin"/>
            </w:r>
            <w:r w:rsidRPr="00C17B8D">
              <w:rPr>
                <w:sz w:val="24"/>
                <w:szCs w:val="24"/>
              </w:rPr>
              <w:instrText xml:space="preserve"> SEQ Figure \* ARABIC </w:instrText>
            </w:r>
            <w:r w:rsidR="00185C05" w:rsidRPr="00C17B8D">
              <w:rPr>
                <w:sz w:val="24"/>
                <w:szCs w:val="24"/>
              </w:rPr>
              <w:fldChar w:fldCharType="separate"/>
            </w:r>
            <w:r>
              <w:rPr>
                <w:noProof/>
                <w:sz w:val="24"/>
                <w:szCs w:val="24"/>
              </w:rPr>
              <w:t>40</w:t>
            </w:r>
            <w:r w:rsidR="00185C05" w:rsidRPr="00C17B8D">
              <w:rPr>
                <w:sz w:val="24"/>
                <w:szCs w:val="24"/>
              </w:rPr>
              <w:fldChar w:fldCharType="end"/>
            </w:r>
            <w:bookmarkEnd w:id="40"/>
            <w:r w:rsidRPr="00C17B8D">
              <w:rPr>
                <w:sz w:val="24"/>
                <w:szCs w:val="24"/>
              </w:rPr>
              <w:t>. Private Sector Deposits, Contributions to Growth</w:t>
            </w:r>
          </w:p>
        </w:tc>
        <w:tc>
          <w:tcPr>
            <w:tcW w:w="4560" w:type="dxa"/>
            <w:tcBorders>
              <w:top w:val="nil"/>
              <w:left w:val="nil"/>
              <w:bottom w:val="nil"/>
              <w:right w:val="nil"/>
            </w:tcBorders>
          </w:tcPr>
          <w:p w:rsidR="0060585A" w:rsidRPr="00C17B8D" w:rsidRDefault="0060585A" w:rsidP="00C636EF">
            <w:pPr>
              <w:pStyle w:val="Caption"/>
              <w:keepNext/>
              <w:spacing w:before="60" w:after="60" w:line="276" w:lineRule="auto"/>
              <w:jc w:val="left"/>
              <w:rPr>
                <w:sz w:val="24"/>
                <w:szCs w:val="24"/>
              </w:rPr>
            </w:pPr>
            <w:bookmarkStart w:id="41" w:name="_Ref327263283"/>
            <w:r w:rsidRPr="00C17B8D">
              <w:rPr>
                <w:sz w:val="24"/>
                <w:szCs w:val="24"/>
              </w:rPr>
              <w:t xml:space="preserve">Figure </w:t>
            </w:r>
            <w:r w:rsidR="00185C05" w:rsidRPr="00C17B8D">
              <w:rPr>
                <w:sz w:val="24"/>
                <w:szCs w:val="24"/>
              </w:rPr>
              <w:fldChar w:fldCharType="begin"/>
            </w:r>
            <w:r w:rsidRPr="00C17B8D">
              <w:rPr>
                <w:sz w:val="24"/>
                <w:szCs w:val="24"/>
              </w:rPr>
              <w:instrText xml:space="preserve"> SEQ Figure \* ARABIC </w:instrText>
            </w:r>
            <w:r w:rsidR="00185C05" w:rsidRPr="00C17B8D">
              <w:rPr>
                <w:sz w:val="24"/>
                <w:szCs w:val="24"/>
              </w:rPr>
              <w:fldChar w:fldCharType="separate"/>
            </w:r>
            <w:r>
              <w:rPr>
                <w:noProof/>
                <w:sz w:val="24"/>
                <w:szCs w:val="24"/>
              </w:rPr>
              <w:t>41</w:t>
            </w:r>
            <w:r w:rsidR="00185C05" w:rsidRPr="00C17B8D">
              <w:rPr>
                <w:sz w:val="24"/>
                <w:szCs w:val="24"/>
              </w:rPr>
              <w:fldChar w:fldCharType="end"/>
            </w:r>
            <w:bookmarkEnd w:id="41"/>
            <w:r w:rsidRPr="00C17B8D">
              <w:rPr>
                <w:sz w:val="24"/>
                <w:szCs w:val="24"/>
              </w:rPr>
              <w:t>. Private Sector Loan-to-Deposit Ratios</w:t>
            </w:r>
          </w:p>
        </w:tc>
      </w:tr>
      <w:tr w:rsidR="0060585A" w:rsidRPr="00C17B8D" w:rsidTr="00C636EF">
        <w:tc>
          <w:tcPr>
            <w:tcW w:w="5028" w:type="dxa"/>
            <w:tcBorders>
              <w:top w:val="nil"/>
              <w:left w:val="nil"/>
              <w:bottom w:val="nil"/>
              <w:right w:val="nil"/>
            </w:tcBorders>
          </w:tcPr>
          <w:p w:rsidR="0060585A" w:rsidRPr="00C17B8D" w:rsidRDefault="00A1042F" w:rsidP="00C636EF">
            <w:pPr>
              <w:autoSpaceDE w:val="0"/>
              <w:autoSpaceDN w:val="0"/>
              <w:adjustRightInd w:val="0"/>
              <w:spacing w:line="276" w:lineRule="auto"/>
              <w:rPr>
                <w:b/>
              </w:rPr>
            </w:pPr>
            <w:r>
              <w:rPr>
                <w:b/>
                <w:noProof/>
              </w:rPr>
              <w:drawing>
                <wp:inline distT="0" distB="0" distL="0" distR="0">
                  <wp:extent cx="2933700" cy="188595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a:srcRect/>
                          <a:stretch>
                            <a:fillRect/>
                          </a:stretch>
                        </pic:blipFill>
                        <pic:spPr bwMode="auto">
                          <a:xfrm>
                            <a:off x="0" y="0"/>
                            <a:ext cx="2933700" cy="1885950"/>
                          </a:xfrm>
                          <a:prstGeom prst="rect">
                            <a:avLst/>
                          </a:prstGeom>
                          <a:noFill/>
                          <a:ln w="9525">
                            <a:noFill/>
                            <a:miter lim="800000"/>
                            <a:headEnd/>
                            <a:tailEnd/>
                          </a:ln>
                        </pic:spPr>
                      </pic:pic>
                    </a:graphicData>
                  </a:graphic>
                </wp:inline>
              </w:drawing>
            </w:r>
          </w:p>
        </w:tc>
        <w:tc>
          <w:tcPr>
            <w:tcW w:w="4560" w:type="dxa"/>
            <w:tcBorders>
              <w:top w:val="nil"/>
              <w:left w:val="nil"/>
              <w:bottom w:val="nil"/>
              <w:right w:val="nil"/>
            </w:tcBorders>
          </w:tcPr>
          <w:p w:rsidR="0060585A" w:rsidRPr="00C17B8D" w:rsidRDefault="00A1042F" w:rsidP="00C636EF">
            <w:pPr>
              <w:autoSpaceDE w:val="0"/>
              <w:autoSpaceDN w:val="0"/>
              <w:adjustRightInd w:val="0"/>
              <w:spacing w:line="276" w:lineRule="auto"/>
              <w:rPr>
                <w:b/>
              </w:rPr>
            </w:pPr>
            <w:r>
              <w:rPr>
                <w:b/>
                <w:noProof/>
              </w:rPr>
              <w:drawing>
                <wp:inline distT="0" distB="0" distL="0" distR="0">
                  <wp:extent cx="2743200" cy="190500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a:srcRect/>
                          <a:stretch>
                            <a:fillRect/>
                          </a:stretch>
                        </pic:blipFill>
                        <pic:spPr bwMode="auto">
                          <a:xfrm>
                            <a:off x="0" y="0"/>
                            <a:ext cx="2743200" cy="1905000"/>
                          </a:xfrm>
                          <a:prstGeom prst="rect">
                            <a:avLst/>
                          </a:prstGeom>
                          <a:noFill/>
                          <a:ln w="9525">
                            <a:noFill/>
                            <a:miter lim="800000"/>
                            <a:headEnd/>
                            <a:tailEnd/>
                          </a:ln>
                        </pic:spPr>
                      </pic:pic>
                    </a:graphicData>
                  </a:graphic>
                </wp:inline>
              </w:drawing>
            </w:r>
          </w:p>
        </w:tc>
      </w:tr>
      <w:tr w:rsidR="0060585A" w:rsidRPr="00C17B8D" w:rsidTr="00C636EF">
        <w:tc>
          <w:tcPr>
            <w:tcW w:w="9588" w:type="dxa"/>
            <w:gridSpan w:val="2"/>
            <w:tcBorders>
              <w:top w:val="nil"/>
              <w:left w:val="nil"/>
              <w:bottom w:val="nil"/>
              <w:right w:val="nil"/>
            </w:tcBorders>
          </w:tcPr>
          <w:p w:rsidR="0060585A" w:rsidRPr="00C17B8D" w:rsidRDefault="0060585A" w:rsidP="00C636EF">
            <w:pPr>
              <w:keepNext/>
              <w:spacing w:before="60" w:after="40" w:line="276" w:lineRule="auto"/>
              <w:rPr>
                <w:sz w:val="18"/>
                <w:szCs w:val="18"/>
              </w:rPr>
            </w:pPr>
            <w:r w:rsidRPr="00C17B8D">
              <w:rPr>
                <w:i/>
                <w:sz w:val="18"/>
                <w:szCs w:val="18"/>
              </w:rPr>
              <w:t xml:space="preserve">Source: </w:t>
            </w:r>
            <w:r w:rsidRPr="00C17B8D">
              <w:rPr>
                <w:sz w:val="18"/>
                <w:szCs w:val="18"/>
              </w:rPr>
              <w:t>Central bank websites, World Bank staff calculations.</w:t>
            </w:r>
          </w:p>
          <w:p w:rsidR="0060585A" w:rsidRDefault="0060585A" w:rsidP="00C636EF">
            <w:pPr>
              <w:keepNext/>
              <w:spacing w:before="60" w:after="40" w:line="276" w:lineRule="auto"/>
              <w:rPr>
                <w:i/>
                <w:sz w:val="18"/>
                <w:szCs w:val="18"/>
              </w:rPr>
            </w:pPr>
          </w:p>
          <w:p w:rsidR="0060585A" w:rsidRPr="00C17B8D" w:rsidRDefault="0060585A" w:rsidP="00C636EF">
            <w:pPr>
              <w:keepNext/>
              <w:spacing w:before="60" w:after="40" w:line="276" w:lineRule="auto"/>
              <w:rPr>
                <w:i/>
                <w:sz w:val="18"/>
                <w:szCs w:val="18"/>
              </w:rPr>
            </w:pPr>
          </w:p>
        </w:tc>
      </w:tr>
    </w:tbl>
    <w:p w:rsidR="0060585A" w:rsidRDefault="0060585A" w:rsidP="00E41045">
      <w:pPr>
        <w:spacing w:before="120" w:after="120" w:line="276" w:lineRule="auto"/>
      </w:pPr>
      <w:r>
        <w:rPr>
          <w:b/>
        </w:rPr>
        <w:t xml:space="preserve">Although </w:t>
      </w:r>
      <w:r w:rsidRPr="00EE5C71">
        <w:rPr>
          <w:b/>
        </w:rPr>
        <w:t xml:space="preserve">bank capital positions </w:t>
      </w:r>
      <w:r>
        <w:rPr>
          <w:b/>
        </w:rPr>
        <w:t xml:space="preserve">have </w:t>
      </w:r>
      <w:r w:rsidRPr="00EE5C71">
        <w:rPr>
          <w:b/>
        </w:rPr>
        <w:t xml:space="preserve">strengthened, nonperforming loans </w:t>
      </w:r>
      <w:r>
        <w:rPr>
          <w:b/>
        </w:rPr>
        <w:t>are still rising</w:t>
      </w:r>
      <w:r w:rsidRPr="00EE5C71">
        <w:t>.</w:t>
      </w:r>
      <w:r w:rsidRPr="00EE5C71">
        <w:rPr>
          <w:b/>
        </w:rPr>
        <w:t xml:space="preserve"> </w:t>
      </w:r>
      <w:r w:rsidRPr="00C83391">
        <w:t>N</w:t>
      </w:r>
      <w:r w:rsidRPr="00EE5C71">
        <w:t>PL ratios deteriorated in a number of EU11 countries mainly due to still weak economic activity</w:t>
      </w:r>
      <w:r>
        <w:t xml:space="preserve"> (</w:t>
      </w:r>
      <w:fldSimple w:instr=" REF _Ref266830395 \h  \* MERGEFORMAT ">
        <w:r w:rsidRPr="00EE5C71">
          <w:t xml:space="preserve">Figure </w:t>
        </w:r>
        <w:r>
          <w:t>42</w:t>
        </w:r>
      </w:fldSimple>
      <w:r>
        <w:t>)</w:t>
      </w:r>
      <w:r w:rsidRPr="00EE5C71">
        <w:t>.</w:t>
      </w:r>
      <w:r>
        <w:t xml:space="preserve"> </w:t>
      </w:r>
      <w:r w:rsidRPr="00EE5C71">
        <w:t xml:space="preserve">NPL-to-total loan </w:t>
      </w:r>
      <w:r>
        <w:t xml:space="preserve">ratios </w:t>
      </w:r>
      <w:r w:rsidRPr="00EE5C71">
        <w:t>rose in Bulgaria, Croatia, Hungary, Romania</w:t>
      </w:r>
      <w:r>
        <w:t>,</w:t>
      </w:r>
      <w:r w:rsidRPr="00EE5C71">
        <w:t xml:space="preserve"> and Slovenia.</w:t>
      </w:r>
      <w:r>
        <w:t xml:space="preserve"> E</w:t>
      </w:r>
      <w:r w:rsidRPr="00EE5C71">
        <w:t xml:space="preserve">xcept </w:t>
      </w:r>
      <w:r>
        <w:t xml:space="preserve">for </w:t>
      </w:r>
      <w:r w:rsidRPr="00EE5C71">
        <w:t xml:space="preserve">Romania, all these countries </w:t>
      </w:r>
      <w:r>
        <w:t xml:space="preserve">have </w:t>
      </w:r>
      <w:r w:rsidRPr="00EE5C71">
        <w:t xml:space="preserve">increased bank regulatory capital </w:t>
      </w:r>
      <w:r>
        <w:t xml:space="preserve">requirements </w:t>
      </w:r>
      <w:r w:rsidRPr="00EE5C71">
        <w:t>relative to risk-weighted assets</w:t>
      </w:r>
      <w:r>
        <w:t xml:space="preserve"> (</w:t>
      </w:r>
      <w:fldSimple w:instr=" REF _Ref266830405 \h  \* MERGEFORMAT ">
        <w:r w:rsidRPr="00EE5C71">
          <w:t xml:space="preserve">Figure </w:t>
        </w:r>
        <w:r>
          <w:t>43</w:t>
        </w:r>
      </w:fldSimple>
      <w:r>
        <w:t>)</w:t>
      </w:r>
      <w:r w:rsidRPr="00EE5C71">
        <w:t>. In contrast, Estonia, Slovakia, Latvia, Lithuania and Poland saw their NPL-to-total loans ratios</w:t>
      </w:r>
      <w:r>
        <w:t xml:space="preserve"> decline, though compared to 2009.</w:t>
      </w:r>
      <w:r w:rsidRPr="00EE5C71">
        <w:t xml:space="preserve"> NPLs</w:t>
      </w:r>
      <w:r>
        <w:t xml:space="preserve"> in absolute terms remain high </w:t>
      </w:r>
      <w:r w:rsidRPr="00EE5C71">
        <w:t>in all EU11</w:t>
      </w:r>
      <w:r>
        <w:t xml:space="preserve"> countries </w:t>
      </w:r>
      <w:r w:rsidRPr="00EE5C71">
        <w:t>except Estonia.</w:t>
      </w:r>
    </w:p>
    <w:p w:rsidR="0060585A" w:rsidRDefault="0060585A" w:rsidP="00E41045">
      <w:pPr>
        <w:spacing w:before="120" w:after="120" w:line="276" w:lineRule="auto"/>
      </w:pPr>
    </w:p>
    <w:p w:rsidR="0060585A" w:rsidRDefault="0060585A" w:rsidP="00E41045">
      <w:pPr>
        <w:spacing w:before="120" w:after="120" w:line="276" w:lineRule="auto"/>
      </w:pPr>
    </w:p>
    <w:p w:rsidR="0060585A" w:rsidRDefault="0060585A" w:rsidP="00E41045">
      <w:pPr>
        <w:spacing w:before="120" w:after="120" w:line="276" w:lineRule="auto"/>
      </w:pPr>
    </w:p>
    <w:p w:rsidR="0060585A" w:rsidRDefault="0060585A" w:rsidP="00E41045">
      <w:pPr>
        <w:spacing w:before="120" w:after="120" w:line="276" w:lineRule="auto"/>
      </w:pPr>
    </w:p>
    <w:p w:rsidR="0060585A" w:rsidRDefault="0060585A" w:rsidP="00E41045">
      <w:pPr>
        <w:spacing w:before="120" w:after="120" w:line="276" w:lineRule="auto"/>
      </w:pPr>
    </w:p>
    <w:p w:rsidR="0060585A" w:rsidRDefault="0060585A" w:rsidP="00E41045">
      <w:pPr>
        <w:spacing w:before="120" w:after="120" w:line="276" w:lineRule="auto"/>
      </w:pPr>
    </w:p>
    <w:tbl>
      <w:tblPr>
        <w:tblW w:w="9609" w:type="dxa"/>
        <w:tblInd w:w="-12" w:type="dxa"/>
        <w:tblLook w:val="00A0"/>
      </w:tblPr>
      <w:tblGrid>
        <w:gridCol w:w="4806"/>
        <w:gridCol w:w="4803"/>
      </w:tblGrid>
      <w:tr w:rsidR="0060585A" w:rsidRPr="00321D31" w:rsidTr="00004575">
        <w:trPr>
          <w:trHeight w:val="759"/>
        </w:trPr>
        <w:tc>
          <w:tcPr>
            <w:tcW w:w="4800" w:type="dxa"/>
          </w:tcPr>
          <w:p w:rsidR="0060585A" w:rsidRPr="00321D31" w:rsidRDefault="0060585A" w:rsidP="004D31F4">
            <w:pPr>
              <w:pStyle w:val="Caption"/>
              <w:keepNext/>
              <w:spacing w:before="60" w:after="60" w:line="276" w:lineRule="auto"/>
              <w:jc w:val="left"/>
              <w:rPr>
                <w:sz w:val="24"/>
                <w:szCs w:val="24"/>
              </w:rPr>
            </w:pPr>
            <w:bookmarkStart w:id="42" w:name="_Ref266830395"/>
            <w:r w:rsidRPr="00321D31">
              <w:rPr>
                <w:sz w:val="24"/>
                <w:szCs w:val="24"/>
              </w:rPr>
              <w:lastRenderedPageBreak/>
              <w:t xml:space="preserve">Figure </w:t>
            </w:r>
            <w:r w:rsidR="00185C05" w:rsidRPr="00321D31">
              <w:rPr>
                <w:sz w:val="24"/>
                <w:szCs w:val="24"/>
              </w:rPr>
              <w:fldChar w:fldCharType="begin"/>
            </w:r>
            <w:r w:rsidRPr="00321D31">
              <w:rPr>
                <w:sz w:val="24"/>
                <w:szCs w:val="24"/>
              </w:rPr>
              <w:instrText xml:space="preserve"> SEQ Figure \* ARABIC </w:instrText>
            </w:r>
            <w:r w:rsidR="00185C05" w:rsidRPr="00321D31">
              <w:rPr>
                <w:sz w:val="24"/>
                <w:szCs w:val="24"/>
              </w:rPr>
              <w:fldChar w:fldCharType="separate"/>
            </w:r>
            <w:r w:rsidRPr="00321D31">
              <w:rPr>
                <w:noProof/>
                <w:sz w:val="24"/>
                <w:szCs w:val="24"/>
              </w:rPr>
              <w:t>42</w:t>
            </w:r>
            <w:r w:rsidR="00185C05" w:rsidRPr="00321D31">
              <w:rPr>
                <w:sz w:val="24"/>
                <w:szCs w:val="24"/>
              </w:rPr>
              <w:fldChar w:fldCharType="end"/>
            </w:r>
            <w:bookmarkEnd w:id="42"/>
            <w:r w:rsidRPr="00321D31">
              <w:rPr>
                <w:sz w:val="24"/>
                <w:szCs w:val="24"/>
              </w:rPr>
              <w:t>. Nonperforming Loans to Total Loans, EU11 countries (Percent)</w:t>
            </w:r>
          </w:p>
        </w:tc>
        <w:tc>
          <w:tcPr>
            <w:tcW w:w="4809" w:type="dxa"/>
          </w:tcPr>
          <w:p w:rsidR="0060585A" w:rsidRPr="00321D31" w:rsidRDefault="0060585A" w:rsidP="004D31F4">
            <w:pPr>
              <w:pStyle w:val="Caption"/>
              <w:keepNext/>
              <w:spacing w:before="60" w:after="60" w:line="276" w:lineRule="auto"/>
              <w:jc w:val="left"/>
              <w:rPr>
                <w:sz w:val="24"/>
                <w:szCs w:val="24"/>
              </w:rPr>
            </w:pPr>
            <w:bookmarkStart w:id="43" w:name="_Ref266830405"/>
            <w:r w:rsidRPr="00321D31">
              <w:rPr>
                <w:sz w:val="24"/>
                <w:szCs w:val="24"/>
              </w:rPr>
              <w:t xml:space="preserve">Figure </w:t>
            </w:r>
            <w:r w:rsidR="00185C05" w:rsidRPr="00321D31">
              <w:rPr>
                <w:sz w:val="24"/>
                <w:szCs w:val="24"/>
              </w:rPr>
              <w:fldChar w:fldCharType="begin"/>
            </w:r>
            <w:r w:rsidRPr="00321D31">
              <w:rPr>
                <w:sz w:val="24"/>
                <w:szCs w:val="24"/>
              </w:rPr>
              <w:instrText xml:space="preserve"> SEQ Figure \* ARABIC </w:instrText>
            </w:r>
            <w:r w:rsidR="00185C05" w:rsidRPr="00321D31">
              <w:rPr>
                <w:sz w:val="24"/>
                <w:szCs w:val="24"/>
              </w:rPr>
              <w:fldChar w:fldCharType="separate"/>
            </w:r>
            <w:r w:rsidRPr="00321D31">
              <w:rPr>
                <w:noProof/>
                <w:sz w:val="24"/>
                <w:szCs w:val="24"/>
              </w:rPr>
              <w:t>43</w:t>
            </w:r>
            <w:r w:rsidR="00185C05" w:rsidRPr="00321D31">
              <w:rPr>
                <w:sz w:val="24"/>
                <w:szCs w:val="24"/>
              </w:rPr>
              <w:fldChar w:fldCharType="end"/>
            </w:r>
            <w:bookmarkEnd w:id="43"/>
            <w:r w:rsidRPr="00321D31">
              <w:rPr>
                <w:sz w:val="24"/>
                <w:szCs w:val="24"/>
              </w:rPr>
              <w:t>. Ratio of Bank Regulatory Capital to Risk-weighted Assets (Percent)</w:t>
            </w:r>
          </w:p>
        </w:tc>
      </w:tr>
      <w:tr w:rsidR="0060585A" w:rsidRPr="00321D31" w:rsidTr="00004575">
        <w:trPr>
          <w:trHeight w:val="2977"/>
        </w:trPr>
        <w:tc>
          <w:tcPr>
            <w:tcW w:w="4800" w:type="dxa"/>
          </w:tcPr>
          <w:p w:rsidR="0060585A" w:rsidRPr="00321D31" w:rsidRDefault="00A1042F" w:rsidP="00321D31">
            <w:pPr>
              <w:autoSpaceDE w:val="0"/>
              <w:autoSpaceDN w:val="0"/>
              <w:adjustRightInd w:val="0"/>
              <w:spacing w:line="276" w:lineRule="auto"/>
              <w:rPr>
                <w:b/>
              </w:rPr>
            </w:pPr>
            <w:r>
              <w:rPr>
                <w:b/>
                <w:noProof/>
              </w:rPr>
              <w:drawing>
                <wp:inline distT="0" distB="0" distL="0" distR="0">
                  <wp:extent cx="2895600" cy="1714500"/>
                  <wp:effectExtent l="19050" t="0" r="0" b="0"/>
                  <wp:docPr id="54"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66"/>
                          <a:srcRect/>
                          <a:stretch>
                            <a:fillRect/>
                          </a:stretch>
                        </pic:blipFill>
                        <pic:spPr bwMode="auto">
                          <a:xfrm>
                            <a:off x="0" y="0"/>
                            <a:ext cx="2895600" cy="1714500"/>
                          </a:xfrm>
                          <a:prstGeom prst="rect">
                            <a:avLst/>
                          </a:prstGeom>
                          <a:noFill/>
                          <a:ln w="9525">
                            <a:noFill/>
                            <a:miter lim="800000"/>
                            <a:headEnd/>
                            <a:tailEnd/>
                          </a:ln>
                        </pic:spPr>
                      </pic:pic>
                    </a:graphicData>
                  </a:graphic>
                </wp:inline>
              </w:drawing>
            </w:r>
          </w:p>
        </w:tc>
        <w:tc>
          <w:tcPr>
            <w:tcW w:w="4809" w:type="dxa"/>
          </w:tcPr>
          <w:p w:rsidR="0060585A" w:rsidRPr="00321D31" w:rsidRDefault="00A1042F" w:rsidP="00321D31">
            <w:pPr>
              <w:autoSpaceDE w:val="0"/>
              <w:autoSpaceDN w:val="0"/>
              <w:adjustRightInd w:val="0"/>
              <w:spacing w:line="276" w:lineRule="auto"/>
              <w:rPr>
                <w:b/>
              </w:rPr>
            </w:pPr>
            <w:r>
              <w:rPr>
                <w:b/>
                <w:noProof/>
              </w:rPr>
              <w:drawing>
                <wp:inline distT="0" distB="0" distL="0" distR="0">
                  <wp:extent cx="2876550" cy="1714500"/>
                  <wp:effectExtent l="19050" t="0" r="0" b="0"/>
                  <wp:docPr id="55"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67"/>
                          <a:srcRect/>
                          <a:stretch>
                            <a:fillRect/>
                          </a:stretch>
                        </pic:blipFill>
                        <pic:spPr bwMode="auto">
                          <a:xfrm>
                            <a:off x="0" y="0"/>
                            <a:ext cx="2876550" cy="1714500"/>
                          </a:xfrm>
                          <a:prstGeom prst="rect">
                            <a:avLst/>
                          </a:prstGeom>
                          <a:noFill/>
                          <a:ln w="9525">
                            <a:noFill/>
                            <a:miter lim="800000"/>
                            <a:headEnd/>
                            <a:tailEnd/>
                          </a:ln>
                        </pic:spPr>
                      </pic:pic>
                    </a:graphicData>
                  </a:graphic>
                </wp:inline>
              </w:drawing>
            </w:r>
          </w:p>
        </w:tc>
      </w:tr>
      <w:tr w:rsidR="0060585A" w:rsidRPr="00321D31" w:rsidTr="00004575">
        <w:trPr>
          <w:trHeight w:val="613"/>
        </w:trPr>
        <w:tc>
          <w:tcPr>
            <w:tcW w:w="9609" w:type="dxa"/>
            <w:gridSpan w:val="2"/>
          </w:tcPr>
          <w:p w:rsidR="0060585A" w:rsidRPr="00321D31" w:rsidRDefault="0060585A" w:rsidP="00321D31">
            <w:pPr>
              <w:keepNext/>
              <w:spacing w:before="60" w:after="40" w:line="276" w:lineRule="auto"/>
              <w:outlineLvl w:val="1"/>
              <w:rPr>
                <w:sz w:val="18"/>
                <w:szCs w:val="18"/>
              </w:rPr>
            </w:pPr>
            <w:r w:rsidRPr="00321D31">
              <w:rPr>
                <w:i/>
                <w:sz w:val="18"/>
                <w:szCs w:val="18"/>
              </w:rPr>
              <w:t>Source:</w:t>
            </w:r>
            <w:r w:rsidRPr="00321D31">
              <w:rPr>
                <w:sz w:val="18"/>
                <w:szCs w:val="18"/>
              </w:rPr>
              <w:t xml:space="preserve"> IMF Global Financial Stability Report April 2012, World Bank staff calculations.</w:t>
            </w:r>
          </w:p>
          <w:p w:rsidR="0060585A" w:rsidRPr="00321D31" w:rsidRDefault="0060585A" w:rsidP="00321D31">
            <w:pPr>
              <w:keepNext/>
              <w:spacing w:before="60" w:after="40" w:line="276" w:lineRule="auto"/>
              <w:outlineLvl w:val="1"/>
              <w:rPr>
                <w:sz w:val="18"/>
                <w:szCs w:val="18"/>
              </w:rPr>
            </w:pPr>
          </w:p>
        </w:tc>
      </w:tr>
    </w:tbl>
    <w:p w:rsidR="0060585A" w:rsidRDefault="0060585A" w:rsidP="00C844C0">
      <w:pPr>
        <w:pStyle w:val="IntenseQuote"/>
        <w:keepNext/>
        <w:keepLines/>
      </w:pPr>
      <w:r w:rsidRPr="00E41045">
        <w:t>Continued Fiscal Consolidation</w:t>
      </w:r>
    </w:p>
    <w:p w:rsidR="0060585A" w:rsidRPr="001B12FD" w:rsidRDefault="0060585A" w:rsidP="00C844C0">
      <w:pPr>
        <w:keepNext/>
        <w:keepLines/>
        <w:spacing w:after="120" w:line="276" w:lineRule="auto"/>
        <w:rPr>
          <w:rFonts w:cs="Arial"/>
          <w:bCs/>
          <w:i/>
          <w:iCs/>
          <w:color w:val="1F497D"/>
          <w:sz w:val="22"/>
          <w:szCs w:val="22"/>
          <w:highlight w:val="yellow"/>
          <w:lang w:eastAsia="pl-PL"/>
        </w:rPr>
      </w:pPr>
      <w:r w:rsidRPr="00D6450B">
        <w:rPr>
          <w:rFonts w:cs="Arial"/>
          <w:bCs/>
          <w:i/>
          <w:iCs/>
          <w:color w:val="1F497D"/>
          <w:sz w:val="22"/>
          <w:szCs w:val="22"/>
          <w:lang w:eastAsia="pl-PL"/>
        </w:rPr>
        <w:t>In 2011, t</w:t>
      </w:r>
      <w:r w:rsidRPr="00683057">
        <w:rPr>
          <w:rFonts w:cs="Arial"/>
          <w:bCs/>
          <w:i/>
          <w:iCs/>
          <w:color w:val="1F497D"/>
          <w:sz w:val="22"/>
          <w:szCs w:val="22"/>
          <w:lang w:eastAsia="pl-PL"/>
        </w:rPr>
        <w:t xml:space="preserve">he EU11 </w:t>
      </w:r>
      <w:r w:rsidRPr="001B12FD">
        <w:rPr>
          <w:rFonts w:cs="Arial"/>
          <w:bCs/>
          <w:i/>
          <w:iCs/>
          <w:color w:val="1F497D"/>
          <w:sz w:val="22"/>
          <w:szCs w:val="22"/>
          <w:lang w:eastAsia="pl-PL"/>
        </w:rPr>
        <w:t>countries improved their public finance position on the back of fiscal consolidatio</w:t>
      </w:r>
      <w:r>
        <w:rPr>
          <w:rFonts w:cs="Arial"/>
          <w:bCs/>
          <w:i/>
          <w:iCs/>
          <w:color w:val="1F497D"/>
          <w:sz w:val="22"/>
          <w:szCs w:val="22"/>
          <w:lang w:eastAsia="pl-PL"/>
        </w:rPr>
        <w:t>n measures. The largely expenditure-</w:t>
      </w:r>
      <w:r w:rsidRPr="001B12FD">
        <w:rPr>
          <w:rFonts w:cs="Arial"/>
          <w:bCs/>
          <w:i/>
          <w:iCs/>
          <w:color w:val="1F497D"/>
          <w:sz w:val="22"/>
          <w:szCs w:val="22"/>
          <w:lang w:eastAsia="pl-PL"/>
        </w:rPr>
        <w:t xml:space="preserve">based consolidation spared public investment and was </w:t>
      </w:r>
      <w:r>
        <w:rPr>
          <w:rFonts w:cs="Arial"/>
          <w:bCs/>
          <w:i/>
          <w:iCs/>
          <w:color w:val="1F497D"/>
          <w:sz w:val="22"/>
          <w:szCs w:val="22"/>
          <w:lang w:eastAsia="pl-PL"/>
        </w:rPr>
        <w:t xml:space="preserve">directed to </w:t>
      </w:r>
      <w:r w:rsidRPr="001B12FD">
        <w:rPr>
          <w:rFonts w:cs="Arial"/>
          <w:bCs/>
          <w:i/>
          <w:iCs/>
          <w:color w:val="1F497D"/>
          <w:sz w:val="22"/>
          <w:szCs w:val="22"/>
          <w:lang w:eastAsia="pl-PL"/>
        </w:rPr>
        <w:t xml:space="preserve">limiting </w:t>
      </w:r>
      <w:r>
        <w:rPr>
          <w:rFonts w:cs="Arial"/>
          <w:bCs/>
          <w:i/>
          <w:iCs/>
          <w:color w:val="1F497D"/>
          <w:sz w:val="22"/>
          <w:szCs w:val="22"/>
          <w:lang w:eastAsia="pl-PL"/>
        </w:rPr>
        <w:t>the growth of current spending.</w:t>
      </w:r>
    </w:p>
    <w:p w:rsidR="0060585A" w:rsidRDefault="0060585A" w:rsidP="00DE6704">
      <w:pPr>
        <w:autoSpaceDE w:val="0"/>
        <w:autoSpaceDN w:val="0"/>
        <w:adjustRightInd w:val="0"/>
        <w:spacing w:line="276" w:lineRule="auto"/>
        <w:rPr>
          <w:b/>
        </w:rPr>
      </w:pPr>
    </w:p>
    <w:p w:rsidR="0060585A" w:rsidRDefault="0060585A" w:rsidP="00E41045">
      <w:pPr>
        <w:autoSpaceDE w:val="0"/>
        <w:autoSpaceDN w:val="0"/>
        <w:adjustRightInd w:val="0"/>
        <w:spacing w:before="120" w:line="276" w:lineRule="auto"/>
      </w:pPr>
      <w:r w:rsidRPr="00EE5C71">
        <w:rPr>
          <w:b/>
        </w:rPr>
        <w:t xml:space="preserve">Improving headline fiscal balances and shoring up fiscal sustainability </w:t>
      </w:r>
      <w:r>
        <w:rPr>
          <w:b/>
        </w:rPr>
        <w:t xml:space="preserve">are </w:t>
      </w:r>
      <w:r w:rsidRPr="00EE5C71">
        <w:rPr>
          <w:b/>
        </w:rPr>
        <w:t xml:space="preserve">top priorities for EU11 governments. </w:t>
      </w:r>
      <w:r w:rsidRPr="00EE5C71">
        <w:t xml:space="preserve">The volatility of financial markets </w:t>
      </w:r>
      <w:r>
        <w:t xml:space="preserve">and the </w:t>
      </w:r>
      <w:r w:rsidRPr="00EE5C71">
        <w:t xml:space="preserve">uncertain growth outlook have motivated governments across Europe to </w:t>
      </w:r>
      <w:r>
        <w:t xml:space="preserve">try </w:t>
      </w:r>
      <w:r w:rsidRPr="00EE5C71">
        <w:t xml:space="preserve">to boost </w:t>
      </w:r>
      <w:r>
        <w:t xml:space="preserve">both </w:t>
      </w:r>
      <w:r w:rsidRPr="00EE5C71">
        <w:t xml:space="preserve">market confidence and resilience to future shocks </w:t>
      </w:r>
      <w:r>
        <w:t xml:space="preserve">by </w:t>
      </w:r>
      <w:r w:rsidRPr="00EE5C71">
        <w:t>put</w:t>
      </w:r>
      <w:r>
        <w:t>ting</w:t>
      </w:r>
      <w:r w:rsidRPr="00EE5C71">
        <w:t xml:space="preserve"> their fiscal houses in order. </w:t>
      </w:r>
      <w:r>
        <w:t xml:space="preserve">Before the crisis, </w:t>
      </w:r>
      <w:r w:rsidRPr="00EE5C71">
        <w:t>markets were less sensitive to public debt and deficit levels</w:t>
      </w:r>
      <w:r>
        <w:t xml:space="preserve">; </w:t>
      </w:r>
      <w:r w:rsidRPr="00EE5C71">
        <w:t xml:space="preserve">now sovereign CDS spreads are much higher for countries with high deficits and </w:t>
      </w:r>
      <w:r>
        <w:t xml:space="preserve">significant </w:t>
      </w:r>
      <w:r w:rsidRPr="00EE5C71">
        <w:t xml:space="preserve">debt </w:t>
      </w:r>
      <w:r>
        <w:t>(</w:t>
      </w:r>
      <w:fldSimple w:instr=" REF _Ref308266108 \h  \* MERGEFORMAT ">
        <w:r w:rsidRPr="005D6031">
          <w:t>Figure 44</w:t>
        </w:r>
      </w:fldSimple>
      <w:r>
        <w:t>)</w:t>
      </w:r>
      <w:r w:rsidRPr="00EE5C71">
        <w:t xml:space="preserve">. </w:t>
      </w:r>
    </w:p>
    <w:p w:rsidR="0060585A" w:rsidRDefault="0060585A" w:rsidP="00E41045">
      <w:pPr>
        <w:autoSpaceDE w:val="0"/>
        <w:autoSpaceDN w:val="0"/>
        <w:adjustRightInd w:val="0"/>
        <w:spacing w:before="120" w:line="276" w:lineRule="auto"/>
      </w:pPr>
    </w:p>
    <w:tbl>
      <w:tblPr>
        <w:tblW w:w="9472" w:type="dxa"/>
        <w:jc w:val="center"/>
        <w:tblInd w:w="952" w:type="dxa"/>
        <w:tblLook w:val="00A0"/>
      </w:tblPr>
      <w:tblGrid>
        <w:gridCol w:w="4716"/>
        <w:gridCol w:w="4756"/>
      </w:tblGrid>
      <w:tr w:rsidR="0060585A" w:rsidRPr="00321D31" w:rsidTr="00004575">
        <w:trPr>
          <w:trHeight w:val="3"/>
          <w:jc w:val="center"/>
        </w:trPr>
        <w:tc>
          <w:tcPr>
            <w:tcW w:w="9472" w:type="dxa"/>
            <w:gridSpan w:val="2"/>
          </w:tcPr>
          <w:p w:rsidR="0060585A" w:rsidRPr="00321D31" w:rsidRDefault="0060585A" w:rsidP="004D31F4">
            <w:pPr>
              <w:pStyle w:val="Caption"/>
              <w:keepNext/>
              <w:spacing w:before="60" w:after="60" w:line="276" w:lineRule="auto"/>
              <w:jc w:val="left"/>
              <w:rPr>
                <w:sz w:val="22"/>
                <w:szCs w:val="22"/>
              </w:rPr>
            </w:pPr>
            <w:bookmarkStart w:id="44" w:name="_Ref308266108"/>
            <w:r w:rsidRPr="00321D31">
              <w:rPr>
                <w:sz w:val="22"/>
                <w:szCs w:val="22"/>
              </w:rPr>
              <w:t xml:space="preserve">Figure </w:t>
            </w:r>
            <w:r w:rsidR="00185C05" w:rsidRPr="00321D31">
              <w:rPr>
                <w:sz w:val="22"/>
                <w:szCs w:val="22"/>
              </w:rPr>
              <w:fldChar w:fldCharType="begin"/>
            </w:r>
            <w:r w:rsidRPr="00321D31">
              <w:rPr>
                <w:sz w:val="22"/>
                <w:szCs w:val="22"/>
              </w:rPr>
              <w:instrText xml:space="preserve"> SEQ Figure \* ARABIC </w:instrText>
            </w:r>
            <w:r w:rsidR="00185C05" w:rsidRPr="00321D31">
              <w:rPr>
                <w:sz w:val="22"/>
                <w:szCs w:val="22"/>
              </w:rPr>
              <w:fldChar w:fldCharType="separate"/>
            </w:r>
            <w:r w:rsidRPr="00321D31">
              <w:rPr>
                <w:noProof/>
                <w:sz w:val="22"/>
                <w:szCs w:val="22"/>
              </w:rPr>
              <w:t>44</w:t>
            </w:r>
            <w:r w:rsidR="00185C05" w:rsidRPr="00321D31">
              <w:rPr>
                <w:sz w:val="22"/>
                <w:szCs w:val="22"/>
              </w:rPr>
              <w:fldChar w:fldCharType="end"/>
            </w:r>
            <w:bookmarkEnd w:id="44"/>
            <w:r w:rsidRPr="00321D31">
              <w:rPr>
                <w:sz w:val="22"/>
                <w:szCs w:val="22"/>
              </w:rPr>
              <w:t>. EU27 Public Debt, Deficits, and CDS Spreads, 2007 and 2011</w:t>
            </w:r>
          </w:p>
        </w:tc>
      </w:tr>
      <w:tr w:rsidR="0060585A" w:rsidRPr="00321D31" w:rsidTr="00004575">
        <w:trPr>
          <w:trHeight w:val="18"/>
          <w:jc w:val="center"/>
        </w:trPr>
        <w:tc>
          <w:tcPr>
            <w:tcW w:w="4681" w:type="dxa"/>
          </w:tcPr>
          <w:p w:rsidR="0060585A" w:rsidRPr="00321D31" w:rsidRDefault="00A1042F" w:rsidP="00321D31">
            <w:pPr>
              <w:autoSpaceDE w:val="0"/>
              <w:autoSpaceDN w:val="0"/>
              <w:adjustRightInd w:val="0"/>
              <w:spacing w:line="276" w:lineRule="auto"/>
              <w:rPr>
                <w:b/>
              </w:rPr>
            </w:pPr>
            <w:r>
              <w:rPr>
                <w:b/>
                <w:noProof/>
              </w:rPr>
              <w:drawing>
                <wp:inline distT="0" distB="0" distL="0" distR="0">
                  <wp:extent cx="2838450" cy="1733550"/>
                  <wp:effectExtent l="19050" t="0" r="0" b="0"/>
                  <wp:docPr id="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8"/>
                          <a:srcRect/>
                          <a:stretch>
                            <a:fillRect/>
                          </a:stretch>
                        </pic:blipFill>
                        <pic:spPr bwMode="auto">
                          <a:xfrm>
                            <a:off x="0" y="0"/>
                            <a:ext cx="2838450" cy="1733550"/>
                          </a:xfrm>
                          <a:prstGeom prst="rect">
                            <a:avLst/>
                          </a:prstGeom>
                          <a:noFill/>
                          <a:ln w="9525">
                            <a:noFill/>
                            <a:miter lim="800000"/>
                            <a:headEnd/>
                            <a:tailEnd/>
                          </a:ln>
                        </pic:spPr>
                      </pic:pic>
                    </a:graphicData>
                  </a:graphic>
                </wp:inline>
              </w:drawing>
            </w:r>
          </w:p>
        </w:tc>
        <w:tc>
          <w:tcPr>
            <w:tcW w:w="4791" w:type="dxa"/>
          </w:tcPr>
          <w:p w:rsidR="0060585A" w:rsidRPr="00321D31" w:rsidRDefault="00A1042F" w:rsidP="00321D31">
            <w:pPr>
              <w:autoSpaceDE w:val="0"/>
              <w:autoSpaceDN w:val="0"/>
              <w:adjustRightInd w:val="0"/>
              <w:spacing w:line="276" w:lineRule="auto"/>
              <w:rPr>
                <w:b/>
                <w:noProof/>
              </w:rPr>
            </w:pPr>
            <w:r>
              <w:rPr>
                <w:b/>
                <w:noProof/>
              </w:rPr>
              <w:drawing>
                <wp:inline distT="0" distB="0" distL="0" distR="0">
                  <wp:extent cx="2838450" cy="1733550"/>
                  <wp:effectExtent l="19050" t="0" r="0" b="0"/>
                  <wp:docPr id="5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69"/>
                          <a:srcRect/>
                          <a:stretch>
                            <a:fillRect/>
                          </a:stretch>
                        </pic:blipFill>
                        <pic:spPr bwMode="auto">
                          <a:xfrm>
                            <a:off x="0" y="0"/>
                            <a:ext cx="2838450" cy="1733550"/>
                          </a:xfrm>
                          <a:prstGeom prst="rect">
                            <a:avLst/>
                          </a:prstGeom>
                          <a:noFill/>
                          <a:ln w="9525">
                            <a:noFill/>
                            <a:miter lim="800000"/>
                            <a:headEnd/>
                            <a:tailEnd/>
                          </a:ln>
                        </pic:spPr>
                      </pic:pic>
                    </a:graphicData>
                  </a:graphic>
                </wp:inline>
              </w:drawing>
            </w:r>
          </w:p>
        </w:tc>
      </w:tr>
      <w:tr w:rsidR="0060585A" w:rsidRPr="00321D31" w:rsidTr="00004575">
        <w:trPr>
          <w:trHeight w:val="4"/>
          <w:jc w:val="center"/>
        </w:trPr>
        <w:tc>
          <w:tcPr>
            <w:tcW w:w="9472" w:type="dxa"/>
            <w:gridSpan w:val="2"/>
          </w:tcPr>
          <w:p w:rsidR="0060585A" w:rsidRPr="00321D31" w:rsidRDefault="0060585A" w:rsidP="00321D31">
            <w:pPr>
              <w:keepNext/>
              <w:spacing w:before="60" w:after="40" w:line="276" w:lineRule="auto"/>
              <w:rPr>
                <w:i/>
                <w:sz w:val="18"/>
                <w:szCs w:val="18"/>
              </w:rPr>
            </w:pPr>
            <w:r w:rsidRPr="00321D31">
              <w:rPr>
                <w:i/>
                <w:sz w:val="18"/>
                <w:szCs w:val="18"/>
              </w:rPr>
              <w:t xml:space="preserve">Source: </w:t>
            </w:r>
            <w:r w:rsidRPr="00321D31">
              <w:rPr>
                <w:sz w:val="18"/>
                <w:szCs w:val="18"/>
              </w:rPr>
              <w:t>Eurostat, Bloomberg, World Bank staff calculations</w:t>
            </w:r>
          </w:p>
          <w:p w:rsidR="0060585A" w:rsidRPr="00321D31" w:rsidRDefault="0060585A" w:rsidP="00321D31">
            <w:pPr>
              <w:keepNext/>
              <w:spacing w:before="60" w:after="40" w:line="276" w:lineRule="auto"/>
              <w:rPr>
                <w:i/>
                <w:sz w:val="18"/>
                <w:szCs w:val="18"/>
              </w:rPr>
            </w:pPr>
            <w:r w:rsidRPr="00321D31">
              <w:rPr>
                <w:i/>
                <w:sz w:val="18"/>
                <w:szCs w:val="18"/>
              </w:rPr>
              <w:t xml:space="preserve">Note: </w:t>
            </w:r>
            <w:r w:rsidRPr="00321D31">
              <w:rPr>
                <w:sz w:val="18"/>
                <w:szCs w:val="18"/>
              </w:rPr>
              <w:t>The size of the bubbles represents 5Y CDS spreads.</w:t>
            </w:r>
          </w:p>
        </w:tc>
      </w:tr>
    </w:tbl>
    <w:p w:rsidR="0060585A" w:rsidRPr="00EE5C71" w:rsidRDefault="0060585A" w:rsidP="00E41045">
      <w:pPr>
        <w:autoSpaceDE w:val="0"/>
        <w:autoSpaceDN w:val="0"/>
        <w:adjustRightInd w:val="0"/>
        <w:spacing w:line="276" w:lineRule="auto"/>
        <w:rPr>
          <w:b/>
        </w:rPr>
      </w:pPr>
    </w:p>
    <w:p w:rsidR="0060585A" w:rsidRPr="00EE5C71" w:rsidRDefault="0060585A" w:rsidP="00E41045">
      <w:pPr>
        <w:autoSpaceDE w:val="0"/>
        <w:autoSpaceDN w:val="0"/>
        <w:adjustRightInd w:val="0"/>
        <w:spacing w:line="276" w:lineRule="auto"/>
      </w:pPr>
      <w:r>
        <w:rPr>
          <w:b/>
        </w:rPr>
        <w:lastRenderedPageBreak/>
        <w:t>T</w:t>
      </w:r>
      <w:r w:rsidRPr="00EE5C71">
        <w:rPr>
          <w:b/>
        </w:rPr>
        <w:t xml:space="preserve">he aggregate </w:t>
      </w:r>
      <w:r>
        <w:rPr>
          <w:b/>
        </w:rPr>
        <w:t xml:space="preserve">EU11 </w:t>
      </w:r>
      <w:r w:rsidRPr="00EE5C71">
        <w:rPr>
          <w:b/>
        </w:rPr>
        <w:t>pu</w:t>
      </w:r>
      <w:r>
        <w:rPr>
          <w:b/>
        </w:rPr>
        <w:t xml:space="preserve">blic finance balance </w:t>
      </w:r>
      <w:r w:rsidRPr="00EE5C71">
        <w:rPr>
          <w:b/>
        </w:rPr>
        <w:t>improved significantly</w:t>
      </w:r>
      <w:r>
        <w:rPr>
          <w:b/>
        </w:rPr>
        <w:t xml:space="preserve"> in 2011</w:t>
      </w:r>
      <w:r w:rsidRPr="00EE5C71">
        <w:t>.</w:t>
      </w:r>
      <w:r>
        <w:t xml:space="preserve"> </w:t>
      </w:r>
      <w:r w:rsidRPr="00EE5C71">
        <w:t>Th</w:t>
      </w:r>
      <w:r>
        <w:t>e aggregate EU11 fiscal deficit declined from 6.4 percent in 2010 to 3.7</w:t>
      </w:r>
      <w:r w:rsidRPr="00EE5C71">
        <w:t xml:space="preserve"> </w:t>
      </w:r>
      <w:r>
        <w:t xml:space="preserve">percent </w:t>
      </w:r>
      <w:r w:rsidRPr="00EE5C71">
        <w:t>in 2011.</w:t>
      </w:r>
      <w:r>
        <w:t xml:space="preserve"> </w:t>
      </w:r>
      <w:r w:rsidRPr="00EE5C71">
        <w:t xml:space="preserve">This fiscal consolidation of almost 3 percent of GDP is slightly more than envisioned in October 2011, and markedly more than </w:t>
      </w:r>
      <w:r>
        <w:t xml:space="preserve">the one pursued by </w:t>
      </w:r>
      <w:r w:rsidRPr="00EE5C71">
        <w:t>the EU15 countries</w:t>
      </w:r>
      <w:r>
        <w:t xml:space="preserve"> (</w:t>
      </w:r>
      <w:fldSimple w:instr=" REF _Ref277010540 \h  \* MERGEFORMAT ">
        <w:r w:rsidRPr="0087298A">
          <w:t xml:space="preserve">Figure </w:t>
        </w:r>
        <w:r>
          <w:rPr>
            <w:noProof/>
          </w:rPr>
          <w:t>45</w:t>
        </w:r>
      </w:fldSimple>
      <w:r>
        <w:t>)</w:t>
      </w:r>
      <w:r w:rsidRPr="00EE5C71">
        <w:t>.</w:t>
      </w:r>
      <w:r>
        <w:t xml:space="preserve"> </w:t>
      </w:r>
      <w:r w:rsidRPr="00EE5C71">
        <w:t xml:space="preserve">Fiscal balances improved </w:t>
      </w:r>
      <w:r>
        <w:t xml:space="preserve">in all EU11 countries </w:t>
      </w:r>
      <w:r w:rsidRPr="00EE5C71">
        <w:t>except Slovenia</w:t>
      </w:r>
      <w:r w:rsidRPr="00A426D5">
        <w:t xml:space="preserve"> </w:t>
      </w:r>
      <w:r>
        <w:t xml:space="preserve">and Croatia. In Slovenia the fiscal deficit </w:t>
      </w:r>
      <w:r w:rsidRPr="00EE5C71">
        <w:t>widened from 6 percent in 2010</w:t>
      </w:r>
      <w:r>
        <w:t xml:space="preserve"> </w:t>
      </w:r>
      <w:r w:rsidRPr="00EE5C71">
        <w:t xml:space="preserve">to 6.4 percent in 2011 </w:t>
      </w:r>
      <w:r>
        <w:t xml:space="preserve">because of </w:t>
      </w:r>
      <w:r w:rsidRPr="00EE5C71">
        <w:t>one-off capital support operations</w:t>
      </w:r>
      <w:r>
        <w:t>. In Croatia the fiscal deficit increased marginally because economic activity was subdued</w:t>
      </w:r>
      <w:r w:rsidRPr="00EE5C71">
        <w:t>.</w:t>
      </w:r>
      <w:r>
        <w:t xml:space="preserve"> The Hungarian f</w:t>
      </w:r>
      <w:r w:rsidRPr="00EE5C71">
        <w:t>iscal deficit turn</w:t>
      </w:r>
      <w:r>
        <w:t>ed</w:t>
      </w:r>
      <w:r w:rsidRPr="00EE5C71">
        <w:t xml:space="preserve"> to surplus in 2011 </w:t>
      </w:r>
      <w:r>
        <w:t xml:space="preserve">because liquidation of the second pension pillar produced </w:t>
      </w:r>
      <w:r w:rsidRPr="00EE5C71">
        <w:t>a one-off revenue increase of 9.7 percent of GDP</w:t>
      </w:r>
      <w:r>
        <w:t xml:space="preserve">. </w:t>
      </w:r>
    </w:p>
    <w:p w:rsidR="0060585A" w:rsidRPr="00EE5C71" w:rsidRDefault="0060585A" w:rsidP="00E41045">
      <w:pPr>
        <w:autoSpaceDE w:val="0"/>
        <w:autoSpaceDN w:val="0"/>
        <w:adjustRightInd w:val="0"/>
        <w:spacing w:line="276" w:lineRule="auto"/>
      </w:pPr>
    </w:p>
    <w:tbl>
      <w:tblPr>
        <w:tblW w:w="9501" w:type="dxa"/>
        <w:jc w:val="center"/>
        <w:tblInd w:w="406" w:type="dxa"/>
        <w:tblLook w:val="00A0"/>
      </w:tblPr>
      <w:tblGrid>
        <w:gridCol w:w="4806"/>
        <w:gridCol w:w="4806"/>
      </w:tblGrid>
      <w:tr w:rsidR="0060585A" w:rsidRPr="00321D31" w:rsidTr="00004575">
        <w:trPr>
          <w:jc w:val="center"/>
        </w:trPr>
        <w:tc>
          <w:tcPr>
            <w:tcW w:w="9501" w:type="dxa"/>
            <w:gridSpan w:val="2"/>
          </w:tcPr>
          <w:p w:rsidR="0060585A" w:rsidRPr="00321D31" w:rsidRDefault="0060585A" w:rsidP="004D31F4">
            <w:pPr>
              <w:pStyle w:val="Caption"/>
              <w:keepNext/>
              <w:keepLines/>
              <w:spacing w:before="60" w:after="60" w:line="276" w:lineRule="auto"/>
              <w:jc w:val="left"/>
              <w:rPr>
                <w:sz w:val="24"/>
                <w:szCs w:val="24"/>
              </w:rPr>
            </w:pPr>
            <w:bookmarkStart w:id="45" w:name="_Ref277010540"/>
            <w:r w:rsidRPr="00321D31">
              <w:rPr>
                <w:sz w:val="24"/>
                <w:szCs w:val="24"/>
              </w:rPr>
              <w:t xml:space="preserve">Figure </w:t>
            </w:r>
            <w:r w:rsidR="00185C05" w:rsidRPr="00321D31">
              <w:rPr>
                <w:sz w:val="24"/>
                <w:szCs w:val="24"/>
              </w:rPr>
              <w:fldChar w:fldCharType="begin"/>
            </w:r>
            <w:r w:rsidRPr="00321D31">
              <w:rPr>
                <w:sz w:val="24"/>
                <w:szCs w:val="24"/>
              </w:rPr>
              <w:instrText xml:space="preserve"> SEQ Figure \* ARABIC </w:instrText>
            </w:r>
            <w:r w:rsidR="00185C05" w:rsidRPr="00321D31">
              <w:rPr>
                <w:sz w:val="24"/>
                <w:szCs w:val="24"/>
              </w:rPr>
              <w:fldChar w:fldCharType="separate"/>
            </w:r>
            <w:r w:rsidRPr="00321D31">
              <w:rPr>
                <w:noProof/>
                <w:sz w:val="24"/>
                <w:szCs w:val="24"/>
              </w:rPr>
              <w:t>45</w:t>
            </w:r>
            <w:r w:rsidR="00185C05" w:rsidRPr="00321D31">
              <w:rPr>
                <w:sz w:val="24"/>
                <w:szCs w:val="24"/>
              </w:rPr>
              <w:fldChar w:fldCharType="end"/>
            </w:r>
            <w:bookmarkEnd w:id="45"/>
            <w:r w:rsidRPr="00321D31">
              <w:rPr>
                <w:sz w:val="24"/>
                <w:szCs w:val="24"/>
              </w:rPr>
              <w:t>. General Government Fiscal Deficits, Projected and Actual, EU10 and EU15 Countries, 2010–2011 (Percent of GDP)</w:t>
            </w:r>
          </w:p>
        </w:tc>
      </w:tr>
      <w:tr w:rsidR="0060585A" w:rsidRPr="00321D31" w:rsidTr="00004575">
        <w:trPr>
          <w:jc w:val="center"/>
        </w:trPr>
        <w:tc>
          <w:tcPr>
            <w:tcW w:w="4808" w:type="dxa"/>
          </w:tcPr>
          <w:p w:rsidR="0060585A" w:rsidRPr="00321D31" w:rsidRDefault="00A1042F" w:rsidP="00321D31">
            <w:pPr>
              <w:keepNext/>
              <w:keepLines/>
              <w:autoSpaceDE w:val="0"/>
              <w:autoSpaceDN w:val="0"/>
              <w:adjustRightInd w:val="0"/>
              <w:spacing w:line="276" w:lineRule="auto"/>
              <w:rPr>
                <w:b/>
              </w:rPr>
            </w:pPr>
            <w:r>
              <w:rPr>
                <w:b/>
                <w:noProof/>
              </w:rPr>
              <w:drawing>
                <wp:inline distT="0" distB="0" distL="0" distR="0">
                  <wp:extent cx="2895600" cy="173355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a:srcRect/>
                          <a:stretch>
                            <a:fillRect/>
                          </a:stretch>
                        </pic:blipFill>
                        <pic:spPr bwMode="auto">
                          <a:xfrm>
                            <a:off x="0" y="0"/>
                            <a:ext cx="2895600" cy="1733550"/>
                          </a:xfrm>
                          <a:prstGeom prst="rect">
                            <a:avLst/>
                          </a:prstGeom>
                          <a:noFill/>
                          <a:ln w="9525">
                            <a:noFill/>
                            <a:miter lim="800000"/>
                            <a:headEnd/>
                            <a:tailEnd/>
                          </a:ln>
                        </pic:spPr>
                      </pic:pic>
                    </a:graphicData>
                  </a:graphic>
                </wp:inline>
              </w:drawing>
            </w:r>
          </w:p>
        </w:tc>
        <w:tc>
          <w:tcPr>
            <w:tcW w:w="4693" w:type="dxa"/>
          </w:tcPr>
          <w:p w:rsidR="0060585A" w:rsidRPr="00321D31" w:rsidRDefault="00A1042F" w:rsidP="00321D31">
            <w:pPr>
              <w:keepNext/>
              <w:keepLines/>
              <w:autoSpaceDE w:val="0"/>
              <w:autoSpaceDN w:val="0"/>
              <w:adjustRightInd w:val="0"/>
              <w:spacing w:line="276" w:lineRule="auto"/>
              <w:rPr>
                <w:b/>
              </w:rPr>
            </w:pPr>
            <w:r>
              <w:rPr>
                <w:b/>
                <w:noProof/>
              </w:rPr>
              <w:drawing>
                <wp:inline distT="0" distB="0" distL="0" distR="0">
                  <wp:extent cx="2895600" cy="173355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a:srcRect/>
                          <a:stretch>
                            <a:fillRect/>
                          </a:stretch>
                        </pic:blipFill>
                        <pic:spPr bwMode="auto">
                          <a:xfrm>
                            <a:off x="0" y="0"/>
                            <a:ext cx="2895600" cy="1733550"/>
                          </a:xfrm>
                          <a:prstGeom prst="rect">
                            <a:avLst/>
                          </a:prstGeom>
                          <a:noFill/>
                          <a:ln w="9525">
                            <a:noFill/>
                            <a:miter lim="800000"/>
                            <a:headEnd/>
                            <a:tailEnd/>
                          </a:ln>
                        </pic:spPr>
                      </pic:pic>
                    </a:graphicData>
                  </a:graphic>
                </wp:inline>
              </w:drawing>
            </w:r>
          </w:p>
        </w:tc>
      </w:tr>
      <w:tr w:rsidR="0060585A" w:rsidRPr="00321D31" w:rsidTr="00004575">
        <w:trPr>
          <w:jc w:val="center"/>
        </w:trPr>
        <w:tc>
          <w:tcPr>
            <w:tcW w:w="9501" w:type="dxa"/>
            <w:gridSpan w:val="2"/>
          </w:tcPr>
          <w:p w:rsidR="0060585A" w:rsidRPr="00321D31" w:rsidRDefault="0060585A" w:rsidP="00321D31">
            <w:pPr>
              <w:keepNext/>
              <w:keepLines/>
              <w:spacing w:before="60" w:after="40" w:line="276" w:lineRule="auto"/>
              <w:rPr>
                <w:i/>
                <w:sz w:val="20"/>
              </w:rPr>
            </w:pPr>
            <w:r w:rsidRPr="00321D31">
              <w:rPr>
                <w:i/>
                <w:sz w:val="20"/>
              </w:rPr>
              <w:t xml:space="preserve">Source: </w:t>
            </w:r>
            <w:r w:rsidRPr="00321D31">
              <w:rPr>
                <w:sz w:val="20"/>
              </w:rPr>
              <w:t>Eurostat, April 2012 EDP notifications, World Bank staff calculations.</w:t>
            </w:r>
          </w:p>
        </w:tc>
      </w:tr>
    </w:tbl>
    <w:p w:rsidR="0060585A" w:rsidRPr="00EE5C71" w:rsidRDefault="0060585A" w:rsidP="00E41045">
      <w:pPr>
        <w:autoSpaceDE w:val="0"/>
        <w:autoSpaceDN w:val="0"/>
        <w:adjustRightInd w:val="0"/>
        <w:spacing w:line="276" w:lineRule="auto"/>
      </w:pPr>
    </w:p>
    <w:p w:rsidR="0060585A" w:rsidRPr="00EE5C71" w:rsidRDefault="0060585A" w:rsidP="00E41045">
      <w:pPr>
        <w:autoSpaceDE w:val="0"/>
        <w:autoSpaceDN w:val="0"/>
        <w:adjustRightInd w:val="0"/>
        <w:spacing w:line="276" w:lineRule="auto"/>
      </w:pPr>
      <w:r>
        <w:rPr>
          <w:b/>
        </w:rPr>
        <w:t>C</w:t>
      </w:r>
      <w:r w:rsidRPr="00EE5C71">
        <w:rPr>
          <w:b/>
        </w:rPr>
        <w:t>orrective fiscal measures and a supportive economic cycle</w:t>
      </w:r>
      <w:r>
        <w:rPr>
          <w:b/>
        </w:rPr>
        <w:t xml:space="preserve"> produced improvements in p</w:t>
      </w:r>
      <w:r w:rsidRPr="00EE5C71">
        <w:rPr>
          <w:b/>
        </w:rPr>
        <w:t>ublic finances in 20</w:t>
      </w:r>
      <w:r>
        <w:rPr>
          <w:b/>
        </w:rPr>
        <w:t>1</w:t>
      </w:r>
      <w:r w:rsidRPr="00EE5C71">
        <w:rPr>
          <w:b/>
        </w:rPr>
        <w:t>1.</w:t>
      </w:r>
      <w:r w:rsidRPr="00EE5C71">
        <w:t xml:space="preserve"> </w:t>
      </w:r>
      <w:r>
        <w:t>Though structural measures were the major force in improving fiscal balances in EU11 countries, t</w:t>
      </w:r>
      <w:r w:rsidRPr="00EE5C71">
        <w:t xml:space="preserve">he supportive economic cycle in the region also contributed positively </w:t>
      </w:r>
      <w:r>
        <w:t>(</w:t>
      </w:r>
      <w:fldSimple w:instr=" REF _Ref327263445 \h  \* MERGEFORMAT ">
        <w:r w:rsidRPr="00EE5C71">
          <w:t xml:space="preserve">Figure </w:t>
        </w:r>
        <w:r>
          <w:rPr>
            <w:noProof/>
          </w:rPr>
          <w:t>46</w:t>
        </w:r>
      </w:fldSimple>
      <w:r>
        <w:t xml:space="preserve">). It was only in countries with exceptionally high economic growth (Estonia, Lithuania, and Latvia) that the cyclical component had more impact than discretionary fiscal measures. Reductions in government spending were a major factor in EU11 </w:t>
      </w:r>
      <w:r w:rsidRPr="00EE5C71">
        <w:t xml:space="preserve">fiscal balance </w:t>
      </w:r>
      <w:r>
        <w:t>improvements</w:t>
      </w:r>
      <w:r w:rsidRPr="00EE5C71">
        <w:t>.</w:t>
      </w:r>
      <w:r>
        <w:t xml:space="preserve"> Spending declined </w:t>
      </w:r>
      <w:r w:rsidRPr="00EE5C71">
        <w:t xml:space="preserve">from close to 44 percent of GDP in 2010 to 42 percent in 2011, </w:t>
      </w:r>
      <w:r>
        <w:t xml:space="preserve">mostly because of </w:t>
      </w:r>
      <w:r w:rsidRPr="00EE5C71">
        <w:t>reduction</w:t>
      </w:r>
      <w:r>
        <w:t>s</w:t>
      </w:r>
      <w:r w:rsidRPr="00EE5C71">
        <w:t xml:space="preserve"> in current expenditures</w:t>
      </w:r>
      <w:r>
        <w:t xml:space="preserve">, </w:t>
      </w:r>
      <w:r w:rsidRPr="00EE5C71">
        <w:t xml:space="preserve">mainly </w:t>
      </w:r>
      <w:r>
        <w:t xml:space="preserve">on </w:t>
      </w:r>
      <w:r w:rsidRPr="00EE5C71">
        <w:t xml:space="preserve">wages and social benefits. </w:t>
      </w:r>
      <w:r>
        <w:t>At the same time</w:t>
      </w:r>
      <w:r w:rsidRPr="00EE5C71">
        <w:t>, interest payments increased</w:t>
      </w:r>
      <w:r w:rsidRPr="00D7271A">
        <w:t>, driven by both higher debt levels and higher government bond yields (</w:t>
      </w:r>
      <w:fldSimple w:instr=" REF _Ref327263471 \h  \* MERGEFORMAT ">
        <w:r w:rsidRPr="00F5515A">
          <w:t xml:space="preserve">Figure </w:t>
        </w:r>
        <w:r>
          <w:rPr>
            <w:noProof/>
          </w:rPr>
          <w:t>47</w:t>
        </w:r>
      </w:fldSimple>
      <w:r w:rsidRPr="00D7271A">
        <w:t>). In the aggregate, public investment did not suffer: many EU11 countries managed to execute intensive public investment programs in spite of the difficult fiscal situation.</w:t>
      </w:r>
      <w:r>
        <w:t xml:space="preserve"> This was the case in Poland, Romania, Hungary and Estonia.  </w:t>
      </w:r>
      <w:r w:rsidRPr="00D7271A">
        <w:t>However in five EU11 countries, there was a reduction in public investment in 2011 compared to 2010.</w:t>
      </w:r>
    </w:p>
    <w:p w:rsidR="0060585A" w:rsidRPr="00EE5C71" w:rsidRDefault="0060585A" w:rsidP="00E41045">
      <w:pPr>
        <w:autoSpaceDE w:val="0"/>
        <w:autoSpaceDN w:val="0"/>
        <w:adjustRightInd w:val="0"/>
        <w:spacing w:line="276" w:lineRule="auto"/>
        <w:rPr>
          <w:b/>
        </w:rPr>
      </w:pPr>
    </w:p>
    <w:tbl>
      <w:tblPr>
        <w:tblW w:w="9888" w:type="dxa"/>
        <w:tblLook w:val="00A0"/>
      </w:tblPr>
      <w:tblGrid>
        <w:gridCol w:w="4851"/>
        <w:gridCol w:w="5037"/>
      </w:tblGrid>
      <w:tr w:rsidR="0060585A" w:rsidRPr="00321D31" w:rsidTr="002A4C0C">
        <w:tc>
          <w:tcPr>
            <w:tcW w:w="9888" w:type="dxa"/>
            <w:gridSpan w:val="2"/>
          </w:tcPr>
          <w:p w:rsidR="0060585A" w:rsidRPr="00321D31" w:rsidRDefault="0060585A" w:rsidP="004D31F4">
            <w:pPr>
              <w:pStyle w:val="Caption"/>
              <w:keepNext/>
              <w:keepLines/>
              <w:spacing w:before="60" w:after="60" w:line="276" w:lineRule="auto"/>
              <w:jc w:val="left"/>
              <w:rPr>
                <w:sz w:val="24"/>
                <w:szCs w:val="24"/>
              </w:rPr>
            </w:pPr>
            <w:bookmarkStart w:id="46" w:name="_Ref327263445"/>
            <w:r w:rsidRPr="00321D31">
              <w:rPr>
                <w:sz w:val="24"/>
                <w:szCs w:val="24"/>
              </w:rPr>
              <w:lastRenderedPageBreak/>
              <w:t xml:space="preserve">Figure </w:t>
            </w:r>
            <w:r w:rsidR="00185C05" w:rsidRPr="00321D31">
              <w:rPr>
                <w:sz w:val="24"/>
                <w:szCs w:val="24"/>
              </w:rPr>
              <w:fldChar w:fldCharType="begin"/>
            </w:r>
            <w:r w:rsidRPr="00321D31">
              <w:rPr>
                <w:sz w:val="24"/>
                <w:szCs w:val="24"/>
              </w:rPr>
              <w:instrText xml:space="preserve"> SEQ Figure \* ARABIC </w:instrText>
            </w:r>
            <w:r w:rsidR="00185C05" w:rsidRPr="00321D31">
              <w:rPr>
                <w:sz w:val="24"/>
                <w:szCs w:val="24"/>
              </w:rPr>
              <w:fldChar w:fldCharType="separate"/>
            </w:r>
            <w:r w:rsidRPr="00321D31">
              <w:rPr>
                <w:noProof/>
                <w:sz w:val="24"/>
                <w:szCs w:val="24"/>
              </w:rPr>
              <w:t>46</w:t>
            </w:r>
            <w:r w:rsidR="00185C05" w:rsidRPr="00321D31">
              <w:rPr>
                <w:sz w:val="24"/>
                <w:szCs w:val="24"/>
              </w:rPr>
              <w:fldChar w:fldCharType="end"/>
            </w:r>
            <w:bookmarkEnd w:id="46"/>
            <w:r w:rsidRPr="00321D31">
              <w:rPr>
                <w:sz w:val="24"/>
                <w:szCs w:val="24"/>
              </w:rPr>
              <w:t>. General Government Fiscal Deficit Reduction, 2010 to 2011 (Percent of GDP)</w:t>
            </w:r>
          </w:p>
        </w:tc>
      </w:tr>
      <w:tr w:rsidR="0060585A" w:rsidRPr="00321D31" w:rsidTr="002A4C0C">
        <w:tc>
          <w:tcPr>
            <w:tcW w:w="4851" w:type="dxa"/>
          </w:tcPr>
          <w:p w:rsidR="0060585A" w:rsidRPr="00321D31" w:rsidRDefault="00A1042F" w:rsidP="00321D31">
            <w:pPr>
              <w:keepNext/>
              <w:keepLines/>
              <w:autoSpaceDE w:val="0"/>
              <w:autoSpaceDN w:val="0"/>
              <w:adjustRightInd w:val="0"/>
              <w:spacing w:line="276" w:lineRule="auto"/>
              <w:rPr>
                <w:b/>
              </w:rPr>
            </w:pPr>
            <w:r>
              <w:rPr>
                <w:b/>
                <w:noProof/>
              </w:rPr>
              <w:drawing>
                <wp:inline distT="0" distB="0" distL="0" distR="0">
                  <wp:extent cx="2895600" cy="177165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a:srcRect/>
                          <a:stretch>
                            <a:fillRect/>
                          </a:stretch>
                        </pic:blipFill>
                        <pic:spPr bwMode="auto">
                          <a:xfrm>
                            <a:off x="0" y="0"/>
                            <a:ext cx="2895600" cy="1771650"/>
                          </a:xfrm>
                          <a:prstGeom prst="rect">
                            <a:avLst/>
                          </a:prstGeom>
                          <a:noFill/>
                          <a:ln w="9525">
                            <a:noFill/>
                            <a:miter lim="800000"/>
                            <a:headEnd/>
                            <a:tailEnd/>
                          </a:ln>
                        </pic:spPr>
                      </pic:pic>
                    </a:graphicData>
                  </a:graphic>
                </wp:inline>
              </w:drawing>
            </w:r>
          </w:p>
        </w:tc>
        <w:tc>
          <w:tcPr>
            <w:tcW w:w="5037" w:type="dxa"/>
          </w:tcPr>
          <w:p w:rsidR="0060585A" w:rsidRPr="00321D31" w:rsidRDefault="00A1042F" w:rsidP="00321D31">
            <w:pPr>
              <w:autoSpaceDE w:val="0"/>
              <w:autoSpaceDN w:val="0"/>
              <w:adjustRightInd w:val="0"/>
              <w:spacing w:line="276" w:lineRule="auto"/>
              <w:rPr>
                <w:b/>
              </w:rPr>
            </w:pPr>
            <w:r>
              <w:rPr>
                <w:b/>
                <w:noProof/>
              </w:rPr>
              <w:drawing>
                <wp:inline distT="0" distB="0" distL="0" distR="0">
                  <wp:extent cx="2895600" cy="177165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a:srcRect/>
                          <a:stretch>
                            <a:fillRect/>
                          </a:stretch>
                        </pic:blipFill>
                        <pic:spPr bwMode="auto">
                          <a:xfrm>
                            <a:off x="0" y="0"/>
                            <a:ext cx="2895600" cy="1771650"/>
                          </a:xfrm>
                          <a:prstGeom prst="rect">
                            <a:avLst/>
                          </a:prstGeom>
                          <a:noFill/>
                          <a:ln w="9525">
                            <a:noFill/>
                            <a:miter lim="800000"/>
                            <a:headEnd/>
                            <a:tailEnd/>
                          </a:ln>
                        </pic:spPr>
                      </pic:pic>
                    </a:graphicData>
                  </a:graphic>
                </wp:inline>
              </w:drawing>
            </w:r>
          </w:p>
        </w:tc>
      </w:tr>
      <w:tr w:rsidR="0060585A" w:rsidRPr="00321D31" w:rsidTr="002A4C0C">
        <w:tc>
          <w:tcPr>
            <w:tcW w:w="4851" w:type="dxa"/>
          </w:tcPr>
          <w:p w:rsidR="0060585A" w:rsidRPr="00321D31" w:rsidRDefault="0060585A" w:rsidP="00321D31">
            <w:pPr>
              <w:keepNext/>
              <w:spacing w:before="60" w:after="40" w:line="276" w:lineRule="auto"/>
              <w:rPr>
                <w:i/>
                <w:sz w:val="18"/>
                <w:szCs w:val="18"/>
              </w:rPr>
            </w:pPr>
            <w:r w:rsidRPr="00321D31">
              <w:rPr>
                <w:i/>
                <w:sz w:val="18"/>
                <w:szCs w:val="18"/>
              </w:rPr>
              <w:t xml:space="preserve">Source: </w:t>
            </w:r>
            <w:r w:rsidRPr="00321D31">
              <w:rPr>
                <w:sz w:val="18"/>
                <w:szCs w:val="18"/>
              </w:rPr>
              <w:t>Eurostat, World Bank staff calculations</w:t>
            </w:r>
            <w:r w:rsidRPr="00321D31">
              <w:rPr>
                <w:i/>
                <w:sz w:val="18"/>
                <w:szCs w:val="18"/>
              </w:rPr>
              <w:t>.</w:t>
            </w:r>
          </w:p>
        </w:tc>
        <w:tc>
          <w:tcPr>
            <w:tcW w:w="5037" w:type="dxa"/>
          </w:tcPr>
          <w:p w:rsidR="0060585A" w:rsidRPr="00321D31" w:rsidRDefault="0060585A" w:rsidP="00321D31">
            <w:pPr>
              <w:keepNext/>
              <w:spacing w:before="60" w:after="40" w:line="276" w:lineRule="auto"/>
              <w:rPr>
                <w:i/>
                <w:sz w:val="18"/>
                <w:szCs w:val="18"/>
              </w:rPr>
            </w:pPr>
          </w:p>
        </w:tc>
      </w:tr>
    </w:tbl>
    <w:p w:rsidR="0060585A" w:rsidRDefault="0060585A" w:rsidP="00E41045">
      <w:pPr>
        <w:autoSpaceDE w:val="0"/>
        <w:autoSpaceDN w:val="0"/>
        <w:adjustRightInd w:val="0"/>
        <w:spacing w:line="276" w:lineRule="auto"/>
        <w:rPr>
          <w:b/>
        </w:rPr>
      </w:pPr>
    </w:p>
    <w:tbl>
      <w:tblPr>
        <w:tblW w:w="9708" w:type="dxa"/>
        <w:tblLook w:val="00A0"/>
      </w:tblPr>
      <w:tblGrid>
        <w:gridCol w:w="9708"/>
      </w:tblGrid>
      <w:tr w:rsidR="0060585A" w:rsidRPr="00321D31" w:rsidTr="002A4C0C">
        <w:tc>
          <w:tcPr>
            <w:tcW w:w="9708" w:type="dxa"/>
          </w:tcPr>
          <w:p w:rsidR="0060585A" w:rsidRPr="00321D31" w:rsidRDefault="0060585A" w:rsidP="004D31F4">
            <w:pPr>
              <w:pStyle w:val="Caption"/>
              <w:keepNext/>
              <w:keepLines/>
              <w:spacing w:before="60" w:after="60" w:line="276" w:lineRule="auto"/>
              <w:jc w:val="left"/>
              <w:rPr>
                <w:sz w:val="24"/>
                <w:szCs w:val="24"/>
              </w:rPr>
            </w:pPr>
            <w:bookmarkStart w:id="47" w:name="_Ref327263471"/>
            <w:r w:rsidRPr="00321D31">
              <w:rPr>
                <w:sz w:val="24"/>
                <w:szCs w:val="24"/>
              </w:rPr>
              <w:t xml:space="preserve">Figure </w:t>
            </w:r>
            <w:r w:rsidR="00185C05" w:rsidRPr="00321D31">
              <w:rPr>
                <w:sz w:val="24"/>
                <w:szCs w:val="24"/>
              </w:rPr>
              <w:fldChar w:fldCharType="begin"/>
            </w:r>
            <w:r w:rsidRPr="00321D31">
              <w:rPr>
                <w:sz w:val="24"/>
                <w:szCs w:val="24"/>
              </w:rPr>
              <w:instrText xml:space="preserve"> SEQ Figure \* ARABIC </w:instrText>
            </w:r>
            <w:r w:rsidR="00185C05" w:rsidRPr="00321D31">
              <w:rPr>
                <w:sz w:val="24"/>
                <w:szCs w:val="24"/>
              </w:rPr>
              <w:fldChar w:fldCharType="separate"/>
            </w:r>
            <w:r w:rsidRPr="00321D31">
              <w:rPr>
                <w:noProof/>
                <w:sz w:val="24"/>
                <w:szCs w:val="24"/>
              </w:rPr>
              <w:t>47</w:t>
            </w:r>
            <w:r w:rsidR="00185C05" w:rsidRPr="00321D31">
              <w:rPr>
                <w:sz w:val="24"/>
                <w:szCs w:val="24"/>
              </w:rPr>
              <w:fldChar w:fldCharType="end"/>
            </w:r>
            <w:bookmarkEnd w:id="47"/>
            <w:r w:rsidRPr="00321D31">
              <w:rPr>
                <w:sz w:val="24"/>
                <w:szCs w:val="24"/>
              </w:rPr>
              <w:t>. Expenditure Reductions, 2010 to 2011 (Percent of GDP)</w:t>
            </w:r>
          </w:p>
        </w:tc>
      </w:tr>
      <w:tr w:rsidR="0060585A" w:rsidRPr="00321D31" w:rsidTr="002A4C0C">
        <w:tc>
          <w:tcPr>
            <w:tcW w:w="9708" w:type="dxa"/>
          </w:tcPr>
          <w:p w:rsidR="0060585A" w:rsidRPr="00321D31" w:rsidRDefault="00A1042F" w:rsidP="00321D31">
            <w:pPr>
              <w:autoSpaceDE w:val="0"/>
              <w:autoSpaceDN w:val="0"/>
              <w:adjustRightInd w:val="0"/>
              <w:spacing w:line="276" w:lineRule="auto"/>
              <w:rPr>
                <w:b/>
              </w:rPr>
            </w:pPr>
            <w:r>
              <w:rPr>
                <w:b/>
                <w:noProof/>
              </w:rPr>
              <w:drawing>
                <wp:inline distT="0" distB="0" distL="0" distR="0">
                  <wp:extent cx="3352800" cy="201930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a:srcRect/>
                          <a:stretch>
                            <a:fillRect/>
                          </a:stretch>
                        </pic:blipFill>
                        <pic:spPr bwMode="auto">
                          <a:xfrm>
                            <a:off x="0" y="0"/>
                            <a:ext cx="3352800" cy="2019300"/>
                          </a:xfrm>
                          <a:prstGeom prst="rect">
                            <a:avLst/>
                          </a:prstGeom>
                          <a:noFill/>
                          <a:ln w="9525">
                            <a:noFill/>
                            <a:miter lim="800000"/>
                            <a:headEnd/>
                            <a:tailEnd/>
                          </a:ln>
                        </pic:spPr>
                      </pic:pic>
                    </a:graphicData>
                  </a:graphic>
                </wp:inline>
              </w:drawing>
            </w:r>
          </w:p>
        </w:tc>
      </w:tr>
      <w:tr w:rsidR="0060585A" w:rsidRPr="00321D31" w:rsidTr="002A4C0C">
        <w:tc>
          <w:tcPr>
            <w:tcW w:w="9708" w:type="dxa"/>
          </w:tcPr>
          <w:p w:rsidR="0060585A" w:rsidRPr="00321D31" w:rsidRDefault="0060585A" w:rsidP="00321D31">
            <w:pPr>
              <w:keepNext/>
              <w:spacing w:before="60" w:after="40" w:line="276" w:lineRule="auto"/>
              <w:rPr>
                <w:i/>
                <w:sz w:val="18"/>
                <w:szCs w:val="18"/>
              </w:rPr>
            </w:pPr>
            <w:r w:rsidRPr="00321D31">
              <w:rPr>
                <w:i/>
                <w:sz w:val="18"/>
                <w:szCs w:val="18"/>
              </w:rPr>
              <w:t xml:space="preserve">Source: </w:t>
            </w:r>
            <w:r w:rsidRPr="00321D31">
              <w:rPr>
                <w:sz w:val="18"/>
                <w:szCs w:val="18"/>
              </w:rPr>
              <w:t>Eurostat Ameco, World Bank staff calculations.</w:t>
            </w:r>
          </w:p>
        </w:tc>
      </w:tr>
    </w:tbl>
    <w:p w:rsidR="0060585A" w:rsidRDefault="0060585A" w:rsidP="00E41045">
      <w:pPr>
        <w:autoSpaceDE w:val="0"/>
        <w:autoSpaceDN w:val="0"/>
        <w:adjustRightInd w:val="0"/>
        <w:spacing w:line="276" w:lineRule="auto"/>
        <w:rPr>
          <w:b/>
        </w:rPr>
      </w:pPr>
    </w:p>
    <w:p w:rsidR="0060585A" w:rsidRDefault="0060585A" w:rsidP="00E41045">
      <w:pPr>
        <w:autoSpaceDE w:val="0"/>
        <w:autoSpaceDN w:val="0"/>
        <w:adjustRightInd w:val="0"/>
        <w:spacing w:line="276" w:lineRule="auto"/>
      </w:pPr>
      <w:r w:rsidRPr="00EE5C71">
        <w:rPr>
          <w:b/>
        </w:rPr>
        <w:t xml:space="preserve">Persistent </w:t>
      </w:r>
      <w:r w:rsidRPr="00792049">
        <w:rPr>
          <w:b/>
        </w:rPr>
        <w:t xml:space="preserve">market pressures coupled with the necessity to adjust to the EU budgetary rules (including the new Fiscal Compact – see </w:t>
      </w:r>
      <w:fldSimple w:instr=" REF _Ref327446971 \h  \* MERGEFORMAT ">
        <w:r w:rsidRPr="005D6031">
          <w:rPr>
            <w:b/>
          </w:rPr>
          <w:t>Box 1</w:t>
        </w:r>
      </w:fldSimple>
      <w:r w:rsidRPr="00792049">
        <w:rPr>
          <w:b/>
        </w:rPr>
        <w:t>) underlined the need for further fiscal consolidation despite weaker economic prospects</w:t>
      </w:r>
      <w:r w:rsidRPr="00EE5C71">
        <w:rPr>
          <w:b/>
        </w:rPr>
        <w:t>.</w:t>
      </w:r>
      <w:r>
        <w:rPr>
          <w:b/>
        </w:rPr>
        <w:t xml:space="preserve">  </w:t>
      </w:r>
      <w:r w:rsidRPr="00EE5C71">
        <w:t xml:space="preserve">Currently, nine of </w:t>
      </w:r>
      <w:r>
        <w:t xml:space="preserve">the EU10 countries (EU11 excluding Croatia) </w:t>
      </w:r>
      <w:r w:rsidRPr="00EE5C71">
        <w:t>are subject to the excessive deficit procedure</w:t>
      </w:r>
      <w:r>
        <w:t xml:space="preserve"> (EDP) of the European Commission (EC)</w:t>
      </w:r>
      <w:r w:rsidRPr="00EE5C71">
        <w:t>.</w:t>
      </w:r>
      <w:r>
        <w:t xml:space="preserve"> </w:t>
      </w:r>
      <w:r w:rsidRPr="00EE5C71">
        <w:t>Bulgaria, which had to correct its fiscal balance by the end of 2011</w:t>
      </w:r>
      <w:r>
        <w:t>,</w:t>
      </w:r>
      <w:r w:rsidRPr="00EE5C71">
        <w:t xml:space="preserve"> is on track to </w:t>
      </w:r>
      <w:r>
        <w:t xml:space="preserve">full </w:t>
      </w:r>
      <w:r w:rsidRPr="00EE5C71">
        <w:t>compl</w:t>
      </w:r>
      <w:r>
        <w:t xml:space="preserve">iance </w:t>
      </w:r>
      <w:r w:rsidRPr="00EE5C71">
        <w:t>with the Stability and Growth Pact</w:t>
      </w:r>
      <w:r>
        <w:t>, as the European Commission has made a recommendation to the European Council to abrogate the EDP in Bulgaria</w:t>
      </w:r>
      <w:r w:rsidRPr="00EE5C71">
        <w:t>.</w:t>
      </w:r>
      <w:r>
        <w:t xml:space="preserve">  </w:t>
      </w:r>
      <w:r w:rsidRPr="00EE5C71">
        <w:t xml:space="preserve">Hungary </w:t>
      </w:r>
      <w:r>
        <w:t>had</w:t>
      </w:r>
      <w:r w:rsidRPr="00EE5C71">
        <w:t xml:space="preserve"> to take additional measures</w:t>
      </w:r>
      <w:r>
        <w:t xml:space="preserve"> (e.g., </w:t>
      </w:r>
      <w:r w:rsidRPr="00836C96">
        <w:t>new levies on telecommunications services and financial transactions, reductions in subsidies for drugs</w:t>
      </w:r>
      <w:r>
        <w:t>,</w:t>
      </w:r>
      <w:r w:rsidRPr="00836C96">
        <w:t xml:space="preserve"> spending cuts at ministries</w:t>
      </w:r>
      <w:r>
        <w:t>)</w:t>
      </w:r>
      <w:r w:rsidRPr="00EE5C71">
        <w:t xml:space="preserve"> to </w:t>
      </w:r>
      <w:r>
        <w:t xml:space="preserve">restore </w:t>
      </w:r>
      <w:r w:rsidRPr="00EE5C71">
        <w:t>fiscal discipline</w:t>
      </w:r>
      <w:r>
        <w:t xml:space="preserve"> but is now on track to reduce its excessive deficit by year-end. The other seven </w:t>
      </w:r>
      <w:r w:rsidRPr="00EE5C71">
        <w:t xml:space="preserve">countries are also in </w:t>
      </w:r>
      <w:r>
        <w:t xml:space="preserve">a position to correct their fiscal positions and meet </w:t>
      </w:r>
      <w:r w:rsidRPr="00EE5C71">
        <w:t>deadlines for deficit correction in 2012 (Poland, Romania, Lithuania</w:t>
      </w:r>
      <w:r>
        <w:t>,</w:t>
      </w:r>
      <w:r w:rsidRPr="00EE5C71">
        <w:t xml:space="preserve"> and Latvia) or 2013 (Czech Republic, Slovenia, </w:t>
      </w:r>
      <w:r>
        <w:t xml:space="preserve">and </w:t>
      </w:r>
      <w:r w:rsidRPr="00EE5C71">
        <w:t xml:space="preserve">Slovakia). </w:t>
      </w:r>
    </w:p>
    <w:tbl>
      <w:tblPr>
        <w:tblW w:w="9600" w:type="dxa"/>
        <w:tblInd w:w="-12" w:type="dxa"/>
        <w:tblBorders>
          <w:top w:val="single" w:sz="4" w:space="0" w:color="000000"/>
          <w:left w:val="single" w:sz="4" w:space="0" w:color="000000"/>
          <w:bottom w:val="single" w:sz="4" w:space="0" w:color="000000"/>
          <w:right w:val="single" w:sz="4" w:space="0" w:color="000000"/>
          <w:insideV w:val="single" w:sz="4" w:space="0" w:color="000000"/>
        </w:tblBorders>
        <w:tblLook w:val="00A0"/>
      </w:tblPr>
      <w:tblGrid>
        <w:gridCol w:w="9600"/>
      </w:tblGrid>
      <w:tr w:rsidR="0060585A" w:rsidRPr="00321D31" w:rsidTr="00004575">
        <w:tc>
          <w:tcPr>
            <w:tcW w:w="9600" w:type="dxa"/>
            <w:tcBorders>
              <w:top w:val="single" w:sz="4" w:space="0" w:color="000000"/>
            </w:tcBorders>
            <w:shd w:val="pct12" w:color="auto" w:fill="auto"/>
          </w:tcPr>
          <w:p w:rsidR="0060585A" w:rsidRPr="00321D31" w:rsidRDefault="0060585A" w:rsidP="00321D31">
            <w:pPr>
              <w:pStyle w:val="Caption"/>
              <w:keepNext/>
              <w:spacing w:before="60" w:after="60" w:line="276" w:lineRule="auto"/>
              <w:jc w:val="center"/>
              <w:rPr>
                <w:sz w:val="24"/>
                <w:szCs w:val="24"/>
              </w:rPr>
            </w:pPr>
            <w:bookmarkStart w:id="48" w:name="_Ref327446971"/>
            <w:r w:rsidRPr="00321D31">
              <w:rPr>
                <w:sz w:val="24"/>
                <w:szCs w:val="24"/>
              </w:rPr>
              <w:lastRenderedPageBreak/>
              <w:t xml:space="preserve">Box </w:t>
            </w:r>
            <w:r w:rsidR="00185C05" w:rsidRPr="00321D31">
              <w:rPr>
                <w:sz w:val="24"/>
                <w:szCs w:val="24"/>
              </w:rPr>
              <w:fldChar w:fldCharType="begin"/>
            </w:r>
            <w:r w:rsidRPr="00321D31">
              <w:rPr>
                <w:sz w:val="24"/>
                <w:szCs w:val="24"/>
              </w:rPr>
              <w:instrText xml:space="preserve"> SEQ Box \* ARABIC </w:instrText>
            </w:r>
            <w:r w:rsidR="00185C05" w:rsidRPr="00321D31">
              <w:rPr>
                <w:sz w:val="24"/>
                <w:szCs w:val="24"/>
              </w:rPr>
              <w:fldChar w:fldCharType="separate"/>
            </w:r>
            <w:r w:rsidRPr="00321D31">
              <w:rPr>
                <w:noProof/>
                <w:sz w:val="24"/>
                <w:szCs w:val="24"/>
              </w:rPr>
              <w:t>1</w:t>
            </w:r>
            <w:r w:rsidR="00185C05" w:rsidRPr="00321D31">
              <w:rPr>
                <w:sz w:val="24"/>
                <w:szCs w:val="24"/>
              </w:rPr>
              <w:fldChar w:fldCharType="end"/>
            </w:r>
            <w:bookmarkEnd w:id="48"/>
            <w:r w:rsidRPr="00321D31">
              <w:rPr>
                <w:sz w:val="24"/>
                <w:szCs w:val="24"/>
              </w:rPr>
              <w:t>. The New European Union Fiscal Compact</w:t>
            </w:r>
          </w:p>
        </w:tc>
      </w:tr>
      <w:tr w:rsidR="0060585A" w:rsidRPr="00321D31" w:rsidTr="00004575">
        <w:tc>
          <w:tcPr>
            <w:tcW w:w="9600" w:type="dxa"/>
            <w:shd w:val="pct12" w:color="auto" w:fill="auto"/>
          </w:tcPr>
          <w:p w:rsidR="0060585A" w:rsidRPr="00321D31" w:rsidRDefault="0060585A" w:rsidP="00321D31">
            <w:pPr>
              <w:spacing w:line="276" w:lineRule="auto"/>
            </w:pPr>
            <w:r w:rsidRPr="00321D31">
              <w:t xml:space="preserve">On March 2, 2012, all EU member states, except the Czech Republic and the United Kingdom, signed a new fiscal compact to tighten fiscal governance and anchor future fiscal consolidation. Signatory countries have committed to new rules on fiscal deficits and debt, among them a 0.5 percent limit on the structural deficit and an automatic debt reduction target that obliges member states with gross public debt exceeding 60 percent of GDP to reduce public debt by 1/20 of the ‘excess debt’ annually. While relying on numerical limits to constraint fiscal discretion, the new compact puts greater emphasis on enforcement of fiscal rules than the original EU Stability Pact. Key changes include automatic sanctions unless a qualified majority objects; </w:t>
            </w:r>
            <w:r w:rsidRPr="00321D31">
              <w:rPr>
                <w:i/>
              </w:rPr>
              <w:t>ex ante</w:t>
            </w:r>
            <w:r w:rsidRPr="00321D31">
              <w:t xml:space="preserve"> fiscal surveillance; and enforceability of fiscal rules in the European Court of Justice.</w:t>
            </w:r>
          </w:p>
        </w:tc>
      </w:tr>
      <w:tr w:rsidR="0060585A" w:rsidRPr="00321D31" w:rsidTr="00004575">
        <w:tc>
          <w:tcPr>
            <w:tcW w:w="9600" w:type="dxa"/>
            <w:tcBorders>
              <w:bottom w:val="single" w:sz="4" w:space="0" w:color="000000"/>
            </w:tcBorders>
            <w:shd w:val="pct12" w:color="auto" w:fill="auto"/>
          </w:tcPr>
          <w:p w:rsidR="0060585A" w:rsidRPr="00321D31" w:rsidRDefault="0060585A" w:rsidP="00321D31">
            <w:pPr>
              <w:keepNext/>
              <w:spacing w:before="60" w:after="40" w:line="276" w:lineRule="auto"/>
              <w:rPr>
                <w:i/>
                <w:sz w:val="18"/>
                <w:szCs w:val="18"/>
              </w:rPr>
            </w:pPr>
            <w:r w:rsidRPr="00321D31">
              <w:rPr>
                <w:i/>
                <w:sz w:val="18"/>
                <w:szCs w:val="18"/>
              </w:rPr>
              <w:t xml:space="preserve">Source: </w:t>
            </w:r>
            <w:r w:rsidRPr="00321D31">
              <w:rPr>
                <w:sz w:val="18"/>
                <w:szCs w:val="18"/>
              </w:rPr>
              <w:t>European Commission, World Bank staff.</w:t>
            </w:r>
            <w:r w:rsidRPr="00321D31">
              <w:rPr>
                <w:i/>
                <w:sz w:val="18"/>
                <w:szCs w:val="18"/>
              </w:rPr>
              <w:t xml:space="preserve"> </w:t>
            </w:r>
          </w:p>
        </w:tc>
      </w:tr>
    </w:tbl>
    <w:p w:rsidR="0060585A" w:rsidRPr="00EE5C71" w:rsidRDefault="0060585A" w:rsidP="00E41045">
      <w:pPr>
        <w:autoSpaceDE w:val="0"/>
        <w:autoSpaceDN w:val="0"/>
        <w:adjustRightInd w:val="0"/>
        <w:spacing w:line="276" w:lineRule="auto"/>
        <w:rPr>
          <w:b/>
        </w:rPr>
      </w:pPr>
    </w:p>
    <w:p w:rsidR="0060585A" w:rsidRDefault="0060585A" w:rsidP="00E41045">
      <w:pPr>
        <w:autoSpaceDE w:val="0"/>
        <w:autoSpaceDN w:val="0"/>
        <w:adjustRightInd w:val="0"/>
        <w:spacing w:line="276" w:lineRule="auto"/>
      </w:pPr>
      <w:r w:rsidRPr="00EE5C71">
        <w:rPr>
          <w:b/>
        </w:rPr>
        <w:t xml:space="preserve">Strong fiscal consolidation </w:t>
      </w:r>
      <w:r>
        <w:rPr>
          <w:b/>
        </w:rPr>
        <w:t xml:space="preserve">has </w:t>
      </w:r>
      <w:r w:rsidRPr="00EE5C71">
        <w:rPr>
          <w:b/>
        </w:rPr>
        <w:t xml:space="preserve">helped to limit increases in debt-to-GDP ratios in </w:t>
      </w:r>
      <w:r>
        <w:rPr>
          <w:b/>
        </w:rPr>
        <w:t xml:space="preserve">the </w:t>
      </w:r>
      <w:r w:rsidRPr="00EE5C71">
        <w:rPr>
          <w:b/>
        </w:rPr>
        <w:t>EU11</w:t>
      </w:r>
      <w:r>
        <w:rPr>
          <w:b/>
        </w:rPr>
        <w:t xml:space="preserve"> countries </w:t>
      </w:r>
      <w:r w:rsidRPr="006C3906">
        <w:t>(</w:t>
      </w:r>
      <w:fldSimple w:instr=" REF _Ref277010809 \h  \* MERGEFORMAT ">
        <w:r w:rsidRPr="00EE5C71">
          <w:t xml:space="preserve">Figure </w:t>
        </w:r>
        <w:r>
          <w:rPr>
            <w:noProof/>
          </w:rPr>
          <w:t>48</w:t>
        </w:r>
      </w:fldSimple>
      <w:r w:rsidRPr="006C3906">
        <w:t>).</w:t>
      </w:r>
      <w:r>
        <w:t xml:space="preserve"> </w:t>
      </w:r>
      <w:r w:rsidRPr="00EE5C71">
        <w:t>In 2011</w:t>
      </w:r>
      <w:r>
        <w:t>,</w:t>
      </w:r>
      <w:r w:rsidRPr="00EE5C71">
        <w:t xml:space="preserve"> debt-to-GDP ratios increased for the fifth year in a row, </w:t>
      </w:r>
      <w:r>
        <w:t xml:space="preserve">and were </w:t>
      </w:r>
      <w:r w:rsidRPr="00EE5C71">
        <w:t xml:space="preserve">somewhat more than </w:t>
      </w:r>
      <w:r>
        <w:t xml:space="preserve">had been </w:t>
      </w:r>
      <w:r w:rsidRPr="00EE5C71">
        <w:t>planned</w:t>
      </w:r>
      <w:r>
        <w:t xml:space="preserve"> in October 2011 fiscal notifications</w:t>
      </w:r>
      <w:r w:rsidRPr="00EE5C71">
        <w:t>.</w:t>
      </w:r>
      <w:r>
        <w:t xml:space="preserve"> </w:t>
      </w:r>
      <w:r w:rsidRPr="00EE5C71">
        <w:t xml:space="preserve">However, the increase in </w:t>
      </w:r>
      <w:r w:rsidRPr="00553A43">
        <w:t>EU1</w:t>
      </w:r>
      <w:r>
        <w:t>1</w:t>
      </w:r>
      <w:r w:rsidRPr="00553A43">
        <w:t xml:space="preserve"> is less</w:t>
      </w:r>
      <w:r w:rsidRPr="00EE5C71">
        <w:t xml:space="preserve"> than in EU15, </w:t>
      </w:r>
      <w:r w:rsidRPr="00553A43">
        <w:t>and public indebtedness relative to size of econom</w:t>
      </w:r>
      <w:r>
        <w:t>y</w:t>
      </w:r>
      <w:r w:rsidRPr="00553A43">
        <w:t xml:space="preserve"> </w:t>
      </w:r>
      <w:r>
        <w:t xml:space="preserve">is </w:t>
      </w:r>
      <w:r w:rsidRPr="00553A43">
        <w:t xml:space="preserve">far lower than in the EU15. </w:t>
      </w:r>
      <w:r>
        <w:t>Across the region p</w:t>
      </w:r>
      <w:r w:rsidRPr="00553A43">
        <w:t xml:space="preserve">ublic debt increased </w:t>
      </w:r>
      <w:r>
        <w:t xml:space="preserve">everywhere </w:t>
      </w:r>
      <w:r w:rsidRPr="00553A43">
        <w:t>except Estonia, Latvia</w:t>
      </w:r>
      <w:r>
        <w:t>,</w:t>
      </w:r>
      <w:r w:rsidRPr="00EE5C71">
        <w:t xml:space="preserve"> and Hungary. In </w:t>
      </w:r>
      <w:r>
        <w:t>Hungary</w:t>
      </w:r>
      <w:r w:rsidRPr="00EE5C71">
        <w:t xml:space="preserve">, </w:t>
      </w:r>
      <w:r>
        <w:t xml:space="preserve">a drop in </w:t>
      </w:r>
      <w:r w:rsidRPr="00EE5C71">
        <w:t>public debt stemming from the large primary surplus was almost completely offset by depreciation of the forint.</w:t>
      </w:r>
      <w:r>
        <w:t xml:space="preserve"> </w:t>
      </w:r>
      <w:r w:rsidRPr="00EE5C71">
        <w:t xml:space="preserve">Similarly, depreciation of the zloty toward the end of 2011 </w:t>
      </w:r>
      <w:r>
        <w:t xml:space="preserve">pushed up </w:t>
      </w:r>
      <w:r w:rsidRPr="00EE5C71">
        <w:t>the public debt-to-GDP ratio in Poland.</w:t>
      </w:r>
      <w:r>
        <w:t xml:space="preserve"> By buying back bonds </w:t>
      </w:r>
      <w:r w:rsidRPr="00EE5C71">
        <w:t>Latvia recorded the biggest reduction in indebtedness</w:t>
      </w:r>
      <w:r>
        <w:t>—</w:t>
      </w:r>
      <w:r w:rsidRPr="00EE5C71">
        <w:t xml:space="preserve">2 percent of GDP. </w:t>
      </w:r>
    </w:p>
    <w:p w:rsidR="0060585A" w:rsidRPr="00EE5C71" w:rsidRDefault="0060585A" w:rsidP="00E41045">
      <w:pPr>
        <w:autoSpaceDE w:val="0"/>
        <w:autoSpaceDN w:val="0"/>
        <w:adjustRightInd w:val="0"/>
        <w:spacing w:line="276" w:lineRule="auto"/>
      </w:pPr>
    </w:p>
    <w:tbl>
      <w:tblPr>
        <w:tblW w:w="9646" w:type="dxa"/>
        <w:jc w:val="center"/>
        <w:tblInd w:w="526" w:type="dxa"/>
        <w:tblLook w:val="00A0"/>
      </w:tblPr>
      <w:tblGrid>
        <w:gridCol w:w="4806"/>
        <w:gridCol w:w="4840"/>
      </w:tblGrid>
      <w:tr w:rsidR="0060585A" w:rsidRPr="00321D31" w:rsidTr="00004575">
        <w:trPr>
          <w:jc w:val="center"/>
        </w:trPr>
        <w:tc>
          <w:tcPr>
            <w:tcW w:w="9646" w:type="dxa"/>
            <w:gridSpan w:val="2"/>
          </w:tcPr>
          <w:p w:rsidR="0060585A" w:rsidRPr="00321D31" w:rsidRDefault="0060585A" w:rsidP="004D31F4">
            <w:pPr>
              <w:pStyle w:val="Caption"/>
              <w:keepNext/>
              <w:spacing w:before="60" w:after="60" w:line="276" w:lineRule="auto"/>
              <w:jc w:val="left"/>
              <w:rPr>
                <w:sz w:val="24"/>
                <w:szCs w:val="24"/>
              </w:rPr>
            </w:pPr>
            <w:bookmarkStart w:id="49" w:name="_Ref277010809"/>
            <w:r w:rsidRPr="00321D31">
              <w:rPr>
                <w:sz w:val="24"/>
                <w:szCs w:val="24"/>
              </w:rPr>
              <w:t xml:space="preserve">Figure </w:t>
            </w:r>
            <w:r w:rsidR="00185C05" w:rsidRPr="00321D31">
              <w:rPr>
                <w:sz w:val="24"/>
                <w:szCs w:val="24"/>
              </w:rPr>
              <w:fldChar w:fldCharType="begin"/>
            </w:r>
            <w:r w:rsidRPr="00321D31">
              <w:rPr>
                <w:sz w:val="24"/>
                <w:szCs w:val="24"/>
              </w:rPr>
              <w:instrText xml:space="preserve"> SEQ Figure \* ARABIC </w:instrText>
            </w:r>
            <w:r w:rsidR="00185C05" w:rsidRPr="00321D31">
              <w:rPr>
                <w:sz w:val="24"/>
                <w:szCs w:val="24"/>
              </w:rPr>
              <w:fldChar w:fldCharType="separate"/>
            </w:r>
            <w:r w:rsidRPr="00321D31">
              <w:rPr>
                <w:noProof/>
                <w:sz w:val="24"/>
                <w:szCs w:val="24"/>
              </w:rPr>
              <w:t>48</w:t>
            </w:r>
            <w:r w:rsidR="00185C05" w:rsidRPr="00321D31">
              <w:rPr>
                <w:sz w:val="24"/>
                <w:szCs w:val="24"/>
              </w:rPr>
              <w:fldChar w:fldCharType="end"/>
            </w:r>
            <w:bookmarkEnd w:id="49"/>
            <w:r w:rsidRPr="00321D31">
              <w:rPr>
                <w:sz w:val="24"/>
                <w:szCs w:val="24"/>
              </w:rPr>
              <w:t>. General Government Debt, Projected and Actual, EU11 and EU15, 2010–11</w:t>
            </w:r>
          </w:p>
        </w:tc>
      </w:tr>
      <w:tr w:rsidR="0060585A" w:rsidRPr="00321D31" w:rsidTr="00004575">
        <w:trPr>
          <w:jc w:val="center"/>
        </w:trPr>
        <w:tc>
          <w:tcPr>
            <w:tcW w:w="4565" w:type="dxa"/>
          </w:tcPr>
          <w:p w:rsidR="0060585A" w:rsidRPr="00321D31" w:rsidRDefault="00A1042F" w:rsidP="00321D31">
            <w:pPr>
              <w:autoSpaceDE w:val="0"/>
              <w:autoSpaceDN w:val="0"/>
              <w:adjustRightInd w:val="0"/>
              <w:spacing w:line="276" w:lineRule="auto"/>
              <w:rPr>
                <w:b/>
              </w:rPr>
            </w:pPr>
            <w:r>
              <w:rPr>
                <w:b/>
                <w:noProof/>
              </w:rPr>
              <w:drawing>
                <wp:inline distT="0" distB="0" distL="0" distR="0">
                  <wp:extent cx="2895600" cy="173355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a:srcRect/>
                          <a:stretch>
                            <a:fillRect/>
                          </a:stretch>
                        </pic:blipFill>
                        <pic:spPr bwMode="auto">
                          <a:xfrm>
                            <a:off x="0" y="0"/>
                            <a:ext cx="2895600" cy="1733550"/>
                          </a:xfrm>
                          <a:prstGeom prst="rect">
                            <a:avLst/>
                          </a:prstGeom>
                          <a:noFill/>
                          <a:ln w="9525">
                            <a:noFill/>
                            <a:miter lim="800000"/>
                            <a:headEnd/>
                            <a:tailEnd/>
                          </a:ln>
                        </pic:spPr>
                      </pic:pic>
                    </a:graphicData>
                  </a:graphic>
                </wp:inline>
              </w:drawing>
            </w:r>
          </w:p>
        </w:tc>
        <w:tc>
          <w:tcPr>
            <w:tcW w:w="5081" w:type="dxa"/>
          </w:tcPr>
          <w:p w:rsidR="0060585A" w:rsidRPr="00321D31" w:rsidRDefault="00A1042F" w:rsidP="00321D31">
            <w:pPr>
              <w:autoSpaceDE w:val="0"/>
              <w:autoSpaceDN w:val="0"/>
              <w:adjustRightInd w:val="0"/>
              <w:spacing w:line="276" w:lineRule="auto"/>
              <w:rPr>
                <w:b/>
              </w:rPr>
            </w:pPr>
            <w:r>
              <w:rPr>
                <w:b/>
                <w:noProof/>
              </w:rPr>
              <w:drawing>
                <wp:inline distT="0" distB="0" distL="0" distR="0">
                  <wp:extent cx="2895600" cy="173355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a:srcRect/>
                          <a:stretch>
                            <a:fillRect/>
                          </a:stretch>
                        </pic:blipFill>
                        <pic:spPr bwMode="auto">
                          <a:xfrm>
                            <a:off x="0" y="0"/>
                            <a:ext cx="2895600" cy="1733550"/>
                          </a:xfrm>
                          <a:prstGeom prst="rect">
                            <a:avLst/>
                          </a:prstGeom>
                          <a:noFill/>
                          <a:ln w="9525">
                            <a:noFill/>
                            <a:miter lim="800000"/>
                            <a:headEnd/>
                            <a:tailEnd/>
                          </a:ln>
                        </pic:spPr>
                      </pic:pic>
                    </a:graphicData>
                  </a:graphic>
                </wp:inline>
              </w:drawing>
            </w:r>
          </w:p>
        </w:tc>
      </w:tr>
      <w:tr w:rsidR="0060585A" w:rsidRPr="00321D31" w:rsidTr="00004575">
        <w:trPr>
          <w:jc w:val="center"/>
        </w:trPr>
        <w:tc>
          <w:tcPr>
            <w:tcW w:w="9646" w:type="dxa"/>
            <w:gridSpan w:val="2"/>
          </w:tcPr>
          <w:p w:rsidR="0060585A" w:rsidRPr="00321D31" w:rsidRDefault="0060585A" w:rsidP="00321D31">
            <w:pPr>
              <w:autoSpaceDE w:val="0"/>
              <w:autoSpaceDN w:val="0"/>
              <w:adjustRightInd w:val="0"/>
              <w:spacing w:line="276" w:lineRule="auto"/>
              <w:rPr>
                <w:b/>
                <w:noProof/>
              </w:rPr>
            </w:pPr>
            <w:r w:rsidRPr="00321D31">
              <w:rPr>
                <w:i/>
                <w:sz w:val="18"/>
                <w:szCs w:val="18"/>
              </w:rPr>
              <w:t xml:space="preserve">Source: </w:t>
            </w:r>
            <w:r w:rsidRPr="00321D31">
              <w:rPr>
                <w:sz w:val="18"/>
                <w:szCs w:val="18"/>
              </w:rPr>
              <w:t>Eurostat, April 2012 EDP notifications, World Bank staff calculations.</w:t>
            </w:r>
          </w:p>
        </w:tc>
      </w:tr>
    </w:tbl>
    <w:p w:rsidR="0060585A" w:rsidRDefault="0060585A">
      <w:pPr>
        <w:spacing w:after="200" w:line="276" w:lineRule="auto"/>
        <w:jc w:val="left"/>
        <w:rPr>
          <w:rFonts w:ascii="ITCFranklinGothic LT Com MdCn" w:hAnsi="ITCFranklinGothic LT Com MdCn"/>
          <w:color w:val="005BAB"/>
          <w:sz w:val="48"/>
          <w:szCs w:val="22"/>
        </w:rPr>
      </w:pPr>
      <w:r>
        <w:br w:type="page"/>
      </w:r>
    </w:p>
    <w:p w:rsidR="0060585A" w:rsidRPr="00D930DF" w:rsidRDefault="0060585A" w:rsidP="00D40FDC">
      <w:pPr>
        <w:pStyle w:val="ChapterTitle"/>
      </w:pPr>
      <w:bookmarkStart w:id="50" w:name="_Toc328295592"/>
      <w:r>
        <w:lastRenderedPageBreak/>
        <w:t xml:space="preserve">EU11 </w:t>
      </w:r>
      <w:r w:rsidRPr="00D930DF">
        <w:t>Economic</w:t>
      </w:r>
      <w:r>
        <w:t xml:space="preserve"> Outlook</w:t>
      </w:r>
      <w:r w:rsidRPr="00D930DF">
        <w:t xml:space="preserve">, </w:t>
      </w:r>
      <w:r>
        <w:t xml:space="preserve">Economic </w:t>
      </w:r>
      <w:r w:rsidRPr="00D930DF">
        <w:t>Policies and Risks for 2012</w:t>
      </w:r>
      <w:r>
        <w:t>–</w:t>
      </w:r>
      <w:r w:rsidRPr="00D930DF">
        <w:t>2013</w:t>
      </w:r>
      <w:bookmarkEnd w:id="50"/>
    </w:p>
    <w:p w:rsidR="0060585A" w:rsidRDefault="0060585A" w:rsidP="007C638E">
      <w:pPr>
        <w:pStyle w:val="IntenseQuote"/>
      </w:pPr>
      <w:r>
        <w:t>Decelerating Economic Activity in the Near-term amid Euro Area Uncertainty</w:t>
      </w:r>
    </w:p>
    <w:p w:rsidR="0060585A" w:rsidRPr="001B12FD" w:rsidRDefault="0060585A" w:rsidP="00E41045">
      <w:pPr>
        <w:pStyle w:val="Heading2"/>
        <w:spacing w:line="276" w:lineRule="auto"/>
        <w:rPr>
          <w:rFonts w:ascii="Cambria" w:hAnsi="Cambria"/>
          <w:b w:val="0"/>
          <w:color w:val="1F497D"/>
          <w:sz w:val="22"/>
          <w:szCs w:val="22"/>
          <w:highlight w:val="yellow"/>
          <w:lang w:val="en-US"/>
        </w:rPr>
      </w:pPr>
      <w:r>
        <w:rPr>
          <w:rFonts w:ascii="Cambria" w:hAnsi="Cambria"/>
          <w:b w:val="0"/>
          <w:color w:val="1F497D"/>
          <w:sz w:val="22"/>
          <w:szCs w:val="22"/>
          <w:lang w:val="en-US"/>
        </w:rPr>
        <w:t xml:space="preserve">In the EU11 economic </w:t>
      </w:r>
      <w:r w:rsidRPr="00683057">
        <w:rPr>
          <w:rFonts w:ascii="Cambria" w:hAnsi="Cambria"/>
          <w:b w:val="0"/>
          <w:color w:val="1F497D"/>
          <w:sz w:val="22"/>
          <w:szCs w:val="22"/>
          <w:lang w:val="en-US"/>
        </w:rPr>
        <w:t>growth is set to decrease</w:t>
      </w:r>
      <w:r>
        <w:rPr>
          <w:rFonts w:ascii="Cambria" w:hAnsi="Cambria"/>
          <w:b w:val="0"/>
          <w:color w:val="1F497D"/>
          <w:sz w:val="22"/>
          <w:szCs w:val="22"/>
          <w:lang w:val="en-US"/>
        </w:rPr>
        <w:t xml:space="preserve"> from its 2011 levels</w:t>
      </w:r>
      <w:r w:rsidRPr="00683057">
        <w:rPr>
          <w:rFonts w:ascii="Cambria" w:hAnsi="Cambria"/>
          <w:b w:val="0"/>
          <w:color w:val="1F497D"/>
          <w:sz w:val="22"/>
          <w:szCs w:val="22"/>
          <w:lang w:val="en-US"/>
        </w:rPr>
        <w:t xml:space="preserve"> by half to 1.4 percent</w:t>
      </w:r>
      <w:r>
        <w:rPr>
          <w:rFonts w:ascii="Cambria" w:hAnsi="Cambria"/>
          <w:b w:val="0"/>
          <w:color w:val="1F497D"/>
          <w:sz w:val="22"/>
          <w:szCs w:val="22"/>
          <w:lang w:val="en-US"/>
        </w:rPr>
        <w:t xml:space="preserve"> in 2012</w:t>
      </w:r>
      <w:r w:rsidRPr="00683057">
        <w:rPr>
          <w:rFonts w:ascii="Cambria" w:hAnsi="Cambria"/>
          <w:b w:val="0"/>
          <w:color w:val="1F497D"/>
          <w:sz w:val="22"/>
          <w:szCs w:val="22"/>
          <w:lang w:val="en-US"/>
        </w:rPr>
        <w:t>.</w:t>
      </w:r>
      <w:r>
        <w:rPr>
          <w:rFonts w:ascii="Cambria" w:hAnsi="Cambria"/>
          <w:b w:val="0"/>
          <w:color w:val="1F497D"/>
          <w:sz w:val="22"/>
          <w:szCs w:val="22"/>
          <w:lang w:val="en-US"/>
        </w:rPr>
        <w:t xml:space="preserve"> </w:t>
      </w:r>
      <w:r w:rsidRPr="00683057">
        <w:rPr>
          <w:rFonts w:ascii="Cambria" w:hAnsi="Cambria"/>
          <w:b w:val="0"/>
          <w:color w:val="1F497D"/>
          <w:sz w:val="22"/>
          <w:szCs w:val="22"/>
          <w:lang w:val="en-US"/>
        </w:rPr>
        <w:t xml:space="preserve">However, </w:t>
      </w:r>
      <w:r>
        <w:rPr>
          <w:rFonts w:ascii="Cambria" w:hAnsi="Cambria"/>
          <w:b w:val="0"/>
          <w:color w:val="1F497D"/>
          <w:sz w:val="22"/>
          <w:szCs w:val="22"/>
          <w:lang w:val="en-US"/>
        </w:rPr>
        <w:t xml:space="preserve">with uncertainty </w:t>
      </w:r>
      <w:r w:rsidRPr="001B12FD">
        <w:rPr>
          <w:rFonts w:ascii="Cambria" w:hAnsi="Cambria"/>
          <w:b w:val="0"/>
          <w:color w:val="1F497D"/>
          <w:sz w:val="22"/>
          <w:szCs w:val="22"/>
          <w:lang w:val="en-US"/>
        </w:rPr>
        <w:t>heightened</w:t>
      </w:r>
      <w:r w:rsidRPr="00683057">
        <w:rPr>
          <w:rFonts w:ascii="Cambria" w:hAnsi="Cambria"/>
          <w:b w:val="0"/>
          <w:color w:val="1F497D"/>
          <w:sz w:val="22"/>
          <w:szCs w:val="22"/>
          <w:lang w:val="en-US"/>
        </w:rPr>
        <w:t xml:space="preserve">, even this modest growth projected assumes that policies adopted in the </w:t>
      </w:r>
      <w:r>
        <w:rPr>
          <w:rFonts w:ascii="Cambria" w:hAnsi="Cambria"/>
          <w:b w:val="0"/>
          <w:color w:val="1F497D"/>
          <w:sz w:val="22"/>
          <w:szCs w:val="22"/>
          <w:lang w:val="en-US"/>
        </w:rPr>
        <w:t>e</w:t>
      </w:r>
      <w:r w:rsidRPr="00683057">
        <w:rPr>
          <w:rFonts w:ascii="Cambria" w:hAnsi="Cambria"/>
          <w:b w:val="0"/>
          <w:color w:val="1F497D"/>
          <w:sz w:val="22"/>
          <w:szCs w:val="22"/>
          <w:lang w:val="en-US"/>
        </w:rPr>
        <w:t xml:space="preserve">uro area </w:t>
      </w:r>
      <w:r>
        <w:rPr>
          <w:rFonts w:ascii="Cambria" w:hAnsi="Cambria"/>
          <w:b w:val="0"/>
          <w:color w:val="1F497D"/>
          <w:sz w:val="22"/>
          <w:szCs w:val="22"/>
          <w:lang w:val="en-US"/>
        </w:rPr>
        <w:t xml:space="preserve">can </w:t>
      </w:r>
      <w:r w:rsidRPr="00683057">
        <w:rPr>
          <w:rFonts w:ascii="Cambria" w:hAnsi="Cambria"/>
          <w:b w:val="0"/>
          <w:color w:val="1F497D"/>
          <w:sz w:val="22"/>
          <w:szCs w:val="22"/>
          <w:lang w:val="en-US"/>
        </w:rPr>
        <w:t>successfully avoid</w:t>
      </w:r>
      <w:r>
        <w:rPr>
          <w:rFonts w:ascii="Cambria" w:hAnsi="Cambria"/>
          <w:b w:val="0"/>
          <w:color w:val="1F497D"/>
          <w:sz w:val="22"/>
          <w:szCs w:val="22"/>
          <w:lang w:val="en-US"/>
        </w:rPr>
        <w:t xml:space="preserve"> severe </w:t>
      </w:r>
      <w:r w:rsidRPr="00683057">
        <w:rPr>
          <w:rFonts w:ascii="Cambria" w:hAnsi="Cambria"/>
          <w:b w:val="0"/>
          <w:color w:val="1F497D"/>
          <w:sz w:val="22"/>
          <w:szCs w:val="22"/>
          <w:lang w:val="en-US"/>
        </w:rPr>
        <w:t>deterioration in international financial market conditions.</w:t>
      </w:r>
      <w:r>
        <w:rPr>
          <w:rFonts w:ascii="Cambria" w:hAnsi="Cambria"/>
          <w:b w:val="0"/>
          <w:color w:val="1F497D"/>
          <w:sz w:val="22"/>
          <w:szCs w:val="22"/>
          <w:lang w:val="en-US"/>
        </w:rPr>
        <w:t xml:space="preserve"> </w:t>
      </w:r>
    </w:p>
    <w:p w:rsidR="0060585A" w:rsidRDefault="0060585A" w:rsidP="00E41045">
      <w:pPr>
        <w:spacing w:before="120" w:after="120" w:line="276" w:lineRule="auto"/>
        <w:rPr>
          <w:b/>
        </w:rPr>
      </w:pPr>
    </w:p>
    <w:p w:rsidR="0060585A" w:rsidRDefault="0060585A" w:rsidP="00E41045">
      <w:pPr>
        <w:spacing w:before="120" w:after="120" w:line="276" w:lineRule="auto"/>
        <w:rPr>
          <w:b/>
        </w:rPr>
      </w:pPr>
    </w:p>
    <w:p w:rsidR="0060585A" w:rsidRDefault="0060585A" w:rsidP="00E41045">
      <w:pPr>
        <w:spacing w:before="120" w:after="120" w:line="276" w:lineRule="auto"/>
      </w:pPr>
      <w:r>
        <w:rPr>
          <w:b/>
        </w:rPr>
        <w:t xml:space="preserve">The </w:t>
      </w:r>
      <w:r w:rsidRPr="006816A0">
        <w:rPr>
          <w:b/>
        </w:rPr>
        <w:t xml:space="preserve">volatility and uncertainty </w:t>
      </w:r>
      <w:r>
        <w:rPr>
          <w:b/>
        </w:rPr>
        <w:t xml:space="preserve">still prevailing </w:t>
      </w:r>
      <w:r w:rsidRPr="006816A0">
        <w:rPr>
          <w:b/>
        </w:rPr>
        <w:t xml:space="preserve">in the </w:t>
      </w:r>
      <w:r>
        <w:rPr>
          <w:b/>
        </w:rPr>
        <w:t>e</w:t>
      </w:r>
      <w:r w:rsidRPr="006816A0">
        <w:rPr>
          <w:b/>
        </w:rPr>
        <w:t>uro area</w:t>
      </w:r>
      <w:r>
        <w:rPr>
          <w:b/>
        </w:rPr>
        <w:t xml:space="preserve"> make it very difficult to </w:t>
      </w:r>
      <w:r w:rsidRPr="006816A0">
        <w:rPr>
          <w:b/>
        </w:rPr>
        <w:t>forecast economic performance.</w:t>
      </w:r>
      <w:r>
        <w:t xml:space="preserve"> </w:t>
      </w:r>
      <w:r w:rsidRPr="006816A0">
        <w:t xml:space="preserve">In the environment of volatile financial markets, short-term forecasting of EU11 economic performance has become highly sensitive to abrupt shifts in economic sentiment and unconventional economic policy decisions in the </w:t>
      </w:r>
      <w:r>
        <w:t>e</w:t>
      </w:r>
      <w:r w:rsidRPr="006816A0">
        <w:t>uro area.</w:t>
      </w:r>
      <w:r>
        <w:t xml:space="preserve"> </w:t>
      </w:r>
      <w:r w:rsidRPr="006816A0">
        <w:t xml:space="preserve">While there was relatively little divergence in views </w:t>
      </w:r>
      <w:r>
        <w:t xml:space="preserve">about </w:t>
      </w:r>
      <w:r w:rsidRPr="006816A0">
        <w:t xml:space="preserve">the economic outlook in 2011, uncertainties </w:t>
      </w:r>
      <w:r>
        <w:t xml:space="preserve">again </w:t>
      </w:r>
      <w:r w:rsidRPr="006816A0">
        <w:t xml:space="preserve">increased in 2012 </w:t>
      </w:r>
      <w:r>
        <w:t xml:space="preserve">as </w:t>
      </w:r>
      <w:r w:rsidRPr="006816A0">
        <w:t xml:space="preserve">the sovereign debt crisis in the </w:t>
      </w:r>
      <w:r>
        <w:t>e</w:t>
      </w:r>
      <w:r w:rsidRPr="006816A0">
        <w:t>uro area</w:t>
      </w:r>
      <w:r>
        <w:t xml:space="preserve"> escalated as compared to 2011 (</w:t>
      </w:r>
      <w:fldSimple w:instr=" REF _Ref327263696 \h  \* MERGEFORMAT ">
        <w:r w:rsidRPr="0093680B">
          <w:rPr>
            <w:sz w:val="22"/>
            <w:szCs w:val="22"/>
          </w:rPr>
          <w:t xml:space="preserve">Figure </w:t>
        </w:r>
        <w:r>
          <w:rPr>
            <w:noProof/>
            <w:sz w:val="22"/>
            <w:szCs w:val="22"/>
          </w:rPr>
          <w:t>49</w:t>
        </w:r>
      </w:fldSimple>
      <w:r>
        <w:t xml:space="preserve">). </w:t>
      </w:r>
    </w:p>
    <w:p w:rsidR="0060585A" w:rsidRDefault="0060585A" w:rsidP="00E41045">
      <w:pPr>
        <w:spacing w:before="120" w:after="120" w:line="276" w:lineRule="auto"/>
      </w:pPr>
      <w:r>
        <w:rPr>
          <w:b/>
        </w:rPr>
        <w:t xml:space="preserve">In mid-2012 </w:t>
      </w:r>
      <w:r w:rsidRPr="0054257B">
        <w:rPr>
          <w:b/>
        </w:rPr>
        <w:t xml:space="preserve">prospects for EU11 countries look weaker than </w:t>
      </w:r>
      <w:r>
        <w:rPr>
          <w:b/>
        </w:rPr>
        <w:t xml:space="preserve">they did just six months ago. </w:t>
      </w:r>
      <w:r w:rsidRPr="002547FA">
        <w:t>A number of risk</w:t>
      </w:r>
      <w:r>
        <w:t>s have</w:t>
      </w:r>
      <w:r w:rsidRPr="002547FA">
        <w:t xml:space="preserve"> </w:t>
      </w:r>
      <w:r>
        <w:t xml:space="preserve">since </w:t>
      </w:r>
      <w:r w:rsidRPr="002547FA">
        <w:t xml:space="preserve">materialized </w:t>
      </w:r>
      <w:r>
        <w:t xml:space="preserve">that </w:t>
      </w:r>
      <w:r w:rsidRPr="002547FA">
        <w:t>negatively affect the near-term outlook.</w:t>
      </w:r>
      <w:r>
        <w:t xml:space="preserve"> </w:t>
      </w:r>
      <w:r w:rsidRPr="002547FA">
        <w:t>They include:</w:t>
      </w:r>
    </w:p>
    <w:p w:rsidR="0060585A" w:rsidRDefault="0060585A" w:rsidP="00E41045">
      <w:pPr>
        <w:pStyle w:val="ListParagraph"/>
        <w:numPr>
          <w:ilvl w:val="0"/>
          <w:numId w:val="39"/>
        </w:numPr>
        <w:spacing w:before="120" w:after="120" w:line="276" w:lineRule="auto"/>
      </w:pPr>
      <w:r>
        <w:t>T</w:t>
      </w:r>
      <w:r w:rsidRPr="0054257B">
        <w:t xml:space="preserve">he slowdown in economic activity in EU15 </w:t>
      </w:r>
      <w:r>
        <w:t>has been</w:t>
      </w:r>
      <w:r w:rsidRPr="0054257B">
        <w:t xml:space="preserve"> </w:t>
      </w:r>
      <w:r>
        <w:t xml:space="preserve">worse </w:t>
      </w:r>
      <w:r w:rsidRPr="0054257B">
        <w:t xml:space="preserve">than expected. </w:t>
      </w:r>
      <w:r>
        <w:t>F</w:t>
      </w:r>
      <w:r w:rsidRPr="0054257B">
        <w:t xml:space="preserve">ourth quarter </w:t>
      </w:r>
      <w:r>
        <w:t xml:space="preserve">2011 </w:t>
      </w:r>
      <w:r w:rsidRPr="0054257B">
        <w:t xml:space="preserve">GDP data </w:t>
      </w:r>
      <w:r>
        <w:t xml:space="preserve">that </w:t>
      </w:r>
      <w:r w:rsidRPr="0054257B">
        <w:t xml:space="preserve">showed </w:t>
      </w:r>
      <w:r>
        <w:t xml:space="preserve">a </w:t>
      </w:r>
      <w:r w:rsidRPr="0054257B">
        <w:t xml:space="preserve">mild recession in the </w:t>
      </w:r>
      <w:r>
        <w:t>e</w:t>
      </w:r>
      <w:r w:rsidRPr="0054257B">
        <w:t>uro area</w:t>
      </w:r>
      <w:r>
        <w:t xml:space="preserve"> </w:t>
      </w:r>
      <w:r w:rsidRPr="0054257B">
        <w:t xml:space="preserve">raised doubts about </w:t>
      </w:r>
      <w:r>
        <w:t xml:space="preserve">the prospects for </w:t>
      </w:r>
      <w:r w:rsidRPr="0054257B">
        <w:t xml:space="preserve">economic recovery in Europe. </w:t>
      </w:r>
    </w:p>
    <w:p w:rsidR="0060585A" w:rsidRDefault="0060585A" w:rsidP="00E41045">
      <w:pPr>
        <w:pStyle w:val="ListParagraph"/>
        <w:numPr>
          <w:ilvl w:val="0"/>
          <w:numId w:val="39"/>
        </w:numPr>
        <w:spacing w:before="120" w:after="120" w:line="276" w:lineRule="auto"/>
      </w:pPr>
      <w:r>
        <w:t xml:space="preserve">The impact of </w:t>
      </w:r>
      <w:r w:rsidRPr="0054257B">
        <w:t xml:space="preserve">bold </w:t>
      </w:r>
      <w:r>
        <w:t xml:space="preserve">economic </w:t>
      </w:r>
      <w:r w:rsidRPr="0054257B">
        <w:t xml:space="preserve">policy interventions in </w:t>
      </w:r>
      <w:r>
        <w:t xml:space="preserve">late 2011 and </w:t>
      </w:r>
      <w:r w:rsidRPr="0054257B">
        <w:t xml:space="preserve">early 2012 </w:t>
      </w:r>
      <w:r>
        <w:t xml:space="preserve">was </w:t>
      </w:r>
      <w:r w:rsidRPr="0054257B">
        <w:t xml:space="preserve">short-lived. Heightened uncertainty </w:t>
      </w:r>
      <w:r>
        <w:t xml:space="preserve">surrounding </w:t>
      </w:r>
      <w:r w:rsidRPr="0054257B">
        <w:t xml:space="preserve">the sovereign debt crisis </w:t>
      </w:r>
      <w:r>
        <w:t>has weighed</w:t>
      </w:r>
      <w:r w:rsidRPr="0054257B">
        <w:t xml:space="preserve"> down financial markets and renewed </w:t>
      </w:r>
      <w:r w:rsidRPr="004D4EE3">
        <w:t xml:space="preserve">concerns about negative feedback loops between </w:t>
      </w:r>
      <w:r>
        <w:t xml:space="preserve">insecure </w:t>
      </w:r>
      <w:r w:rsidRPr="004D4EE3">
        <w:t>sovereign debtors and fragile financial markets.</w:t>
      </w:r>
      <w:r w:rsidRPr="0054257B">
        <w:t xml:space="preserve"> </w:t>
      </w:r>
    </w:p>
    <w:p w:rsidR="0060585A" w:rsidRDefault="0060585A" w:rsidP="00E41045">
      <w:pPr>
        <w:pStyle w:val="ListParagraph"/>
        <w:numPr>
          <w:ilvl w:val="0"/>
          <w:numId w:val="39"/>
        </w:numPr>
        <w:spacing w:before="120" w:after="120" w:line="276" w:lineRule="auto"/>
      </w:pPr>
      <w:r>
        <w:t xml:space="preserve">The </w:t>
      </w:r>
      <w:r w:rsidRPr="0054257B">
        <w:t xml:space="preserve">uncertainty and volatility </w:t>
      </w:r>
      <w:r>
        <w:t>in</w:t>
      </w:r>
      <w:r w:rsidRPr="0054257B">
        <w:t xml:space="preserve"> </w:t>
      </w:r>
      <w:r>
        <w:t xml:space="preserve">financial </w:t>
      </w:r>
      <w:r w:rsidRPr="0054257B">
        <w:t xml:space="preserve">markets </w:t>
      </w:r>
      <w:r>
        <w:t xml:space="preserve">has </w:t>
      </w:r>
      <w:r w:rsidRPr="0054257B">
        <w:t xml:space="preserve">undermined </w:t>
      </w:r>
      <w:r>
        <w:t xml:space="preserve">the confidence of both </w:t>
      </w:r>
      <w:r w:rsidRPr="0054257B">
        <w:t>investors and households.</w:t>
      </w:r>
    </w:p>
    <w:p w:rsidR="0060585A" w:rsidRDefault="0060585A">
      <w:pPr>
        <w:spacing w:before="120" w:after="120" w:line="276" w:lineRule="auto"/>
      </w:pPr>
      <w:r w:rsidRPr="000156E0">
        <w:rPr>
          <w:b/>
        </w:rPr>
        <w:t>As a result, 2012 economic prospects for the EU11 countries have been downgraded</w:t>
      </w:r>
      <w:r>
        <w:t>. Since the November 2011 issue of this RER</w:t>
      </w:r>
      <w:r w:rsidRPr="0054257B">
        <w:t xml:space="preserve">, forecasts for 2012 </w:t>
      </w:r>
      <w:r>
        <w:t>have been</w:t>
      </w:r>
      <w:r w:rsidRPr="0054257B">
        <w:t xml:space="preserve"> reduced for all EU11 countries </w:t>
      </w:r>
      <w:r>
        <w:t xml:space="preserve">except for Poland </w:t>
      </w:r>
      <w:r w:rsidRPr="0054257B">
        <w:t>and Slovakia</w:t>
      </w:r>
      <w:r>
        <w:t xml:space="preserve"> (</w:t>
      </w:r>
      <w:fldSimple w:instr=" REF _Ref327263724 \h  \* MERGEFORMAT ">
        <w:r w:rsidRPr="005D6031">
          <w:t>Figure 50</w:t>
        </w:r>
      </w:fldSimple>
      <w:r>
        <w:t>)</w:t>
      </w:r>
      <w:r w:rsidRPr="0054257B">
        <w:t>.</w:t>
      </w:r>
      <w:r>
        <w:t xml:space="preserve"> </w:t>
      </w:r>
    </w:p>
    <w:tbl>
      <w:tblPr>
        <w:tblW w:w="0" w:type="auto"/>
        <w:tblInd w:w="-12" w:type="dxa"/>
        <w:tblLook w:val="00A0"/>
      </w:tblPr>
      <w:tblGrid>
        <w:gridCol w:w="4703"/>
        <w:gridCol w:w="4885"/>
      </w:tblGrid>
      <w:tr w:rsidR="0060585A" w:rsidRPr="00321D31" w:rsidTr="00004575">
        <w:tc>
          <w:tcPr>
            <w:tcW w:w="4703" w:type="dxa"/>
          </w:tcPr>
          <w:p w:rsidR="0060585A" w:rsidRPr="00321D31" w:rsidRDefault="0060585A" w:rsidP="004D31F4">
            <w:pPr>
              <w:pStyle w:val="Caption"/>
              <w:keepNext/>
              <w:keepLines/>
              <w:spacing w:before="60" w:after="60" w:line="276" w:lineRule="auto"/>
              <w:jc w:val="left"/>
              <w:rPr>
                <w:sz w:val="22"/>
                <w:szCs w:val="22"/>
              </w:rPr>
            </w:pPr>
            <w:bookmarkStart w:id="51" w:name="_Ref327263696"/>
            <w:r w:rsidRPr="00321D31">
              <w:rPr>
                <w:sz w:val="22"/>
                <w:szCs w:val="22"/>
              </w:rPr>
              <w:lastRenderedPageBreak/>
              <w:t xml:space="preserve">Figure </w:t>
            </w:r>
            <w:r w:rsidR="00185C05" w:rsidRPr="00321D31">
              <w:rPr>
                <w:sz w:val="22"/>
                <w:szCs w:val="22"/>
              </w:rPr>
              <w:fldChar w:fldCharType="begin"/>
            </w:r>
            <w:r w:rsidRPr="00321D31">
              <w:rPr>
                <w:sz w:val="22"/>
                <w:szCs w:val="22"/>
              </w:rPr>
              <w:instrText xml:space="preserve"> SEQ Figure \* ARABIC </w:instrText>
            </w:r>
            <w:r w:rsidR="00185C05" w:rsidRPr="00321D31">
              <w:rPr>
                <w:sz w:val="22"/>
                <w:szCs w:val="22"/>
              </w:rPr>
              <w:fldChar w:fldCharType="separate"/>
            </w:r>
            <w:r w:rsidRPr="00321D31">
              <w:rPr>
                <w:noProof/>
                <w:sz w:val="22"/>
                <w:szCs w:val="22"/>
              </w:rPr>
              <w:t>49</w:t>
            </w:r>
            <w:r w:rsidR="00185C05" w:rsidRPr="00321D31">
              <w:rPr>
                <w:sz w:val="22"/>
                <w:szCs w:val="22"/>
              </w:rPr>
              <w:fldChar w:fldCharType="end"/>
            </w:r>
            <w:bookmarkEnd w:id="51"/>
            <w:r w:rsidRPr="00321D31">
              <w:rPr>
                <w:sz w:val="22"/>
                <w:szCs w:val="22"/>
              </w:rPr>
              <w:t>. Standard Deviations of Growth Forecasts, EU11</w:t>
            </w:r>
          </w:p>
        </w:tc>
        <w:tc>
          <w:tcPr>
            <w:tcW w:w="4885" w:type="dxa"/>
          </w:tcPr>
          <w:p w:rsidR="0060585A" w:rsidRPr="00321D31" w:rsidRDefault="0060585A" w:rsidP="004D31F4">
            <w:pPr>
              <w:pStyle w:val="Caption"/>
              <w:keepNext/>
              <w:keepLines/>
              <w:spacing w:before="60" w:after="60" w:line="276" w:lineRule="auto"/>
              <w:jc w:val="left"/>
              <w:rPr>
                <w:sz w:val="22"/>
                <w:szCs w:val="22"/>
              </w:rPr>
            </w:pPr>
            <w:bookmarkStart w:id="52" w:name="_Ref327263724"/>
            <w:r w:rsidRPr="00321D31">
              <w:rPr>
                <w:sz w:val="22"/>
                <w:szCs w:val="22"/>
              </w:rPr>
              <w:t xml:space="preserve">Figure </w:t>
            </w:r>
            <w:r w:rsidR="00185C05" w:rsidRPr="00321D31">
              <w:rPr>
                <w:sz w:val="22"/>
                <w:szCs w:val="22"/>
              </w:rPr>
              <w:fldChar w:fldCharType="begin"/>
            </w:r>
            <w:r w:rsidRPr="00321D31">
              <w:rPr>
                <w:sz w:val="22"/>
                <w:szCs w:val="22"/>
              </w:rPr>
              <w:instrText xml:space="preserve"> SEQ Figure \* ARABIC </w:instrText>
            </w:r>
            <w:r w:rsidR="00185C05" w:rsidRPr="00321D31">
              <w:rPr>
                <w:sz w:val="22"/>
                <w:szCs w:val="22"/>
              </w:rPr>
              <w:fldChar w:fldCharType="separate"/>
            </w:r>
            <w:r w:rsidRPr="00321D31">
              <w:rPr>
                <w:noProof/>
                <w:sz w:val="22"/>
                <w:szCs w:val="22"/>
              </w:rPr>
              <w:t>50</w:t>
            </w:r>
            <w:r w:rsidR="00185C05" w:rsidRPr="00321D31">
              <w:rPr>
                <w:sz w:val="22"/>
                <w:szCs w:val="22"/>
              </w:rPr>
              <w:fldChar w:fldCharType="end"/>
            </w:r>
            <w:bookmarkEnd w:id="52"/>
            <w:r w:rsidRPr="00321D31">
              <w:rPr>
                <w:sz w:val="22"/>
                <w:szCs w:val="22"/>
              </w:rPr>
              <w:t>. GDP Forecasts for 2012 (Percent)</w:t>
            </w:r>
          </w:p>
        </w:tc>
      </w:tr>
      <w:tr w:rsidR="0060585A" w:rsidRPr="00321D31" w:rsidTr="00004575">
        <w:tc>
          <w:tcPr>
            <w:tcW w:w="4703" w:type="dxa"/>
          </w:tcPr>
          <w:p w:rsidR="0060585A" w:rsidRPr="00321D31" w:rsidRDefault="00A1042F" w:rsidP="00321D31">
            <w:pPr>
              <w:spacing w:before="120" w:after="120" w:line="276" w:lineRule="auto"/>
            </w:pPr>
            <w:r>
              <w:rPr>
                <w:b/>
                <w:noProof/>
              </w:rPr>
              <w:drawing>
                <wp:inline distT="0" distB="0" distL="0" distR="0">
                  <wp:extent cx="2743200" cy="177165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a:srcRect/>
                          <a:stretch>
                            <a:fillRect/>
                          </a:stretch>
                        </pic:blipFill>
                        <pic:spPr bwMode="auto">
                          <a:xfrm>
                            <a:off x="0" y="0"/>
                            <a:ext cx="2743200" cy="1771650"/>
                          </a:xfrm>
                          <a:prstGeom prst="rect">
                            <a:avLst/>
                          </a:prstGeom>
                          <a:noFill/>
                          <a:ln w="9525">
                            <a:noFill/>
                            <a:miter lim="800000"/>
                            <a:headEnd/>
                            <a:tailEnd/>
                          </a:ln>
                        </pic:spPr>
                      </pic:pic>
                    </a:graphicData>
                  </a:graphic>
                </wp:inline>
              </w:drawing>
            </w:r>
          </w:p>
        </w:tc>
        <w:tc>
          <w:tcPr>
            <w:tcW w:w="4885" w:type="dxa"/>
          </w:tcPr>
          <w:p w:rsidR="0060585A" w:rsidRPr="00321D31" w:rsidRDefault="00A1042F" w:rsidP="00321D31">
            <w:pPr>
              <w:spacing w:before="120" w:after="120" w:line="276" w:lineRule="auto"/>
            </w:pPr>
            <w:r>
              <w:rPr>
                <w:noProof/>
              </w:rPr>
              <w:drawing>
                <wp:inline distT="0" distB="0" distL="0" distR="0">
                  <wp:extent cx="2895600" cy="177165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a:srcRect/>
                          <a:stretch>
                            <a:fillRect/>
                          </a:stretch>
                        </pic:blipFill>
                        <pic:spPr bwMode="auto">
                          <a:xfrm>
                            <a:off x="0" y="0"/>
                            <a:ext cx="2895600" cy="1771650"/>
                          </a:xfrm>
                          <a:prstGeom prst="rect">
                            <a:avLst/>
                          </a:prstGeom>
                          <a:noFill/>
                          <a:ln w="9525">
                            <a:noFill/>
                            <a:miter lim="800000"/>
                            <a:headEnd/>
                            <a:tailEnd/>
                          </a:ln>
                        </pic:spPr>
                      </pic:pic>
                    </a:graphicData>
                  </a:graphic>
                </wp:inline>
              </w:drawing>
            </w:r>
          </w:p>
        </w:tc>
      </w:tr>
      <w:tr w:rsidR="0060585A" w:rsidRPr="00321D31" w:rsidTr="00004575">
        <w:tc>
          <w:tcPr>
            <w:tcW w:w="4703" w:type="dxa"/>
          </w:tcPr>
          <w:p w:rsidR="0060585A" w:rsidRPr="00321D31" w:rsidRDefault="0060585A" w:rsidP="00321D31">
            <w:pPr>
              <w:keepNext/>
              <w:spacing w:before="60" w:after="40" w:line="276" w:lineRule="auto"/>
              <w:rPr>
                <w:i/>
                <w:sz w:val="18"/>
                <w:szCs w:val="18"/>
              </w:rPr>
            </w:pPr>
            <w:r w:rsidRPr="00321D31">
              <w:rPr>
                <w:i/>
                <w:sz w:val="18"/>
                <w:szCs w:val="18"/>
              </w:rPr>
              <w:t xml:space="preserve">Source: </w:t>
            </w:r>
            <w:r w:rsidRPr="00321D31">
              <w:rPr>
                <w:sz w:val="18"/>
                <w:szCs w:val="18"/>
              </w:rPr>
              <w:t>World Bank staff based on Consensus Forecasts.</w:t>
            </w:r>
          </w:p>
          <w:p w:rsidR="0060585A" w:rsidRPr="00321D31" w:rsidRDefault="0060585A" w:rsidP="00321D31">
            <w:pPr>
              <w:spacing w:before="120" w:after="120" w:line="276" w:lineRule="auto"/>
            </w:pPr>
            <w:r w:rsidRPr="00321D31">
              <w:rPr>
                <w:i/>
                <w:sz w:val="18"/>
                <w:szCs w:val="18"/>
              </w:rPr>
              <w:t xml:space="preserve">Notes: </w:t>
            </w:r>
            <w:r w:rsidRPr="00321D31">
              <w:rPr>
                <w:sz w:val="18"/>
                <w:szCs w:val="18"/>
              </w:rPr>
              <w:t>Standard deviations of growth forecasts from May of the given year for the current and following year.</w:t>
            </w:r>
          </w:p>
        </w:tc>
        <w:tc>
          <w:tcPr>
            <w:tcW w:w="4885" w:type="dxa"/>
          </w:tcPr>
          <w:p w:rsidR="0060585A" w:rsidRPr="00321D31" w:rsidRDefault="0060585A" w:rsidP="00321D31">
            <w:pPr>
              <w:keepNext/>
              <w:spacing w:before="60" w:after="40" w:line="276" w:lineRule="auto"/>
              <w:rPr>
                <w:i/>
                <w:sz w:val="18"/>
                <w:szCs w:val="18"/>
              </w:rPr>
            </w:pPr>
            <w:r w:rsidRPr="00321D31">
              <w:rPr>
                <w:i/>
                <w:sz w:val="18"/>
                <w:szCs w:val="18"/>
              </w:rPr>
              <w:t xml:space="preserve">Source: </w:t>
            </w:r>
            <w:r w:rsidRPr="00321D31">
              <w:rPr>
                <w:sz w:val="18"/>
                <w:szCs w:val="18"/>
              </w:rPr>
              <w:t>World Bank Staff.</w:t>
            </w:r>
            <w:r w:rsidRPr="00321D31">
              <w:rPr>
                <w:i/>
                <w:sz w:val="18"/>
                <w:szCs w:val="18"/>
              </w:rPr>
              <w:t xml:space="preserve"> </w:t>
            </w:r>
          </w:p>
          <w:p w:rsidR="0060585A" w:rsidRPr="00321D31" w:rsidRDefault="0060585A" w:rsidP="00321D31">
            <w:pPr>
              <w:keepNext/>
              <w:spacing w:before="60" w:after="40" w:line="276" w:lineRule="auto"/>
              <w:rPr>
                <w:i/>
                <w:sz w:val="18"/>
                <w:szCs w:val="18"/>
              </w:rPr>
            </w:pPr>
            <w:r w:rsidRPr="00321D31">
              <w:rPr>
                <w:i/>
                <w:sz w:val="18"/>
                <w:szCs w:val="18"/>
              </w:rPr>
              <w:t>Notes: “</w:t>
            </w:r>
            <w:r w:rsidRPr="00321D31">
              <w:rPr>
                <w:sz w:val="18"/>
                <w:szCs w:val="18"/>
              </w:rPr>
              <w:t>Nov 2011” refers to the World Bank forecasts for 2012 from the previous issue of EU10 Regular Economic Report from November 2011.</w:t>
            </w:r>
          </w:p>
        </w:tc>
      </w:tr>
    </w:tbl>
    <w:p w:rsidR="0060585A" w:rsidRDefault="0060585A"/>
    <w:tbl>
      <w:tblPr>
        <w:tblpPr w:leftFromText="180" w:rightFromText="180" w:vertAnchor="text" w:horzAnchor="margin" w:tblpXSpec="right" w:tblpY="95"/>
        <w:tblW w:w="4453" w:type="dxa"/>
        <w:tblLook w:val="00A0"/>
      </w:tblPr>
      <w:tblGrid>
        <w:gridCol w:w="4453"/>
      </w:tblGrid>
      <w:tr w:rsidR="0060585A" w:rsidRPr="00321D31" w:rsidTr="002A4C0C">
        <w:tc>
          <w:tcPr>
            <w:tcW w:w="4453" w:type="dxa"/>
          </w:tcPr>
          <w:p w:rsidR="0060585A" w:rsidRPr="00321D31" w:rsidRDefault="0060585A" w:rsidP="002A4C0C">
            <w:pPr>
              <w:pStyle w:val="Caption"/>
              <w:keepNext/>
              <w:keepLines/>
              <w:spacing w:before="60" w:after="60" w:line="276" w:lineRule="auto"/>
              <w:jc w:val="center"/>
              <w:rPr>
                <w:sz w:val="22"/>
                <w:szCs w:val="22"/>
              </w:rPr>
            </w:pPr>
            <w:r w:rsidRPr="00321D31">
              <w:rPr>
                <w:sz w:val="22"/>
                <w:szCs w:val="22"/>
              </w:rPr>
              <w:t xml:space="preserve">Table </w:t>
            </w:r>
            <w:r w:rsidR="00185C05" w:rsidRPr="00321D31">
              <w:rPr>
                <w:sz w:val="22"/>
                <w:szCs w:val="22"/>
              </w:rPr>
              <w:fldChar w:fldCharType="begin"/>
            </w:r>
            <w:r w:rsidRPr="00321D31">
              <w:rPr>
                <w:sz w:val="22"/>
                <w:szCs w:val="22"/>
              </w:rPr>
              <w:instrText xml:space="preserve"> SEQ Table \* ARABIC </w:instrText>
            </w:r>
            <w:r w:rsidR="00185C05" w:rsidRPr="00321D31">
              <w:rPr>
                <w:sz w:val="22"/>
                <w:szCs w:val="22"/>
              </w:rPr>
              <w:fldChar w:fldCharType="separate"/>
            </w:r>
            <w:r w:rsidRPr="00321D31">
              <w:rPr>
                <w:noProof/>
                <w:sz w:val="22"/>
                <w:szCs w:val="22"/>
              </w:rPr>
              <w:t>2</w:t>
            </w:r>
            <w:r w:rsidR="00185C05" w:rsidRPr="00321D31">
              <w:rPr>
                <w:sz w:val="22"/>
                <w:szCs w:val="22"/>
              </w:rPr>
              <w:fldChar w:fldCharType="end"/>
            </w:r>
            <w:r w:rsidRPr="00321D31">
              <w:rPr>
                <w:sz w:val="22"/>
                <w:szCs w:val="22"/>
              </w:rPr>
              <w:t>. EU11 Growth Prospects</w:t>
            </w:r>
          </w:p>
        </w:tc>
      </w:tr>
      <w:tr w:rsidR="0060585A" w:rsidRPr="00321D31" w:rsidTr="002A4C0C">
        <w:tc>
          <w:tcPr>
            <w:tcW w:w="4453" w:type="dxa"/>
          </w:tcPr>
          <w:tbl>
            <w:tblPr>
              <w:tblW w:w="4217" w:type="dxa"/>
              <w:tblBorders>
                <w:top w:val="single" w:sz="8" w:space="0" w:color="4F81BD"/>
                <w:left w:val="single" w:sz="8" w:space="0" w:color="4F81BD"/>
                <w:bottom w:val="single" w:sz="8" w:space="0" w:color="4F81BD"/>
                <w:right w:val="single" w:sz="8" w:space="0" w:color="4F81BD"/>
              </w:tblBorders>
              <w:tblLook w:val="00A0"/>
            </w:tblPr>
            <w:tblGrid>
              <w:gridCol w:w="1754"/>
              <w:gridCol w:w="581"/>
              <w:gridCol w:w="941"/>
              <w:gridCol w:w="941"/>
            </w:tblGrid>
            <w:tr w:rsidR="0060585A" w:rsidRPr="00321D31" w:rsidTr="000C01A5">
              <w:trPr>
                <w:trHeight w:val="245"/>
              </w:trPr>
              <w:tc>
                <w:tcPr>
                  <w:tcW w:w="1754" w:type="dxa"/>
                  <w:tcBorders>
                    <w:top w:val="single" w:sz="8" w:space="0" w:color="4F81BD"/>
                    <w:left w:val="single" w:sz="8" w:space="0" w:color="4F81BD"/>
                  </w:tcBorders>
                  <w:shd w:val="clear" w:color="auto" w:fill="4F81BD"/>
                  <w:noWrap/>
                </w:tcPr>
                <w:p w:rsidR="0060585A" w:rsidRPr="00321D31" w:rsidRDefault="0060585A" w:rsidP="002A4C0C">
                  <w:pPr>
                    <w:framePr w:hSpace="180" w:wrap="around" w:vAnchor="text" w:hAnchor="margin" w:xAlign="right" w:y="95"/>
                    <w:rPr>
                      <w:rFonts w:ascii="Calibri" w:hAnsi="Calibri"/>
                      <w:b/>
                      <w:bCs/>
                      <w:sz w:val="18"/>
                      <w:szCs w:val="18"/>
                    </w:rPr>
                  </w:pPr>
                </w:p>
              </w:tc>
              <w:tc>
                <w:tcPr>
                  <w:tcW w:w="581" w:type="dxa"/>
                  <w:tcBorders>
                    <w:top w:val="single" w:sz="8" w:space="0" w:color="4F81BD"/>
                  </w:tcBorders>
                  <w:shd w:val="clear" w:color="auto" w:fill="4F81BD"/>
                  <w:noWrap/>
                </w:tcPr>
                <w:p w:rsidR="0060585A" w:rsidRPr="00321D31" w:rsidRDefault="0060585A" w:rsidP="002A4C0C">
                  <w:pPr>
                    <w:framePr w:hSpace="180" w:wrap="around" w:vAnchor="text" w:hAnchor="margin" w:xAlign="right" w:y="95"/>
                    <w:jc w:val="right"/>
                    <w:rPr>
                      <w:rFonts w:ascii="Calibri" w:hAnsi="Calibri"/>
                      <w:b/>
                      <w:bCs/>
                      <w:sz w:val="18"/>
                      <w:szCs w:val="18"/>
                    </w:rPr>
                  </w:pPr>
                  <w:r w:rsidRPr="00321D31">
                    <w:rPr>
                      <w:rFonts w:ascii="Calibri" w:hAnsi="Calibri"/>
                      <w:b/>
                      <w:bCs/>
                      <w:sz w:val="18"/>
                      <w:szCs w:val="18"/>
                    </w:rPr>
                    <w:t>2011</w:t>
                  </w:r>
                </w:p>
              </w:tc>
              <w:tc>
                <w:tcPr>
                  <w:tcW w:w="941" w:type="dxa"/>
                  <w:tcBorders>
                    <w:top w:val="single" w:sz="8" w:space="0" w:color="4F81BD"/>
                  </w:tcBorders>
                  <w:shd w:val="clear" w:color="auto" w:fill="4F81BD"/>
                  <w:noWrap/>
                </w:tcPr>
                <w:p w:rsidR="0060585A" w:rsidRPr="00321D31" w:rsidRDefault="0060585A" w:rsidP="002A4C0C">
                  <w:pPr>
                    <w:framePr w:hSpace="180" w:wrap="around" w:vAnchor="text" w:hAnchor="margin" w:xAlign="right" w:y="95"/>
                    <w:jc w:val="right"/>
                    <w:rPr>
                      <w:rFonts w:ascii="Calibri" w:hAnsi="Calibri"/>
                      <w:b/>
                      <w:bCs/>
                      <w:sz w:val="18"/>
                      <w:szCs w:val="18"/>
                    </w:rPr>
                  </w:pPr>
                  <w:r w:rsidRPr="00321D31">
                    <w:rPr>
                      <w:rFonts w:ascii="Calibri" w:hAnsi="Calibri"/>
                      <w:b/>
                      <w:bCs/>
                      <w:sz w:val="18"/>
                      <w:szCs w:val="18"/>
                    </w:rPr>
                    <w:t>2012</w:t>
                  </w:r>
                </w:p>
              </w:tc>
              <w:tc>
                <w:tcPr>
                  <w:tcW w:w="941" w:type="dxa"/>
                  <w:tcBorders>
                    <w:top w:val="single" w:sz="8" w:space="0" w:color="4F81BD"/>
                    <w:right w:val="single" w:sz="8" w:space="0" w:color="4F81BD"/>
                  </w:tcBorders>
                  <w:shd w:val="clear" w:color="auto" w:fill="4F81BD"/>
                  <w:noWrap/>
                </w:tcPr>
                <w:p w:rsidR="0060585A" w:rsidRPr="00321D31" w:rsidRDefault="0060585A" w:rsidP="002A4C0C">
                  <w:pPr>
                    <w:framePr w:hSpace="180" w:wrap="around" w:vAnchor="text" w:hAnchor="margin" w:xAlign="right" w:y="95"/>
                    <w:jc w:val="right"/>
                    <w:rPr>
                      <w:rFonts w:ascii="Calibri" w:hAnsi="Calibri"/>
                      <w:b/>
                      <w:bCs/>
                      <w:sz w:val="18"/>
                      <w:szCs w:val="18"/>
                    </w:rPr>
                  </w:pPr>
                  <w:r w:rsidRPr="00321D31">
                    <w:rPr>
                      <w:rFonts w:ascii="Calibri" w:hAnsi="Calibri"/>
                      <w:b/>
                      <w:bCs/>
                      <w:sz w:val="18"/>
                      <w:szCs w:val="18"/>
                    </w:rPr>
                    <w:t>2013</w:t>
                  </w:r>
                </w:p>
              </w:tc>
            </w:tr>
            <w:tr w:rsidR="0060585A" w:rsidRPr="00321D31" w:rsidTr="000C01A5">
              <w:trPr>
                <w:trHeight w:val="245"/>
              </w:trPr>
              <w:tc>
                <w:tcPr>
                  <w:tcW w:w="1754" w:type="dxa"/>
                  <w:tcBorders>
                    <w:top w:val="single" w:sz="8" w:space="0" w:color="4F81BD"/>
                    <w:left w:val="single" w:sz="8" w:space="0" w:color="4F81BD"/>
                    <w:bottom w:val="single" w:sz="8" w:space="0" w:color="4F81BD"/>
                  </w:tcBorders>
                  <w:noWrap/>
                </w:tcPr>
                <w:p w:rsidR="0060585A" w:rsidRPr="00321D31" w:rsidRDefault="0060585A" w:rsidP="002A4C0C">
                  <w:pPr>
                    <w:framePr w:hSpace="180" w:wrap="around" w:vAnchor="text" w:hAnchor="margin" w:xAlign="right" w:y="95"/>
                    <w:rPr>
                      <w:rFonts w:ascii="Calibri" w:hAnsi="Calibri"/>
                      <w:b/>
                      <w:bCs/>
                      <w:sz w:val="18"/>
                      <w:szCs w:val="18"/>
                    </w:rPr>
                  </w:pPr>
                  <w:r w:rsidRPr="00321D31">
                    <w:rPr>
                      <w:rFonts w:ascii="Calibri" w:hAnsi="Calibri"/>
                      <w:b/>
                      <w:bCs/>
                      <w:sz w:val="18"/>
                      <w:szCs w:val="18"/>
                    </w:rPr>
                    <w:t>EU11</w:t>
                  </w:r>
                </w:p>
              </w:tc>
              <w:tc>
                <w:tcPr>
                  <w:tcW w:w="581" w:type="dxa"/>
                  <w:tcBorders>
                    <w:top w:val="single" w:sz="8" w:space="0" w:color="4F81BD"/>
                    <w:bottom w:val="single" w:sz="8" w:space="0" w:color="4F81BD"/>
                  </w:tcBorders>
                  <w:noWrap/>
                  <w:vAlign w:val="bottom"/>
                </w:tcPr>
                <w:p w:rsidR="0060585A" w:rsidRPr="00321D31" w:rsidRDefault="0060585A" w:rsidP="002A4C0C">
                  <w:pPr>
                    <w:framePr w:hSpace="180" w:wrap="around" w:vAnchor="text" w:hAnchor="margin" w:xAlign="right" w:y="95"/>
                    <w:jc w:val="right"/>
                    <w:rPr>
                      <w:rFonts w:ascii="Calibri" w:hAnsi="Calibri"/>
                      <w:b/>
                      <w:sz w:val="18"/>
                      <w:szCs w:val="18"/>
                    </w:rPr>
                  </w:pPr>
                  <w:r w:rsidRPr="00321D31">
                    <w:rPr>
                      <w:rFonts w:ascii="Calibri" w:hAnsi="Calibri"/>
                      <w:b/>
                      <w:sz w:val="18"/>
                      <w:szCs w:val="18"/>
                    </w:rPr>
                    <w:t>3.1</w:t>
                  </w:r>
                </w:p>
              </w:tc>
              <w:tc>
                <w:tcPr>
                  <w:tcW w:w="941" w:type="dxa"/>
                  <w:tcBorders>
                    <w:top w:val="single" w:sz="8" w:space="0" w:color="4F81BD"/>
                    <w:bottom w:val="single" w:sz="8" w:space="0" w:color="4F81BD"/>
                  </w:tcBorders>
                  <w:noWrap/>
                  <w:vAlign w:val="bottom"/>
                </w:tcPr>
                <w:p w:rsidR="0060585A" w:rsidRPr="00321D31" w:rsidRDefault="0060585A" w:rsidP="002A4C0C">
                  <w:pPr>
                    <w:framePr w:hSpace="180" w:wrap="around" w:vAnchor="text" w:hAnchor="margin" w:xAlign="right" w:y="95"/>
                    <w:jc w:val="right"/>
                    <w:rPr>
                      <w:rFonts w:ascii="Calibri" w:hAnsi="Calibri"/>
                      <w:b/>
                      <w:sz w:val="18"/>
                      <w:szCs w:val="18"/>
                    </w:rPr>
                  </w:pPr>
                  <w:r w:rsidRPr="00321D31">
                    <w:rPr>
                      <w:rFonts w:ascii="Calibri" w:hAnsi="Calibri"/>
                      <w:b/>
                      <w:sz w:val="18"/>
                      <w:szCs w:val="18"/>
                    </w:rPr>
                    <w:t>1.5</w:t>
                  </w:r>
                </w:p>
              </w:tc>
              <w:tc>
                <w:tcPr>
                  <w:tcW w:w="941" w:type="dxa"/>
                  <w:tcBorders>
                    <w:top w:val="single" w:sz="8" w:space="0" w:color="4F81BD"/>
                    <w:bottom w:val="single" w:sz="8" w:space="0" w:color="4F81BD"/>
                    <w:right w:val="single" w:sz="8" w:space="0" w:color="4F81BD"/>
                  </w:tcBorders>
                  <w:noWrap/>
                  <w:vAlign w:val="bottom"/>
                </w:tcPr>
                <w:p w:rsidR="0060585A" w:rsidRPr="00321D31" w:rsidRDefault="0060585A" w:rsidP="002A4C0C">
                  <w:pPr>
                    <w:framePr w:hSpace="180" w:wrap="around" w:vAnchor="text" w:hAnchor="margin" w:xAlign="right" w:y="95"/>
                    <w:jc w:val="right"/>
                    <w:rPr>
                      <w:rFonts w:ascii="Calibri" w:hAnsi="Calibri"/>
                      <w:b/>
                      <w:sz w:val="18"/>
                      <w:szCs w:val="18"/>
                    </w:rPr>
                  </w:pPr>
                  <w:r w:rsidRPr="00321D31">
                    <w:rPr>
                      <w:rFonts w:ascii="Calibri" w:hAnsi="Calibri"/>
                      <w:b/>
                      <w:sz w:val="18"/>
                      <w:szCs w:val="18"/>
                    </w:rPr>
                    <w:t>2.5</w:t>
                  </w:r>
                </w:p>
              </w:tc>
            </w:tr>
            <w:tr w:rsidR="0060585A" w:rsidRPr="00321D31" w:rsidTr="000C01A5">
              <w:trPr>
                <w:trHeight w:val="245"/>
              </w:trPr>
              <w:tc>
                <w:tcPr>
                  <w:tcW w:w="1754" w:type="dxa"/>
                  <w:tcBorders>
                    <w:left w:val="single" w:sz="8" w:space="0" w:color="4F81BD"/>
                  </w:tcBorders>
                  <w:noWrap/>
                </w:tcPr>
                <w:p w:rsidR="0060585A" w:rsidRPr="00321D31" w:rsidRDefault="0060585A" w:rsidP="002A4C0C">
                  <w:pPr>
                    <w:framePr w:hSpace="180" w:wrap="around" w:vAnchor="text" w:hAnchor="margin" w:xAlign="right" w:y="95"/>
                    <w:rPr>
                      <w:rFonts w:ascii="Calibri" w:hAnsi="Calibri"/>
                      <w:b/>
                      <w:bCs/>
                      <w:sz w:val="18"/>
                      <w:szCs w:val="18"/>
                    </w:rPr>
                  </w:pPr>
                  <w:r w:rsidRPr="00321D31">
                    <w:rPr>
                      <w:rFonts w:ascii="Calibri" w:hAnsi="Calibri"/>
                      <w:bCs/>
                      <w:sz w:val="18"/>
                      <w:szCs w:val="18"/>
                    </w:rPr>
                    <w:t>Bulgaria</w:t>
                  </w:r>
                </w:p>
              </w:tc>
              <w:tc>
                <w:tcPr>
                  <w:tcW w:w="581" w:type="dxa"/>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1.7</w:t>
                  </w:r>
                </w:p>
              </w:tc>
              <w:tc>
                <w:tcPr>
                  <w:tcW w:w="941" w:type="dxa"/>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0.6</w:t>
                  </w:r>
                </w:p>
              </w:tc>
              <w:tc>
                <w:tcPr>
                  <w:tcW w:w="941" w:type="dxa"/>
                  <w:tcBorders>
                    <w:right w:val="single" w:sz="8" w:space="0" w:color="4F81BD"/>
                  </w:tcBorders>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2.5</w:t>
                  </w:r>
                </w:p>
              </w:tc>
            </w:tr>
            <w:tr w:rsidR="0060585A" w:rsidRPr="00321D31" w:rsidTr="000C01A5">
              <w:trPr>
                <w:trHeight w:val="245"/>
              </w:trPr>
              <w:tc>
                <w:tcPr>
                  <w:tcW w:w="1754" w:type="dxa"/>
                  <w:tcBorders>
                    <w:top w:val="single" w:sz="8" w:space="0" w:color="4F81BD"/>
                    <w:left w:val="single" w:sz="8" w:space="0" w:color="4F81BD"/>
                    <w:bottom w:val="single" w:sz="8" w:space="0" w:color="4F81BD"/>
                  </w:tcBorders>
                  <w:noWrap/>
                </w:tcPr>
                <w:p w:rsidR="0060585A" w:rsidRPr="00321D31" w:rsidRDefault="0060585A" w:rsidP="002A4C0C">
                  <w:pPr>
                    <w:framePr w:hSpace="180" w:wrap="around" w:vAnchor="text" w:hAnchor="margin" w:xAlign="right" w:y="95"/>
                    <w:rPr>
                      <w:rFonts w:ascii="Calibri" w:hAnsi="Calibri"/>
                      <w:b/>
                      <w:bCs/>
                      <w:sz w:val="18"/>
                      <w:szCs w:val="18"/>
                    </w:rPr>
                  </w:pPr>
                  <w:r w:rsidRPr="00321D31">
                    <w:rPr>
                      <w:rFonts w:ascii="Calibri" w:hAnsi="Calibri"/>
                      <w:bCs/>
                      <w:sz w:val="18"/>
                      <w:szCs w:val="18"/>
                    </w:rPr>
                    <w:t>Czech Republic</w:t>
                  </w:r>
                </w:p>
              </w:tc>
              <w:tc>
                <w:tcPr>
                  <w:tcW w:w="581" w:type="dxa"/>
                  <w:tcBorders>
                    <w:top w:val="single" w:sz="8" w:space="0" w:color="4F81BD"/>
                    <w:bottom w:val="single" w:sz="8" w:space="0" w:color="4F81BD"/>
                  </w:tcBorders>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1.7</w:t>
                  </w:r>
                </w:p>
              </w:tc>
              <w:tc>
                <w:tcPr>
                  <w:tcW w:w="941" w:type="dxa"/>
                  <w:tcBorders>
                    <w:top w:val="single" w:sz="8" w:space="0" w:color="4F81BD"/>
                    <w:bottom w:val="single" w:sz="8" w:space="0" w:color="4F81BD"/>
                  </w:tcBorders>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0.0</w:t>
                  </w:r>
                </w:p>
              </w:tc>
              <w:tc>
                <w:tcPr>
                  <w:tcW w:w="941" w:type="dxa"/>
                  <w:tcBorders>
                    <w:top w:val="single" w:sz="8" w:space="0" w:color="4F81BD"/>
                    <w:bottom w:val="single" w:sz="8" w:space="0" w:color="4F81BD"/>
                    <w:right w:val="single" w:sz="8" w:space="0" w:color="4F81BD"/>
                  </w:tcBorders>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1.0</w:t>
                  </w:r>
                </w:p>
              </w:tc>
            </w:tr>
            <w:tr w:rsidR="0060585A" w:rsidRPr="00321D31" w:rsidTr="000C01A5">
              <w:trPr>
                <w:trHeight w:val="245"/>
              </w:trPr>
              <w:tc>
                <w:tcPr>
                  <w:tcW w:w="1754" w:type="dxa"/>
                  <w:tcBorders>
                    <w:left w:val="single" w:sz="8" w:space="0" w:color="4F81BD"/>
                  </w:tcBorders>
                  <w:noWrap/>
                </w:tcPr>
                <w:p w:rsidR="0060585A" w:rsidRPr="00321D31" w:rsidRDefault="0060585A" w:rsidP="002A4C0C">
                  <w:pPr>
                    <w:framePr w:hSpace="180" w:wrap="around" w:vAnchor="text" w:hAnchor="margin" w:xAlign="right" w:y="95"/>
                    <w:rPr>
                      <w:rFonts w:ascii="Calibri" w:hAnsi="Calibri"/>
                      <w:b/>
                      <w:bCs/>
                      <w:sz w:val="18"/>
                      <w:szCs w:val="18"/>
                    </w:rPr>
                  </w:pPr>
                  <w:r w:rsidRPr="00321D31">
                    <w:rPr>
                      <w:rFonts w:ascii="Calibri" w:hAnsi="Calibri"/>
                      <w:bCs/>
                      <w:sz w:val="18"/>
                      <w:szCs w:val="18"/>
                    </w:rPr>
                    <w:t>Estonia</w:t>
                  </w:r>
                </w:p>
              </w:tc>
              <w:tc>
                <w:tcPr>
                  <w:tcW w:w="581" w:type="dxa"/>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7.6</w:t>
                  </w:r>
                </w:p>
              </w:tc>
              <w:tc>
                <w:tcPr>
                  <w:tcW w:w="941" w:type="dxa"/>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1.7</w:t>
                  </w:r>
                </w:p>
              </w:tc>
              <w:tc>
                <w:tcPr>
                  <w:tcW w:w="941" w:type="dxa"/>
                  <w:tcBorders>
                    <w:right w:val="single" w:sz="8" w:space="0" w:color="4F81BD"/>
                  </w:tcBorders>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3.0</w:t>
                  </w:r>
                </w:p>
              </w:tc>
            </w:tr>
            <w:tr w:rsidR="0060585A" w:rsidRPr="00321D31" w:rsidTr="000C01A5">
              <w:trPr>
                <w:trHeight w:val="245"/>
              </w:trPr>
              <w:tc>
                <w:tcPr>
                  <w:tcW w:w="1754" w:type="dxa"/>
                  <w:tcBorders>
                    <w:top w:val="single" w:sz="8" w:space="0" w:color="4F81BD"/>
                    <w:left w:val="single" w:sz="8" w:space="0" w:color="4F81BD"/>
                    <w:bottom w:val="single" w:sz="8" w:space="0" w:color="4F81BD"/>
                  </w:tcBorders>
                  <w:noWrap/>
                </w:tcPr>
                <w:p w:rsidR="0060585A" w:rsidRPr="00321D31" w:rsidRDefault="0060585A" w:rsidP="002A4C0C">
                  <w:pPr>
                    <w:framePr w:hSpace="180" w:wrap="around" w:vAnchor="text" w:hAnchor="margin" w:xAlign="right" w:y="95"/>
                    <w:rPr>
                      <w:rFonts w:ascii="Calibri" w:hAnsi="Calibri"/>
                      <w:b/>
                      <w:bCs/>
                      <w:sz w:val="18"/>
                      <w:szCs w:val="18"/>
                    </w:rPr>
                  </w:pPr>
                  <w:r w:rsidRPr="00321D31">
                    <w:rPr>
                      <w:rFonts w:ascii="Calibri" w:hAnsi="Calibri"/>
                      <w:bCs/>
                      <w:sz w:val="18"/>
                      <w:szCs w:val="18"/>
                    </w:rPr>
                    <w:t>Latvia</w:t>
                  </w:r>
                </w:p>
              </w:tc>
              <w:tc>
                <w:tcPr>
                  <w:tcW w:w="581" w:type="dxa"/>
                  <w:tcBorders>
                    <w:top w:val="single" w:sz="8" w:space="0" w:color="4F81BD"/>
                    <w:bottom w:val="single" w:sz="8" w:space="0" w:color="4F81BD"/>
                  </w:tcBorders>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5.5</w:t>
                  </w:r>
                </w:p>
              </w:tc>
              <w:tc>
                <w:tcPr>
                  <w:tcW w:w="941" w:type="dxa"/>
                  <w:tcBorders>
                    <w:top w:val="single" w:sz="8" w:space="0" w:color="4F81BD"/>
                    <w:bottom w:val="single" w:sz="8" w:space="0" w:color="4F81BD"/>
                  </w:tcBorders>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2.3</w:t>
                  </w:r>
                </w:p>
              </w:tc>
              <w:tc>
                <w:tcPr>
                  <w:tcW w:w="941" w:type="dxa"/>
                  <w:tcBorders>
                    <w:top w:val="single" w:sz="8" w:space="0" w:color="4F81BD"/>
                    <w:bottom w:val="single" w:sz="8" w:space="0" w:color="4F81BD"/>
                    <w:right w:val="single" w:sz="8" w:space="0" w:color="4F81BD"/>
                  </w:tcBorders>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2.9</w:t>
                  </w:r>
                </w:p>
              </w:tc>
            </w:tr>
            <w:tr w:rsidR="0060585A" w:rsidRPr="00321D31" w:rsidTr="000C01A5">
              <w:trPr>
                <w:trHeight w:val="245"/>
              </w:trPr>
              <w:tc>
                <w:tcPr>
                  <w:tcW w:w="1754" w:type="dxa"/>
                  <w:tcBorders>
                    <w:left w:val="single" w:sz="8" w:space="0" w:color="4F81BD"/>
                  </w:tcBorders>
                  <w:noWrap/>
                </w:tcPr>
                <w:p w:rsidR="0060585A" w:rsidRPr="00321D31" w:rsidRDefault="0060585A" w:rsidP="002A4C0C">
                  <w:pPr>
                    <w:framePr w:hSpace="180" w:wrap="around" w:vAnchor="text" w:hAnchor="margin" w:xAlign="right" w:y="95"/>
                    <w:rPr>
                      <w:rFonts w:ascii="Calibri" w:hAnsi="Calibri"/>
                      <w:b/>
                      <w:bCs/>
                      <w:sz w:val="18"/>
                      <w:szCs w:val="18"/>
                    </w:rPr>
                  </w:pPr>
                  <w:r w:rsidRPr="00321D31">
                    <w:rPr>
                      <w:rFonts w:ascii="Calibri" w:hAnsi="Calibri"/>
                      <w:bCs/>
                      <w:sz w:val="18"/>
                      <w:szCs w:val="18"/>
                    </w:rPr>
                    <w:t>Lithuania</w:t>
                  </w:r>
                </w:p>
              </w:tc>
              <w:tc>
                <w:tcPr>
                  <w:tcW w:w="581" w:type="dxa"/>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5.9</w:t>
                  </w:r>
                </w:p>
              </w:tc>
              <w:tc>
                <w:tcPr>
                  <w:tcW w:w="941" w:type="dxa"/>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2.3</w:t>
                  </w:r>
                </w:p>
              </w:tc>
              <w:tc>
                <w:tcPr>
                  <w:tcW w:w="941" w:type="dxa"/>
                  <w:tcBorders>
                    <w:right w:val="single" w:sz="8" w:space="0" w:color="4F81BD"/>
                  </w:tcBorders>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3.5</w:t>
                  </w:r>
                </w:p>
              </w:tc>
            </w:tr>
            <w:tr w:rsidR="0060585A" w:rsidRPr="00321D31" w:rsidTr="000C01A5">
              <w:trPr>
                <w:trHeight w:val="245"/>
              </w:trPr>
              <w:tc>
                <w:tcPr>
                  <w:tcW w:w="1754" w:type="dxa"/>
                  <w:tcBorders>
                    <w:top w:val="single" w:sz="8" w:space="0" w:color="4F81BD"/>
                    <w:left w:val="single" w:sz="8" w:space="0" w:color="4F81BD"/>
                    <w:bottom w:val="single" w:sz="8" w:space="0" w:color="4F81BD"/>
                  </w:tcBorders>
                  <w:noWrap/>
                </w:tcPr>
                <w:p w:rsidR="0060585A" w:rsidRPr="00321D31" w:rsidRDefault="0060585A" w:rsidP="002A4C0C">
                  <w:pPr>
                    <w:framePr w:hSpace="180" w:wrap="around" w:vAnchor="text" w:hAnchor="margin" w:xAlign="right" w:y="95"/>
                    <w:rPr>
                      <w:rFonts w:ascii="Calibri" w:hAnsi="Calibri"/>
                      <w:b/>
                      <w:bCs/>
                      <w:sz w:val="18"/>
                      <w:szCs w:val="18"/>
                    </w:rPr>
                  </w:pPr>
                  <w:r w:rsidRPr="00321D31">
                    <w:rPr>
                      <w:rFonts w:ascii="Calibri" w:hAnsi="Calibri"/>
                      <w:bCs/>
                      <w:sz w:val="18"/>
                      <w:szCs w:val="18"/>
                    </w:rPr>
                    <w:t>Hungary</w:t>
                  </w:r>
                </w:p>
              </w:tc>
              <w:tc>
                <w:tcPr>
                  <w:tcW w:w="581" w:type="dxa"/>
                  <w:tcBorders>
                    <w:top w:val="single" w:sz="8" w:space="0" w:color="4F81BD"/>
                    <w:bottom w:val="single" w:sz="8" w:space="0" w:color="4F81BD"/>
                  </w:tcBorders>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1.7</w:t>
                  </w:r>
                </w:p>
              </w:tc>
              <w:tc>
                <w:tcPr>
                  <w:tcW w:w="941" w:type="dxa"/>
                  <w:tcBorders>
                    <w:top w:val="single" w:sz="8" w:space="0" w:color="4F81BD"/>
                    <w:bottom w:val="single" w:sz="8" w:space="0" w:color="4F81BD"/>
                  </w:tcBorders>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-0.4</w:t>
                  </w:r>
                </w:p>
              </w:tc>
              <w:tc>
                <w:tcPr>
                  <w:tcW w:w="941" w:type="dxa"/>
                  <w:tcBorders>
                    <w:top w:val="single" w:sz="8" w:space="0" w:color="4F81BD"/>
                    <w:bottom w:val="single" w:sz="8" w:space="0" w:color="4F81BD"/>
                    <w:right w:val="single" w:sz="8" w:space="0" w:color="4F81BD"/>
                  </w:tcBorders>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1.5</w:t>
                  </w:r>
                </w:p>
              </w:tc>
            </w:tr>
            <w:tr w:rsidR="0060585A" w:rsidRPr="00321D31" w:rsidTr="000C01A5">
              <w:trPr>
                <w:trHeight w:val="245"/>
              </w:trPr>
              <w:tc>
                <w:tcPr>
                  <w:tcW w:w="1754" w:type="dxa"/>
                  <w:tcBorders>
                    <w:left w:val="single" w:sz="8" w:space="0" w:color="4F81BD"/>
                  </w:tcBorders>
                  <w:noWrap/>
                </w:tcPr>
                <w:p w:rsidR="0060585A" w:rsidRPr="00321D31" w:rsidRDefault="0060585A" w:rsidP="002A4C0C">
                  <w:pPr>
                    <w:framePr w:hSpace="180" w:wrap="around" w:vAnchor="text" w:hAnchor="margin" w:xAlign="right" w:y="95"/>
                    <w:rPr>
                      <w:rFonts w:ascii="Calibri" w:hAnsi="Calibri"/>
                      <w:b/>
                      <w:bCs/>
                      <w:sz w:val="18"/>
                      <w:szCs w:val="18"/>
                    </w:rPr>
                  </w:pPr>
                  <w:r w:rsidRPr="00321D31">
                    <w:rPr>
                      <w:rFonts w:ascii="Calibri" w:hAnsi="Calibri"/>
                      <w:bCs/>
                      <w:sz w:val="18"/>
                      <w:szCs w:val="18"/>
                    </w:rPr>
                    <w:t>Poland</w:t>
                  </w:r>
                </w:p>
              </w:tc>
              <w:tc>
                <w:tcPr>
                  <w:tcW w:w="581" w:type="dxa"/>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4.3</w:t>
                  </w:r>
                </w:p>
              </w:tc>
              <w:tc>
                <w:tcPr>
                  <w:tcW w:w="941" w:type="dxa"/>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2.9</w:t>
                  </w:r>
                </w:p>
              </w:tc>
              <w:tc>
                <w:tcPr>
                  <w:tcW w:w="941" w:type="dxa"/>
                  <w:tcBorders>
                    <w:right w:val="single" w:sz="8" w:space="0" w:color="4F81BD"/>
                  </w:tcBorders>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3.2</w:t>
                  </w:r>
                </w:p>
              </w:tc>
            </w:tr>
            <w:tr w:rsidR="0060585A" w:rsidRPr="00321D31" w:rsidTr="000C01A5">
              <w:trPr>
                <w:trHeight w:val="245"/>
              </w:trPr>
              <w:tc>
                <w:tcPr>
                  <w:tcW w:w="1754" w:type="dxa"/>
                  <w:tcBorders>
                    <w:top w:val="single" w:sz="8" w:space="0" w:color="4F81BD"/>
                    <w:left w:val="single" w:sz="8" w:space="0" w:color="4F81BD"/>
                    <w:bottom w:val="single" w:sz="8" w:space="0" w:color="4F81BD"/>
                  </w:tcBorders>
                  <w:noWrap/>
                </w:tcPr>
                <w:p w:rsidR="0060585A" w:rsidRPr="00321D31" w:rsidRDefault="0060585A" w:rsidP="002A4C0C">
                  <w:pPr>
                    <w:framePr w:hSpace="180" w:wrap="around" w:vAnchor="text" w:hAnchor="margin" w:xAlign="right" w:y="95"/>
                    <w:rPr>
                      <w:rFonts w:ascii="Calibri" w:hAnsi="Calibri"/>
                      <w:b/>
                      <w:bCs/>
                      <w:sz w:val="18"/>
                      <w:szCs w:val="18"/>
                    </w:rPr>
                  </w:pPr>
                  <w:r w:rsidRPr="00321D31">
                    <w:rPr>
                      <w:rFonts w:ascii="Calibri" w:hAnsi="Calibri"/>
                      <w:bCs/>
                      <w:sz w:val="18"/>
                      <w:szCs w:val="18"/>
                    </w:rPr>
                    <w:t>Romania</w:t>
                  </w:r>
                </w:p>
              </w:tc>
              <w:tc>
                <w:tcPr>
                  <w:tcW w:w="581" w:type="dxa"/>
                  <w:tcBorders>
                    <w:top w:val="single" w:sz="8" w:space="0" w:color="4F81BD"/>
                    <w:bottom w:val="single" w:sz="8" w:space="0" w:color="4F81BD"/>
                  </w:tcBorders>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2.5</w:t>
                  </w:r>
                </w:p>
              </w:tc>
              <w:tc>
                <w:tcPr>
                  <w:tcW w:w="941" w:type="dxa"/>
                  <w:tcBorders>
                    <w:top w:val="single" w:sz="8" w:space="0" w:color="4F81BD"/>
                    <w:bottom w:val="single" w:sz="8" w:space="0" w:color="4F81BD"/>
                  </w:tcBorders>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1.2</w:t>
                  </w:r>
                </w:p>
              </w:tc>
              <w:tc>
                <w:tcPr>
                  <w:tcW w:w="941" w:type="dxa"/>
                  <w:tcBorders>
                    <w:top w:val="single" w:sz="8" w:space="0" w:color="4F81BD"/>
                    <w:bottom w:val="single" w:sz="8" w:space="0" w:color="4F81BD"/>
                    <w:right w:val="single" w:sz="8" w:space="0" w:color="4F81BD"/>
                  </w:tcBorders>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2.8</w:t>
                  </w:r>
                </w:p>
              </w:tc>
            </w:tr>
            <w:tr w:rsidR="0060585A" w:rsidRPr="00321D31" w:rsidTr="000C01A5">
              <w:trPr>
                <w:trHeight w:val="245"/>
              </w:trPr>
              <w:tc>
                <w:tcPr>
                  <w:tcW w:w="1754" w:type="dxa"/>
                  <w:tcBorders>
                    <w:left w:val="single" w:sz="8" w:space="0" w:color="4F81BD"/>
                  </w:tcBorders>
                  <w:noWrap/>
                </w:tcPr>
                <w:p w:rsidR="0060585A" w:rsidRPr="00321D31" w:rsidRDefault="0060585A" w:rsidP="002A4C0C">
                  <w:pPr>
                    <w:framePr w:hSpace="180" w:wrap="around" w:vAnchor="text" w:hAnchor="margin" w:xAlign="right" w:y="95"/>
                    <w:rPr>
                      <w:rFonts w:ascii="Calibri" w:hAnsi="Calibri"/>
                      <w:b/>
                      <w:bCs/>
                      <w:sz w:val="18"/>
                      <w:szCs w:val="18"/>
                    </w:rPr>
                  </w:pPr>
                  <w:r w:rsidRPr="00321D31">
                    <w:rPr>
                      <w:rFonts w:ascii="Calibri" w:hAnsi="Calibri"/>
                      <w:bCs/>
                      <w:sz w:val="18"/>
                      <w:szCs w:val="18"/>
                    </w:rPr>
                    <w:t>Slovenia</w:t>
                  </w:r>
                </w:p>
              </w:tc>
              <w:tc>
                <w:tcPr>
                  <w:tcW w:w="581" w:type="dxa"/>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-0.2</w:t>
                  </w:r>
                </w:p>
              </w:tc>
              <w:tc>
                <w:tcPr>
                  <w:tcW w:w="941" w:type="dxa"/>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-1.2</w:t>
                  </w:r>
                </w:p>
              </w:tc>
              <w:tc>
                <w:tcPr>
                  <w:tcW w:w="941" w:type="dxa"/>
                  <w:tcBorders>
                    <w:right w:val="single" w:sz="8" w:space="0" w:color="4F81BD"/>
                  </w:tcBorders>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0.6</w:t>
                  </w:r>
                </w:p>
              </w:tc>
            </w:tr>
            <w:tr w:rsidR="0060585A" w:rsidRPr="00321D31" w:rsidTr="000C01A5">
              <w:trPr>
                <w:trHeight w:val="245"/>
              </w:trPr>
              <w:tc>
                <w:tcPr>
                  <w:tcW w:w="1754" w:type="dxa"/>
                  <w:tcBorders>
                    <w:top w:val="single" w:sz="8" w:space="0" w:color="4F81BD"/>
                    <w:left w:val="single" w:sz="8" w:space="0" w:color="4F81BD"/>
                    <w:bottom w:val="single" w:sz="8" w:space="0" w:color="4F81BD"/>
                  </w:tcBorders>
                  <w:noWrap/>
                </w:tcPr>
                <w:p w:rsidR="0060585A" w:rsidRPr="00321D31" w:rsidRDefault="0060585A" w:rsidP="002A4C0C">
                  <w:pPr>
                    <w:framePr w:hSpace="180" w:wrap="around" w:vAnchor="text" w:hAnchor="margin" w:xAlign="right" w:y="95"/>
                    <w:rPr>
                      <w:rFonts w:ascii="Calibri" w:hAnsi="Calibri"/>
                      <w:b/>
                      <w:bCs/>
                      <w:sz w:val="18"/>
                      <w:szCs w:val="18"/>
                    </w:rPr>
                  </w:pPr>
                  <w:r w:rsidRPr="00321D31">
                    <w:rPr>
                      <w:rFonts w:ascii="Calibri" w:hAnsi="Calibri"/>
                      <w:bCs/>
                      <w:sz w:val="18"/>
                      <w:szCs w:val="18"/>
                    </w:rPr>
                    <w:t>Slovak Republic</w:t>
                  </w:r>
                </w:p>
              </w:tc>
              <w:tc>
                <w:tcPr>
                  <w:tcW w:w="581" w:type="dxa"/>
                  <w:tcBorders>
                    <w:top w:val="single" w:sz="8" w:space="0" w:color="4F81BD"/>
                    <w:bottom w:val="single" w:sz="8" w:space="0" w:color="4F81BD"/>
                  </w:tcBorders>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3.3</w:t>
                  </w:r>
                </w:p>
              </w:tc>
              <w:tc>
                <w:tcPr>
                  <w:tcW w:w="941" w:type="dxa"/>
                  <w:tcBorders>
                    <w:top w:val="single" w:sz="8" w:space="0" w:color="4F81BD"/>
                    <w:bottom w:val="single" w:sz="8" w:space="0" w:color="4F81BD"/>
                  </w:tcBorders>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2.1</w:t>
                  </w:r>
                </w:p>
              </w:tc>
              <w:tc>
                <w:tcPr>
                  <w:tcW w:w="941" w:type="dxa"/>
                  <w:tcBorders>
                    <w:top w:val="single" w:sz="8" w:space="0" w:color="4F81BD"/>
                    <w:bottom w:val="single" w:sz="8" w:space="0" w:color="4F81BD"/>
                    <w:right w:val="single" w:sz="8" w:space="0" w:color="4F81BD"/>
                  </w:tcBorders>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3.1</w:t>
                  </w:r>
                </w:p>
              </w:tc>
            </w:tr>
            <w:tr w:rsidR="0060585A" w:rsidRPr="00321D31" w:rsidTr="000C01A5">
              <w:trPr>
                <w:trHeight w:val="245"/>
              </w:trPr>
              <w:tc>
                <w:tcPr>
                  <w:tcW w:w="1754" w:type="dxa"/>
                  <w:tcBorders>
                    <w:left w:val="single" w:sz="8" w:space="0" w:color="4F81BD"/>
                  </w:tcBorders>
                  <w:noWrap/>
                </w:tcPr>
                <w:p w:rsidR="0060585A" w:rsidRPr="00321D31" w:rsidRDefault="0060585A" w:rsidP="002A4C0C">
                  <w:pPr>
                    <w:framePr w:hSpace="180" w:wrap="around" w:vAnchor="text" w:hAnchor="margin" w:xAlign="right" w:y="95"/>
                    <w:rPr>
                      <w:rFonts w:ascii="Calibri" w:hAnsi="Calibri"/>
                      <w:b/>
                      <w:bCs/>
                      <w:sz w:val="18"/>
                      <w:szCs w:val="18"/>
                    </w:rPr>
                  </w:pPr>
                  <w:r w:rsidRPr="00321D31">
                    <w:rPr>
                      <w:rFonts w:ascii="Calibri" w:hAnsi="Calibri"/>
                      <w:bCs/>
                      <w:sz w:val="18"/>
                      <w:szCs w:val="18"/>
                    </w:rPr>
                    <w:t>Croatia</w:t>
                  </w:r>
                </w:p>
              </w:tc>
              <w:tc>
                <w:tcPr>
                  <w:tcW w:w="581" w:type="dxa"/>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0.0</w:t>
                  </w:r>
                </w:p>
              </w:tc>
              <w:tc>
                <w:tcPr>
                  <w:tcW w:w="941" w:type="dxa"/>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-1.0</w:t>
                  </w:r>
                </w:p>
              </w:tc>
              <w:tc>
                <w:tcPr>
                  <w:tcW w:w="941" w:type="dxa"/>
                  <w:tcBorders>
                    <w:right w:val="single" w:sz="8" w:space="0" w:color="4F81BD"/>
                  </w:tcBorders>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1.5</w:t>
                  </w:r>
                </w:p>
              </w:tc>
            </w:tr>
            <w:tr w:rsidR="0060585A" w:rsidRPr="00321D31" w:rsidTr="000C01A5">
              <w:trPr>
                <w:trHeight w:val="245"/>
              </w:trPr>
              <w:tc>
                <w:tcPr>
                  <w:tcW w:w="1754" w:type="dxa"/>
                  <w:tcBorders>
                    <w:top w:val="single" w:sz="8" w:space="0" w:color="4F81BD"/>
                    <w:left w:val="single" w:sz="8" w:space="0" w:color="4F81BD"/>
                    <w:bottom w:val="single" w:sz="8" w:space="0" w:color="4F81BD"/>
                  </w:tcBorders>
                  <w:noWrap/>
                </w:tcPr>
                <w:p w:rsidR="0060585A" w:rsidRPr="00321D31" w:rsidRDefault="0060585A" w:rsidP="002A4C0C">
                  <w:pPr>
                    <w:framePr w:hSpace="180" w:wrap="around" w:vAnchor="text" w:hAnchor="margin" w:xAlign="right" w:y="95"/>
                    <w:rPr>
                      <w:rFonts w:ascii="Calibri" w:hAnsi="Calibri"/>
                      <w:b/>
                      <w:bCs/>
                      <w:i/>
                      <w:sz w:val="18"/>
                      <w:szCs w:val="18"/>
                    </w:rPr>
                  </w:pPr>
                  <w:r w:rsidRPr="00321D31">
                    <w:rPr>
                      <w:rFonts w:ascii="Calibri" w:hAnsi="Calibri"/>
                      <w:bCs/>
                      <w:i/>
                      <w:sz w:val="18"/>
                      <w:szCs w:val="18"/>
                    </w:rPr>
                    <w:t>Memo</w:t>
                  </w:r>
                </w:p>
              </w:tc>
              <w:tc>
                <w:tcPr>
                  <w:tcW w:w="581" w:type="dxa"/>
                  <w:tcBorders>
                    <w:top w:val="single" w:sz="8" w:space="0" w:color="4F81BD"/>
                    <w:bottom w:val="single" w:sz="8" w:space="0" w:color="4F81BD"/>
                  </w:tcBorders>
                  <w:noWrap/>
                </w:tcPr>
                <w:p w:rsidR="0060585A" w:rsidRPr="00321D31" w:rsidRDefault="0060585A" w:rsidP="002A4C0C">
                  <w:pPr>
                    <w:framePr w:hSpace="180" w:wrap="around" w:vAnchor="text" w:hAnchor="margin" w:xAlign="right" w:y="95"/>
                    <w:jc w:val="right"/>
                    <w:rPr>
                      <w:rFonts w:ascii="Calibri" w:hAnsi="Calibri"/>
                      <w:sz w:val="18"/>
                      <w:szCs w:val="18"/>
                    </w:rPr>
                  </w:pPr>
                </w:p>
              </w:tc>
              <w:tc>
                <w:tcPr>
                  <w:tcW w:w="941" w:type="dxa"/>
                  <w:tcBorders>
                    <w:top w:val="single" w:sz="8" w:space="0" w:color="4F81BD"/>
                    <w:bottom w:val="single" w:sz="8" w:space="0" w:color="4F81BD"/>
                  </w:tcBorders>
                  <w:noWrap/>
                </w:tcPr>
                <w:p w:rsidR="0060585A" w:rsidRPr="00321D31" w:rsidRDefault="0060585A" w:rsidP="002A4C0C">
                  <w:pPr>
                    <w:framePr w:hSpace="180" w:wrap="around" w:vAnchor="text" w:hAnchor="margin" w:xAlign="right" w:y="95"/>
                    <w:jc w:val="right"/>
                    <w:rPr>
                      <w:rFonts w:ascii="Calibri" w:hAnsi="Calibri"/>
                      <w:sz w:val="18"/>
                      <w:szCs w:val="18"/>
                    </w:rPr>
                  </w:pPr>
                </w:p>
              </w:tc>
              <w:tc>
                <w:tcPr>
                  <w:tcW w:w="941" w:type="dxa"/>
                  <w:tcBorders>
                    <w:top w:val="single" w:sz="8" w:space="0" w:color="4F81BD"/>
                    <w:bottom w:val="single" w:sz="8" w:space="0" w:color="4F81BD"/>
                    <w:right w:val="single" w:sz="8" w:space="0" w:color="4F81BD"/>
                  </w:tcBorders>
                  <w:noWrap/>
                </w:tcPr>
                <w:p w:rsidR="0060585A" w:rsidRPr="00321D31" w:rsidRDefault="0060585A" w:rsidP="002A4C0C">
                  <w:pPr>
                    <w:framePr w:hSpace="180" w:wrap="around" w:vAnchor="text" w:hAnchor="margin" w:xAlign="right" w:y="95"/>
                    <w:jc w:val="right"/>
                    <w:rPr>
                      <w:rFonts w:ascii="Calibri" w:hAnsi="Calibri"/>
                      <w:sz w:val="18"/>
                      <w:szCs w:val="18"/>
                    </w:rPr>
                  </w:pPr>
                </w:p>
              </w:tc>
            </w:tr>
            <w:tr w:rsidR="0060585A" w:rsidRPr="00321D31" w:rsidTr="000C01A5">
              <w:trPr>
                <w:trHeight w:val="245"/>
              </w:trPr>
              <w:tc>
                <w:tcPr>
                  <w:tcW w:w="1754" w:type="dxa"/>
                  <w:tcBorders>
                    <w:left w:val="single" w:sz="8" w:space="0" w:color="4F81BD"/>
                    <w:bottom w:val="single" w:sz="8" w:space="0" w:color="4F81BD"/>
                  </w:tcBorders>
                  <w:noWrap/>
                </w:tcPr>
                <w:p w:rsidR="0060585A" w:rsidRPr="00321D31" w:rsidRDefault="0060585A" w:rsidP="002A4C0C">
                  <w:pPr>
                    <w:framePr w:hSpace="180" w:wrap="around" w:vAnchor="text" w:hAnchor="margin" w:xAlign="right" w:y="95"/>
                    <w:rPr>
                      <w:rFonts w:ascii="Calibri" w:hAnsi="Calibri"/>
                      <w:b/>
                      <w:bCs/>
                      <w:sz w:val="18"/>
                      <w:szCs w:val="18"/>
                    </w:rPr>
                  </w:pPr>
                  <w:r w:rsidRPr="00321D31">
                    <w:rPr>
                      <w:rFonts w:ascii="Calibri" w:hAnsi="Calibri"/>
                      <w:bCs/>
                      <w:sz w:val="18"/>
                      <w:szCs w:val="18"/>
                    </w:rPr>
                    <w:t>EU15</w:t>
                  </w:r>
                </w:p>
              </w:tc>
              <w:tc>
                <w:tcPr>
                  <w:tcW w:w="581" w:type="dxa"/>
                  <w:tcBorders>
                    <w:bottom w:val="single" w:sz="8" w:space="0" w:color="4F81BD"/>
                  </w:tcBorders>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1.5</w:t>
                  </w:r>
                </w:p>
              </w:tc>
              <w:tc>
                <w:tcPr>
                  <w:tcW w:w="941" w:type="dxa"/>
                  <w:tcBorders>
                    <w:bottom w:val="single" w:sz="8" w:space="0" w:color="4F81BD"/>
                  </w:tcBorders>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-0.1</w:t>
                  </w:r>
                </w:p>
              </w:tc>
              <w:tc>
                <w:tcPr>
                  <w:tcW w:w="941" w:type="dxa"/>
                  <w:tcBorders>
                    <w:bottom w:val="single" w:sz="8" w:space="0" w:color="4F81BD"/>
                    <w:right w:val="single" w:sz="8" w:space="0" w:color="4F81BD"/>
                  </w:tcBorders>
                  <w:noWrap/>
                </w:tcPr>
                <w:p w:rsidR="0060585A" w:rsidRPr="00321D31" w:rsidRDefault="0060585A" w:rsidP="002A4C0C">
                  <w:pPr>
                    <w:framePr w:hSpace="180" w:wrap="around" w:vAnchor="text" w:hAnchor="margin" w:xAlign="right" w:y="95"/>
                    <w:jc w:val="right"/>
                    <w:rPr>
                      <w:rFonts w:ascii="Calibri" w:hAnsi="Calibri"/>
                      <w:sz w:val="18"/>
                      <w:szCs w:val="18"/>
                    </w:rPr>
                  </w:pPr>
                  <w:r w:rsidRPr="00321D31">
                    <w:rPr>
                      <w:rFonts w:ascii="Calibri" w:hAnsi="Calibri"/>
                      <w:sz w:val="18"/>
                      <w:szCs w:val="18"/>
                    </w:rPr>
                    <w:t>1.2</w:t>
                  </w:r>
                </w:p>
              </w:tc>
            </w:tr>
          </w:tbl>
          <w:p w:rsidR="0060585A" w:rsidRPr="00321D31" w:rsidRDefault="0060585A" w:rsidP="002A4C0C">
            <w:pPr>
              <w:spacing w:before="120" w:after="120" w:line="276" w:lineRule="auto"/>
              <w:rPr>
                <w:b/>
              </w:rPr>
            </w:pPr>
          </w:p>
        </w:tc>
      </w:tr>
      <w:tr w:rsidR="0060585A" w:rsidRPr="00321D31" w:rsidTr="002A4C0C">
        <w:tc>
          <w:tcPr>
            <w:tcW w:w="4453" w:type="dxa"/>
          </w:tcPr>
          <w:p w:rsidR="0060585A" w:rsidRPr="00321D31" w:rsidRDefault="0060585A" w:rsidP="002A4C0C">
            <w:pPr>
              <w:keepNext/>
              <w:spacing w:before="60" w:after="40" w:line="276" w:lineRule="auto"/>
              <w:rPr>
                <w:i/>
                <w:sz w:val="18"/>
                <w:szCs w:val="18"/>
              </w:rPr>
            </w:pPr>
            <w:r w:rsidRPr="00321D31">
              <w:rPr>
                <w:i/>
                <w:sz w:val="18"/>
                <w:szCs w:val="18"/>
              </w:rPr>
              <w:t xml:space="preserve">Source: </w:t>
            </w:r>
            <w:r w:rsidRPr="00321D31">
              <w:rPr>
                <w:sz w:val="18"/>
                <w:szCs w:val="18"/>
              </w:rPr>
              <w:t>World Bank staff.</w:t>
            </w:r>
            <w:r w:rsidRPr="00321D31">
              <w:rPr>
                <w:i/>
                <w:sz w:val="18"/>
                <w:szCs w:val="18"/>
              </w:rPr>
              <w:t xml:space="preserve"> </w:t>
            </w:r>
          </w:p>
        </w:tc>
      </w:tr>
    </w:tbl>
    <w:p w:rsidR="0060585A" w:rsidRDefault="0060585A" w:rsidP="00E41045">
      <w:pPr>
        <w:spacing w:before="120" w:after="120" w:line="276" w:lineRule="auto"/>
      </w:pPr>
      <w:r w:rsidRPr="001D6555">
        <w:rPr>
          <w:b/>
        </w:rPr>
        <w:t>Albeit at a decelerating pace, the EU11 economy is expected to expand in 2012</w:t>
      </w:r>
      <w:r>
        <w:rPr>
          <w:b/>
        </w:rPr>
        <w:t>— provided there is no further deepening of the crisis in the Euro area</w:t>
      </w:r>
      <w:r w:rsidRPr="001D6555">
        <w:rPr>
          <w:b/>
        </w:rPr>
        <w:t xml:space="preserve">. </w:t>
      </w:r>
      <w:r w:rsidRPr="001D6555">
        <w:t xml:space="preserve">Assuming an orderly resolution of </w:t>
      </w:r>
      <w:r>
        <w:t xml:space="preserve">euro area </w:t>
      </w:r>
      <w:r w:rsidRPr="001D6555">
        <w:t xml:space="preserve">sovereign debt problems, EU11 growth will </w:t>
      </w:r>
      <w:r>
        <w:t xml:space="preserve">still be </w:t>
      </w:r>
      <w:r w:rsidRPr="001D6555">
        <w:t>hal</w:t>
      </w:r>
      <w:r>
        <w:t xml:space="preserve">ved: </w:t>
      </w:r>
      <w:r w:rsidRPr="001D6555">
        <w:t>from 3.1 percent in 2011 to 1.</w:t>
      </w:r>
      <w:r>
        <w:t>5</w:t>
      </w:r>
      <w:r w:rsidRPr="001D6555">
        <w:t xml:space="preserve"> percent in 2012.</w:t>
      </w:r>
      <w:r>
        <w:t xml:space="preserve"> </w:t>
      </w:r>
      <w:r w:rsidRPr="001D6555">
        <w:t xml:space="preserve">The EU11 </w:t>
      </w:r>
      <w:r>
        <w:t xml:space="preserve">countries </w:t>
      </w:r>
      <w:r w:rsidRPr="001D6555">
        <w:t xml:space="preserve">will retain </w:t>
      </w:r>
      <w:r>
        <w:t xml:space="preserve">their </w:t>
      </w:r>
      <w:r w:rsidRPr="001D6555">
        <w:t xml:space="preserve">growth advantage </w:t>
      </w:r>
      <w:r>
        <w:t xml:space="preserve">over the EU15 </w:t>
      </w:r>
      <w:r w:rsidRPr="001D6555">
        <w:t xml:space="preserve">of </w:t>
      </w:r>
      <w:r>
        <w:t xml:space="preserve">about </w:t>
      </w:r>
      <w:r w:rsidRPr="001D6555">
        <w:t xml:space="preserve">1.5 percentage points </w:t>
      </w:r>
      <w:r>
        <w:t xml:space="preserve">so that they will </w:t>
      </w:r>
      <w:r w:rsidRPr="001D6555">
        <w:t>continu</w:t>
      </w:r>
      <w:r>
        <w:t xml:space="preserve">e to </w:t>
      </w:r>
      <w:r w:rsidRPr="001D6555">
        <w:t>converge to average EU living standards.</w:t>
      </w:r>
      <w:r>
        <w:t xml:space="preserve">  </w:t>
      </w:r>
      <w:r w:rsidRPr="001D6555">
        <w:t xml:space="preserve">With the reemergence of </w:t>
      </w:r>
      <w:r>
        <w:t xml:space="preserve">the euro area </w:t>
      </w:r>
      <w:r w:rsidRPr="001D6555">
        <w:t xml:space="preserve">tensions, economic growth in Europe continues to suffer from </w:t>
      </w:r>
      <w:r>
        <w:t xml:space="preserve">the waning </w:t>
      </w:r>
      <w:r w:rsidRPr="001D6555">
        <w:t>confidence of consumers and businesses</w:t>
      </w:r>
      <w:r>
        <w:t>, which is negatively affecting the economic forecast for EU11</w:t>
      </w:r>
      <w:r w:rsidRPr="001D6555">
        <w:t xml:space="preserve">. </w:t>
      </w:r>
    </w:p>
    <w:p w:rsidR="0060585A" w:rsidRDefault="0060585A" w:rsidP="00E41045">
      <w:pPr>
        <w:spacing w:before="120" w:after="120" w:line="276" w:lineRule="auto"/>
      </w:pPr>
      <w:r>
        <w:rPr>
          <w:b/>
        </w:rPr>
        <w:t xml:space="preserve">Under a baseline scenario of no worsening of euro area economic problems, all EU11 countries are projected to grow at lower rates in 2012 than in 2011; their economies will rebound only in 2013. </w:t>
      </w:r>
      <w:r w:rsidRPr="00040B75">
        <w:t xml:space="preserve">The </w:t>
      </w:r>
      <w:r>
        <w:t>countries that grew fastest in 2011</w:t>
      </w:r>
      <w:r w:rsidRPr="00040B75">
        <w:t xml:space="preserve"> will </w:t>
      </w:r>
      <w:r>
        <w:t xml:space="preserve">continue to grow albeit at a more modest pace. </w:t>
      </w:r>
      <w:r w:rsidRPr="00040B75">
        <w:t>Growth in Estonia, Latvia</w:t>
      </w:r>
      <w:r>
        <w:t>,</w:t>
      </w:r>
      <w:r w:rsidRPr="00040B75">
        <w:t xml:space="preserve"> and Lithuania will slow </w:t>
      </w:r>
      <w:r>
        <w:t xml:space="preserve">in 2012 </w:t>
      </w:r>
      <w:r w:rsidRPr="00040B75">
        <w:t>by more than 3 percentage points</w:t>
      </w:r>
      <w:r>
        <w:t>, though they will still be above the expected EU11 average of 1.5 percent</w:t>
      </w:r>
      <w:r w:rsidRPr="00040B75">
        <w:t>.</w:t>
      </w:r>
      <w:r>
        <w:t xml:space="preserve"> </w:t>
      </w:r>
      <w:r w:rsidRPr="00040B75">
        <w:t xml:space="preserve">In the </w:t>
      </w:r>
      <w:r>
        <w:t xml:space="preserve">other </w:t>
      </w:r>
      <w:r w:rsidRPr="00040B75">
        <w:t>EU11 countries, output grow</w:t>
      </w:r>
      <w:r>
        <w:t xml:space="preserve">th will be </w:t>
      </w:r>
      <w:r w:rsidRPr="00040B75">
        <w:t xml:space="preserve">1 </w:t>
      </w:r>
      <w:r>
        <w:t xml:space="preserve">to </w:t>
      </w:r>
      <w:r w:rsidRPr="00040B75">
        <w:t>2 percentage points lower</w:t>
      </w:r>
      <w:r>
        <w:t xml:space="preserve"> in 2012 than in 2011</w:t>
      </w:r>
      <w:r w:rsidRPr="00040B75">
        <w:t>.</w:t>
      </w:r>
      <w:r>
        <w:t xml:space="preserve"> </w:t>
      </w:r>
      <w:r w:rsidRPr="00040B75">
        <w:t>Private consumption, investment</w:t>
      </w:r>
      <w:r>
        <w:t xml:space="preserve"> (supported by modest credit </w:t>
      </w:r>
      <w:r>
        <w:lastRenderedPageBreak/>
        <w:t>growth and retained corporate earnings),</w:t>
      </w:r>
      <w:r w:rsidRPr="00040B75">
        <w:t xml:space="preserve"> </w:t>
      </w:r>
      <w:r>
        <w:t xml:space="preserve">and </w:t>
      </w:r>
      <w:r w:rsidRPr="00040B75">
        <w:t xml:space="preserve">net exports are expected to drive </w:t>
      </w:r>
      <w:r>
        <w:t xml:space="preserve">EU11 </w:t>
      </w:r>
      <w:r w:rsidRPr="00040B75">
        <w:t xml:space="preserve">growth </w:t>
      </w:r>
      <w:r>
        <w:t>this year.</w:t>
      </w:r>
      <w:r w:rsidRPr="00040B75">
        <w:t xml:space="preserve"> </w:t>
      </w:r>
      <w:r>
        <w:t>D</w:t>
      </w:r>
      <w:r w:rsidRPr="00040B75">
        <w:t>eclines in public consumption</w:t>
      </w:r>
      <w:r>
        <w:t>,</w:t>
      </w:r>
      <w:r w:rsidRPr="00040B75">
        <w:t xml:space="preserve"> due to </w:t>
      </w:r>
      <w:r>
        <w:t xml:space="preserve">continuing </w:t>
      </w:r>
      <w:r w:rsidRPr="00040B75">
        <w:t>fiscal consolidation</w:t>
      </w:r>
      <w:r>
        <w:t>,</w:t>
      </w:r>
      <w:r w:rsidRPr="00040B75">
        <w:t xml:space="preserve"> and destocking will be a drag on economic </w:t>
      </w:r>
      <w:r>
        <w:t>performance</w:t>
      </w:r>
      <w:r w:rsidRPr="00040B75">
        <w:t>.</w:t>
      </w:r>
      <w:r>
        <w:t xml:space="preserve"> In 2013 growth is expected to strengthen to about 2.5 percent as domestic demand recovers. </w:t>
      </w:r>
    </w:p>
    <w:p w:rsidR="0060585A" w:rsidRPr="00F558A3" w:rsidRDefault="0060585A" w:rsidP="00E41045">
      <w:pPr>
        <w:spacing w:before="120" w:after="120" w:line="276" w:lineRule="auto"/>
        <w:rPr>
          <w:b/>
        </w:rPr>
      </w:pPr>
      <w:r>
        <w:rPr>
          <w:b/>
        </w:rPr>
        <w:t>With economic prospects shaky in the euro area,</w:t>
      </w:r>
      <w:r w:rsidRPr="00F558A3">
        <w:rPr>
          <w:b/>
        </w:rPr>
        <w:t xml:space="preserve"> </w:t>
      </w:r>
      <w:r>
        <w:rPr>
          <w:b/>
        </w:rPr>
        <w:t xml:space="preserve">EU11 trade flows are expected to slow in 2012 but then recover in 2013. </w:t>
      </w:r>
      <w:r w:rsidRPr="00F558A3">
        <w:t>Export growth will continue to decelerate in the second half of 2012</w:t>
      </w:r>
      <w:r>
        <w:t xml:space="preserve"> as demand from EU trading partners slackens</w:t>
      </w:r>
      <w:r w:rsidRPr="00F558A3">
        <w:t>.</w:t>
      </w:r>
      <w:r>
        <w:t xml:space="preserve"> A mild upsurge in </w:t>
      </w:r>
      <w:r w:rsidRPr="007D4A82">
        <w:t xml:space="preserve">import demand </w:t>
      </w:r>
      <w:r>
        <w:t xml:space="preserve">from </w:t>
      </w:r>
      <w:r w:rsidRPr="007D4A82">
        <w:t>outside the EU</w:t>
      </w:r>
      <w:r>
        <w:t xml:space="preserve"> will not be enough to offset the drop in EU11 exports to the euro area. The softening of domestic demand since January is likely to continue through December, slowing the pace of import growth. As private consumption and investment ramp up in 2013, imports can be expected to pick up. </w:t>
      </w:r>
    </w:p>
    <w:p w:rsidR="0060585A" w:rsidRDefault="0060585A" w:rsidP="00EF3659">
      <w:pPr>
        <w:spacing w:before="120" w:after="120" w:line="276" w:lineRule="auto"/>
        <w:rPr>
          <w:b/>
          <w:szCs w:val="20"/>
        </w:rPr>
      </w:pPr>
      <w:r>
        <w:rPr>
          <w:b/>
        </w:rPr>
        <w:t>Near-term p</w:t>
      </w:r>
      <w:r w:rsidRPr="006B44E9">
        <w:rPr>
          <w:b/>
        </w:rPr>
        <w:t xml:space="preserve">rospects </w:t>
      </w:r>
      <w:r>
        <w:rPr>
          <w:b/>
        </w:rPr>
        <w:t xml:space="preserve">for attracting foreign investment to the </w:t>
      </w:r>
      <w:r w:rsidRPr="006B44E9">
        <w:rPr>
          <w:b/>
        </w:rPr>
        <w:t xml:space="preserve">EU11 </w:t>
      </w:r>
      <w:r>
        <w:rPr>
          <w:b/>
        </w:rPr>
        <w:t>are generally positive</w:t>
      </w:r>
      <w:r w:rsidRPr="006B44E9">
        <w:rPr>
          <w:b/>
        </w:rPr>
        <w:t>.</w:t>
      </w:r>
      <w:r>
        <w:rPr>
          <w:b/>
        </w:rPr>
        <w:t xml:space="preserve"> </w:t>
      </w:r>
      <w:r w:rsidRPr="006B44E9">
        <w:t>FDI flows have be</w:t>
      </w:r>
      <w:r>
        <w:t>en</w:t>
      </w:r>
      <w:r w:rsidRPr="006B44E9">
        <w:t xml:space="preserve"> stable </w:t>
      </w:r>
      <w:r>
        <w:t>in EU11 countries, in response to their 2011 economic growth. If the euro area crisis gets no worse and they retain investors’ confidence, EU11 countries should continue to attract FDI at a pace close to the current one. G</w:t>
      </w:r>
      <w:r w:rsidRPr="00041D3F">
        <w:t>ross external debt</w:t>
      </w:r>
      <w:r>
        <w:t>-</w:t>
      </w:r>
      <w:r w:rsidRPr="00041D3F">
        <w:t>to</w:t>
      </w:r>
      <w:r>
        <w:t>-</w:t>
      </w:r>
      <w:r w:rsidRPr="00041D3F">
        <w:t>GDP ratio</w:t>
      </w:r>
      <w:r>
        <w:t>s</w:t>
      </w:r>
      <w:r w:rsidRPr="00041D3F">
        <w:t xml:space="preserve"> in the EU11 </w:t>
      </w:r>
      <w:r>
        <w:t>are</w:t>
      </w:r>
      <w:r w:rsidRPr="00041D3F">
        <w:t xml:space="preserve"> expected to </w:t>
      </w:r>
      <w:r>
        <w:t>hold steady if the e</w:t>
      </w:r>
      <w:r w:rsidRPr="00041D3F">
        <w:t>uro area</w:t>
      </w:r>
      <w:r>
        <w:t xml:space="preserve"> problems do not worsen</w:t>
      </w:r>
      <w:r w:rsidRPr="00041D3F">
        <w:t xml:space="preserve">. </w:t>
      </w:r>
    </w:p>
    <w:tbl>
      <w:tblPr>
        <w:tblpPr w:leftFromText="180" w:rightFromText="180" w:vertAnchor="text" w:horzAnchor="margin" w:tblpXSpec="right" w:tblpY="1238"/>
        <w:tblW w:w="5418" w:type="dxa"/>
        <w:tblLook w:val="00A0"/>
      </w:tblPr>
      <w:tblGrid>
        <w:gridCol w:w="5384"/>
        <w:gridCol w:w="34"/>
      </w:tblGrid>
      <w:tr w:rsidR="0060585A" w:rsidRPr="00321D31" w:rsidTr="00004575">
        <w:tc>
          <w:tcPr>
            <w:tcW w:w="5418" w:type="dxa"/>
            <w:gridSpan w:val="2"/>
          </w:tcPr>
          <w:p w:rsidR="0060585A" w:rsidRPr="00321D31" w:rsidRDefault="0060585A" w:rsidP="004D31F4">
            <w:pPr>
              <w:pStyle w:val="Caption"/>
              <w:keepNext/>
              <w:keepLines/>
              <w:spacing w:before="60" w:after="60" w:line="276" w:lineRule="auto"/>
              <w:jc w:val="left"/>
              <w:rPr>
                <w:sz w:val="22"/>
                <w:szCs w:val="22"/>
              </w:rPr>
            </w:pPr>
            <w:r w:rsidRPr="00321D31">
              <w:rPr>
                <w:sz w:val="22"/>
                <w:szCs w:val="22"/>
              </w:rPr>
              <w:t xml:space="preserve">Figure </w:t>
            </w:r>
            <w:r w:rsidR="00185C05" w:rsidRPr="00321D31">
              <w:rPr>
                <w:sz w:val="22"/>
                <w:szCs w:val="22"/>
              </w:rPr>
              <w:fldChar w:fldCharType="begin"/>
            </w:r>
            <w:r w:rsidRPr="00321D31">
              <w:rPr>
                <w:sz w:val="22"/>
                <w:szCs w:val="22"/>
              </w:rPr>
              <w:instrText xml:space="preserve"> SEQ Figure \* ARABIC </w:instrText>
            </w:r>
            <w:r w:rsidR="00185C05" w:rsidRPr="00321D31">
              <w:rPr>
                <w:sz w:val="22"/>
                <w:szCs w:val="22"/>
              </w:rPr>
              <w:fldChar w:fldCharType="separate"/>
            </w:r>
            <w:r w:rsidRPr="00321D31">
              <w:rPr>
                <w:noProof/>
                <w:sz w:val="22"/>
                <w:szCs w:val="22"/>
              </w:rPr>
              <w:t>51</w:t>
            </w:r>
            <w:r w:rsidR="00185C05" w:rsidRPr="00321D31">
              <w:rPr>
                <w:sz w:val="22"/>
                <w:szCs w:val="22"/>
              </w:rPr>
              <w:fldChar w:fldCharType="end"/>
            </w:r>
            <w:r w:rsidRPr="00321D31">
              <w:rPr>
                <w:sz w:val="22"/>
                <w:szCs w:val="22"/>
              </w:rPr>
              <w:t xml:space="preserve">. Projected Unemployment  Rates, EU11 </w:t>
            </w:r>
          </w:p>
        </w:tc>
      </w:tr>
      <w:tr w:rsidR="0060585A" w:rsidRPr="00321D31" w:rsidTr="00004575">
        <w:tc>
          <w:tcPr>
            <w:tcW w:w="5418" w:type="dxa"/>
            <w:gridSpan w:val="2"/>
          </w:tcPr>
          <w:p w:rsidR="0060585A" w:rsidRPr="00321D31" w:rsidRDefault="00A1042F" w:rsidP="00321D31">
            <w:pPr>
              <w:spacing w:line="276" w:lineRule="auto"/>
              <w:rPr>
                <w:b/>
              </w:rPr>
            </w:pPr>
            <w:r>
              <w:rPr>
                <w:b/>
                <w:noProof/>
              </w:rPr>
              <w:drawing>
                <wp:inline distT="0" distB="0" distL="0" distR="0">
                  <wp:extent cx="3181350" cy="194310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a:srcRect/>
                          <a:stretch>
                            <a:fillRect/>
                          </a:stretch>
                        </pic:blipFill>
                        <pic:spPr bwMode="auto">
                          <a:xfrm>
                            <a:off x="0" y="0"/>
                            <a:ext cx="3181350" cy="1943100"/>
                          </a:xfrm>
                          <a:prstGeom prst="rect">
                            <a:avLst/>
                          </a:prstGeom>
                          <a:noFill/>
                          <a:ln w="9525">
                            <a:noFill/>
                            <a:miter lim="800000"/>
                            <a:headEnd/>
                            <a:tailEnd/>
                          </a:ln>
                        </pic:spPr>
                      </pic:pic>
                    </a:graphicData>
                  </a:graphic>
                </wp:inline>
              </w:drawing>
            </w:r>
          </w:p>
        </w:tc>
      </w:tr>
      <w:tr w:rsidR="0060585A" w:rsidRPr="00321D31" w:rsidTr="00004575">
        <w:trPr>
          <w:gridAfter w:val="1"/>
          <w:wAfter w:w="34" w:type="dxa"/>
        </w:trPr>
        <w:tc>
          <w:tcPr>
            <w:tcW w:w="5384" w:type="dxa"/>
          </w:tcPr>
          <w:p w:rsidR="0060585A" w:rsidRPr="00321D31" w:rsidRDefault="0060585A" w:rsidP="00321D31">
            <w:pPr>
              <w:keepNext/>
              <w:spacing w:before="60" w:after="40" w:line="276" w:lineRule="auto"/>
              <w:rPr>
                <w:i/>
                <w:sz w:val="18"/>
                <w:szCs w:val="18"/>
              </w:rPr>
            </w:pPr>
            <w:r w:rsidRPr="00321D31">
              <w:rPr>
                <w:i/>
                <w:sz w:val="18"/>
                <w:szCs w:val="18"/>
              </w:rPr>
              <w:t xml:space="preserve">Source: </w:t>
            </w:r>
            <w:r w:rsidRPr="00321D31">
              <w:rPr>
                <w:sz w:val="18"/>
                <w:szCs w:val="18"/>
              </w:rPr>
              <w:t xml:space="preserve">European Commission, </w:t>
            </w:r>
            <w:r w:rsidRPr="00321D31">
              <w:rPr>
                <w:i/>
                <w:sz w:val="18"/>
                <w:szCs w:val="18"/>
              </w:rPr>
              <w:t>Spring Forecasts</w:t>
            </w:r>
            <w:r w:rsidRPr="00321D31">
              <w:rPr>
                <w:sz w:val="18"/>
                <w:szCs w:val="18"/>
              </w:rPr>
              <w:t>, May 2012, World Bank staff calculations.</w:t>
            </w:r>
          </w:p>
        </w:tc>
      </w:tr>
    </w:tbl>
    <w:p w:rsidR="0060585A" w:rsidRPr="00EE5C71" w:rsidRDefault="0060585A" w:rsidP="00E41045">
      <w:pPr>
        <w:spacing w:line="276" w:lineRule="auto"/>
        <w:rPr>
          <w:szCs w:val="20"/>
        </w:rPr>
      </w:pPr>
      <w:r>
        <w:rPr>
          <w:b/>
          <w:szCs w:val="20"/>
        </w:rPr>
        <w:t>The near-term</w:t>
      </w:r>
      <w:r w:rsidRPr="00EE5C71">
        <w:rPr>
          <w:b/>
          <w:szCs w:val="20"/>
        </w:rPr>
        <w:t xml:space="preserve"> labor market outlook </w:t>
      </w:r>
      <w:r>
        <w:rPr>
          <w:b/>
          <w:szCs w:val="20"/>
        </w:rPr>
        <w:t xml:space="preserve">in EU11 is still </w:t>
      </w:r>
      <w:r w:rsidRPr="00EE5C71">
        <w:rPr>
          <w:b/>
          <w:szCs w:val="20"/>
        </w:rPr>
        <w:t>unfavorable.</w:t>
      </w:r>
      <w:r w:rsidRPr="00EE5C71">
        <w:rPr>
          <w:szCs w:val="20"/>
        </w:rPr>
        <w:t xml:space="preserve"> With the expected slowdown in economic activity, the </w:t>
      </w:r>
      <w:r>
        <w:rPr>
          <w:szCs w:val="20"/>
        </w:rPr>
        <w:t xml:space="preserve">modest </w:t>
      </w:r>
      <w:r w:rsidRPr="00EE5C71">
        <w:rPr>
          <w:szCs w:val="20"/>
        </w:rPr>
        <w:t xml:space="preserve">employment growth </w:t>
      </w:r>
      <w:r>
        <w:rPr>
          <w:szCs w:val="20"/>
        </w:rPr>
        <w:t xml:space="preserve">of 2011 </w:t>
      </w:r>
      <w:r w:rsidRPr="00EE5C71">
        <w:rPr>
          <w:szCs w:val="20"/>
        </w:rPr>
        <w:t>m</w:t>
      </w:r>
      <w:r>
        <w:rPr>
          <w:szCs w:val="20"/>
        </w:rPr>
        <w:t>ay go into reverse. However, t</w:t>
      </w:r>
      <w:r w:rsidRPr="00EE5C71">
        <w:rPr>
          <w:szCs w:val="20"/>
        </w:rPr>
        <w:t xml:space="preserve">he unemployment rate is projected to </w:t>
      </w:r>
      <w:r>
        <w:rPr>
          <w:szCs w:val="20"/>
        </w:rPr>
        <w:t xml:space="preserve">be </w:t>
      </w:r>
      <w:r w:rsidRPr="00EE5C71">
        <w:rPr>
          <w:szCs w:val="20"/>
        </w:rPr>
        <w:t xml:space="preserve">essentially unchanged </w:t>
      </w:r>
      <w:r>
        <w:rPr>
          <w:szCs w:val="20"/>
        </w:rPr>
        <w:t xml:space="preserve">until 2013, when it should </w:t>
      </w:r>
      <w:r w:rsidRPr="00EE5C71">
        <w:rPr>
          <w:szCs w:val="20"/>
        </w:rPr>
        <w:t xml:space="preserve">start going down </w:t>
      </w:r>
      <w:r>
        <w:rPr>
          <w:szCs w:val="20"/>
        </w:rPr>
        <w:t xml:space="preserve">gradually as </w:t>
      </w:r>
      <w:r w:rsidRPr="00EE5C71">
        <w:rPr>
          <w:szCs w:val="20"/>
        </w:rPr>
        <w:t>economi</w:t>
      </w:r>
      <w:r>
        <w:rPr>
          <w:szCs w:val="20"/>
        </w:rPr>
        <w:t>es rebound</w:t>
      </w:r>
      <w:r w:rsidRPr="00EE5C71">
        <w:rPr>
          <w:szCs w:val="20"/>
        </w:rPr>
        <w:t>.</w:t>
      </w:r>
      <w:r>
        <w:rPr>
          <w:szCs w:val="20"/>
        </w:rPr>
        <w:t xml:space="preserve"> Real wages are likely to continue the recent trend of growing more slowly than productivity. </w:t>
      </w:r>
      <w:r w:rsidRPr="009E680D">
        <w:t xml:space="preserve">Going forward, </w:t>
      </w:r>
      <w:r>
        <w:t xml:space="preserve">the </w:t>
      </w:r>
      <w:r w:rsidRPr="009E680D">
        <w:t>faster growth in productivity (output) than in unit labor costs in most EU11 countries implies that</w:t>
      </w:r>
      <w:r>
        <w:t>,</w:t>
      </w:r>
      <w:r w:rsidRPr="009E680D">
        <w:t xml:space="preserve"> with output below potential, labor market improvements c</w:t>
      </w:r>
      <w:r>
        <w:t>an</w:t>
      </w:r>
      <w:r w:rsidRPr="009E680D">
        <w:t xml:space="preserve"> materialize only when </w:t>
      </w:r>
      <w:r>
        <w:t xml:space="preserve">demand, both </w:t>
      </w:r>
      <w:r w:rsidRPr="009E680D">
        <w:t>external and domestic</w:t>
      </w:r>
      <w:r>
        <w:t>,</w:t>
      </w:r>
      <w:r w:rsidRPr="009E680D">
        <w:t xml:space="preserve"> strengthen</w:t>
      </w:r>
      <w:r>
        <w:t>s</w:t>
      </w:r>
      <w:r w:rsidRPr="009E680D">
        <w:t>.</w:t>
      </w:r>
    </w:p>
    <w:p w:rsidR="009B2EAB" w:rsidRDefault="009B2EAB" w:rsidP="00E41045">
      <w:pPr>
        <w:spacing w:line="276" w:lineRule="auto"/>
        <w:rPr>
          <w:b/>
        </w:rPr>
      </w:pPr>
    </w:p>
    <w:p w:rsidR="0060585A" w:rsidRPr="00BC7B97" w:rsidRDefault="0060585A" w:rsidP="00E41045">
      <w:pPr>
        <w:spacing w:line="276" w:lineRule="auto"/>
        <w:rPr>
          <w:szCs w:val="20"/>
        </w:rPr>
      </w:pPr>
      <w:r w:rsidRPr="005C6840">
        <w:rPr>
          <w:b/>
        </w:rPr>
        <w:t xml:space="preserve">With economic activity </w:t>
      </w:r>
      <w:r>
        <w:rPr>
          <w:b/>
        </w:rPr>
        <w:t xml:space="preserve">weakening </w:t>
      </w:r>
      <w:r w:rsidRPr="005C6840">
        <w:rPr>
          <w:b/>
        </w:rPr>
        <w:t>in 2012, price pressures are likely to subside.</w:t>
      </w:r>
      <w:r w:rsidRPr="005C6840">
        <w:rPr>
          <w:szCs w:val="20"/>
        </w:rPr>
        <w:t xml:space="preserve"> Prices dynamics stabilized in early 2012 and near-term inflation is expected to decline somewhat </w:t>
      </w:r>
      <w:r>
        <w:rPr>
          <w:szCs w:val="20"/>
        </w:rPr>
        <w:t xml:space="preserve">because </w:t>
      </w:r>
      <w:r w:rsidRPr="005C6840">
        <w:rPr>
          <w:szCs w:val="20"/>
        </w:rPr>
        <w:t>of subdued economic activity</w:t>
      </w:r>
      <w:r>
        <w:rPr>
          <w:szCs w:val="20"/>
        </w:rPr>
        <w:t xml:space="preserve"> and soft wage pressures</w:t>
      </w:r>
      <w:r w:rsidRPr="005C6840">
        <w:rPr>
          <w:szCs w:val="20"/>
        </w:rPr>
        <w:t xml:space="preserve">. In the medium term, </w:t>
      </w:r>
      <w:r w:rsidRPr="00BC7B97">
        <w:rPr>
          <w:szCs w:val="20"/>
        </w:rPr>
        <w:t>given the expectations for modest economic growth</w:t>
      </w:r>
      <w:r>
        <w:rPr>
          <w:szCs w:val="20"/>
        </w:rPr>
        <w:t xml:space="preserve">, </w:t>
      </w:r>
      <w:r w:rsidRPr="005C6840">
        <w:rPr>
          <w:szCs w:val="20"/>
        </w:rPr>
        <w:t>price pressures in the EU11 sh</w:t>
      </w:r>
      <w:r w:rsidRPr="00BC7B97">
        <w:rPr>
          <w:szCs w:val="20"/>
        </w:rPr>
        <w:t xml:space="preserve">ould </w:t>
      </w:r>
      <w:r>
        <w:rPr>
          <w:szCs w:val="20"/>
        </w:rPr>
        <w:t>again be limited</w:t>
      </w:r>
      <w:r w:rsidRPr="00BC7B97">
        <w:rPr>
          <w:szCs w:val="20"/>
        </w:rPr>
        <w:t xml:space="preserve">. Upside risks to the </w:t>
      </w:r>
      <w:r>
        <w:rPr>
          <w:szCs w:val="20"/>
        </w:rPr>
        <w:t xml:space="preserve">inflation </w:t>
      </w:r>
      <w:r w:rsidRPr="00BC7B97">
        <w:rPr>
          <w:szCs w:val="20"/>
        </w:rPr>
        <w:t xml:space="preserve">outlook </w:t>
      </w:r>
      <w:r>
        <w:rPr>
          <w:szCs w:val="20"/>
        </w:rPr>
        <w:t>seem un</w:t>
      </w:r>
      <w:r w:rsidRPr="00BC7B97">
        <w:rPr>
          <w:szCs w:val="20"/>
        </w:rPr>
        <w:t xml:space="preserve">likely, </w:t>
      </w:r>
      <w:r>
        <w:rPr>
          <w:szCs w:val="20"/>
        </w:rPr>
        <w:t xml:space="preserve">although </w:t>
      </w:r>
      <w:r w:rsidRPr="00BC7B97">
        <w:rPr>
          <w:szCs w:val="20"/>
        </w:rPr>
        <w:t xml:space="preserve">they </w:t>
      </w:r>
      <w:r w:rsidRPr="00BC7B97">
        <w:rPr>
          <w:szCs w:val="20"/>
        </w:rPr>
        <w:lastRenderedPageBreak/>
        <w:t xml:space="preserve">could materialize </w:t>
      </w:r>
      <w:r>
        <w:rPr>
          <w:szCs w:val="20"/>
        </w:rPr>
        <w:t xml:space="preserve">along with </w:t>
      </w:r>
      <w:r w:rsidRPr="00BC7B97">
        <w:rPr>
          <w:szCs w:val="20"/>
        </w:rPr>
        <w:t>global commodity price</w:t>
      </w:r>
      <w:r>
        <w:rPr>
          <w:szCs w:val="20"/>
        </w:rPr>
        <w:t xml:space="preserve"> rises</w:t>
      </w:r>
      <w:r w:rsidRPr="00BC7B97">
        <w:rPr>
          <w:szCs w:val="20"/>
        </w:rPr>
        <w:t xml:space="preserve">, the pass-through of new increases in indirect taxes and administrative prices, and </w:t>
      </w:r>
      <w:r>
        <w:rPr>
          <w:szCs w:val="20"/>
        </w:rPr>
        <w:t>unexpectedly strong</w:t>
      </w:r>
      <w:r w:rsidRPr="00BC7B97">
        <w:rPr>
          <w:szCs w:val="20"/>
        </w:rPr>
        <w:t xml:space="preserve"> economic activity. </w:t>
      </w:r>
    </w:p>
    <w:p w:rsidR="0060585A" w:rsidRDefault="0060585A" w:rsidP="00E41045">
      <w:pPr>
        <w:spacing w:line="276" w:lineRule="auto"/>
        <w:rPr>
          <w:b/>
        </w:rPr>
      </w:pPr>
    </w:p>
    <w:p w:rsidR="0060585A" w:rsidRPr="00CC73C1" w:rsidRDefault="0060585A" w:rsidP="00E41045">
      <w:pPr>
        <w:spacing w:line="276" w:lineRule="auto"/>
      </w:pPr>
      <w:r w:rsidRPr="004A2D0D">
        <w:rPr>
          <w:b/>
        </w:rPr>
        <w:t xml:space="preserve">Monetary policy </w:t>
      </w:r>
      <w:r>
        <w:rPr>
          <w:b/>
        </w:rPr>
        <w:t xml:space="preserve">in EU11 countries should continue to be </w:t>
      </w:r>
      <w:r w:rsidRPr="004A2D0D">
        <w:rPr>
          <w:b/>
        </w:rPr>
        <w:t xml:space="preserve">accommodative </w:t>
      </w:r>
      <w:r>
        <w:rPr>
          <w:b/>
        </w:rPr>
        <w:t>well into 2013 in order to</w:t>
      </w:r>
      <w:r w:rsidRPr="002B178A">
        <w:rPr>
          <w:b/>
        </w:rPr>
        <w:t xml:space="preserve"> </w:t>
      </w:r>
      <w:r>
        <w:rPr>
          <w:b/>
        </w:rPr>
        <w:t xml:space="preserve">keep </w:t>
      </w:r>
      <w:r w:rsidRPr="002B178A">
        <w:rPr>
          <w:b/>
        </w:rPr>
        <w:t>debt service costs</w:t>
      </w:r>
      <w:r>
        <w:rPr>
          <w:b/>
        </w:rPr>
        <w:t xml:space="preserve"> low</w:t>
      </w:r>
      <w:r w:rsidRPr="002B178A">
        <w:rPr>
          <w:b/>
        </w:rPr>
        <w:t>, support asset</w:t>
      </w:r>
      <w:r>
        <w:rPr>
          <w:b/>
        </w:rPr>
        <w:t xml:space="preserve"> </w:t>
      </w:r>
      <w:r w:rsidRPr="002B178A">
        <w:rPr>
          <w:b/>
        </w:rPr>
        <w:t>prices,</w:t>
      </w:r>
      <w:r>
        <w:rPr>
          <w:b/>
        </w:rPr>
        <w:t xml:space="preserve"> encourage investment, and avert</w:t>
      </w:r>
      <w:r w:rsidRPr="002B178A">
        <w:rPr>
          <w:b/>
        </w:rPr>
        <w:t xml:space="preserve"> </w:t>
      </w:r>
      <w:r>
        <w:rPr>
          <w:b/>
        </w:rPr>
        <w:t xml:space="preserve">a </w:t>
      </w:r>
      <w:r w:rsidRPr="002B178A">
        <w:rPr>
          <w:b/>
        </w:rPr>
        <w:t>possible slide in</w:t>
      </w:r>
      <w:r>
        <w:rPr>
          <w:b/>
        </w:rPr>
        <w:t xml:space="preserve">to </w:t>
      </w:r>
      <w:r w:rsidRPr="002B178A">
        <w:rPr>
          <w:b/>
        </w:rPr>
        <w:t>deflation.</w:t>
      </w:r>
      <w:r>
        <w:rPr>
          <w:b/>
        </w:rPr>
        <w:t xml:space="preserve"> </w:t>
      </w:r>
      <w:r w:rsidRPr="00186E9C">
        <w:t>M</w:t>
      </w:r>
      <w:r w:rsidRPr="00CC73C1">
        <w:t xml:space="preserve">onetary policy </w:t>
      </w:r>
      <w:r>
        <w:t xml:space="preserve">should help to buffer EU11 against external shocks and </w:t>
      </w:r>
      <w:r w:rsidRPr="00CC73C1">
        <w:t xml:space="preserve">help the economy </w:t>
      </w:r>
      <w:r>
        <w:t>to cope with heightened e</w:t>
      </w:r>
      <w:r w:rsidRPr="00CC73C1">
        <w:t xml:space="preserve">uro area volatility. </w:t>
      </w:r>
      <w:r>
        <w:t>With economic activity slowing, interest rates are expected to be low. EU11 c</w:t>
      </w:r>
      <w:r w:rsidRPr="006B44E9">
        <w:t xml:space="preserve">ountries with flexible exchange rates have been able to </w:t>
      </w:r>
      <w:r>
        <w:t xml:space="preserve">partially </w:t>
      </w:r>
      <w:r w:rsidRPr="006B44E9">
        <w:t xml:space="preserve">absorb external shocks through </w:t>
      </w:r>
      <w:r>
        <w:t xml:space="preserve">nominal </w:t>
      </w:r>
      <w:r w:rsidRPr="006B44E9">
        <w:t xml:space="preserve">currency depreciations and </w:t>
      </w:r>
      <w:r>
        <w:t xml:space="preserve">in this respect are </w:t>
      </w:r>
      <w:r w:rsidRPr="006B44E9">
        <w:t>better placed than those with fixed rates</w:t>
      </w:r>
      <w:r>
        <w:t xml:space="preserve"> </w:t>
      </w:r>
      <w:r w:rsidRPr="006B44E9">
        <w:t xml:space="preserve">to do so </w:t>
      </w:r>
      <w:r>
        <w:t xml:space="preserve">again. </w:t>
      </w:r>
    </w:p>
    <w:p w:rsidR="0060585A" w:rsidRDefault="0060585A" w:rsidP="00E41045">
      <w:pPr>
        <w:spacing w:line="276" w:lineRule="auto"/>
        <w:rPr>
          <w:b/>
        </w:rPr>
      </w:pPr>
    </w:p>
    <w:p w:rsidR="0060585A" w:rsidRDefault="0060585A" w:rsidP="00E41045">
      <w:pPr>
        <w:spacing w:line="276" w:lineRule="auto"/>
      </w:pPr>
      <w:r w:rsidRPr="00186E9C">
        <w:rPr>
          <w:b/>
        </w:rPr>
        <w:t xml:space="preserve">With </w:t>
      </w:r>
      <w:r>
        <w:rPr>
          <w:b/>
        </w:rPr>
        <w:t>e</w:t>
      </w:r>
      <w:r w:rsidRPr="00186E9C">
        <w:rPr>
          <w:b/>
        </w:rPr>
        <w:t>uro area banks</w:t>
      </w:r>
      <w:r>
        <w:rPr>
          <w:b/>
        </w:rPr>
        <w:t xml:space="preserve"> deleveraging</w:t>
      </w:r>
      <w:r w:rsidRPr="00186E9C">
        <w:rPr>
          <w:b/>
        </w:rPr>
        <w:t xml:space="preserve">, </w:t>
      </w:r>
      <w:r>
        <w:rPr>
          <w:b/>
        </w:rPr>
        <w:t xml:space="preserve">it is likely that </w:t>
      </w:r>
      <w:r w:rsidRPr="00186E9C">
        <w:rPr>
          <w:b/>
        </w:rPr>
        <w:t>gross capital flows from EU15 to EU11 countries will decline and funding pressures increase</w:t>
      </w:r>
      <w:r>
        <w:t>. Bank-related capital inflows to EU11 from crisis-hit euro area economies, especially Greece and Spain, will undoubtedly dry up. As euro area banks deleverage, domestic deposits are likely to remain the dominant source of funding in EU11. Credit is expected to grow only modestly in 2012–2013 given the softening of demand for both household and corporate loans. Weakening economic activity may push up NPLs, but their proportion of total loans is not expected to change significantly, and in the near term EU11 commercial banks are expected to remain well capitalized.</w:t>
      </w:r>
    </w:p>
    <w:p w:rsidR="0060585A" w:rsidRDefault="0060585A" w:rsidP="00E41045">
      <w:pPr>
        <w:spacing w:line="276" w:lineRule="auto"/>
        <w:rPr>
          <w:b/>
        </w:rPr>
      </w:pPr>
    </w:p>
    <w:p w:rsidR="0060585A" w:rsidRDefault="0060585A" w:rsidP="00E41045">
      <w:pPr>
        <w:spacing w:line="276" w:lineRule="auto"/>
      </w:pPr>
      <w:r>
        <w:rPr>
          <w:b/>
        </w:rPr>
        <w:t xml:space="preserve">Sustaining </w:t>
      </w:r>
      <w:r w:rsidRPr="00D6450B">
        <w:rPr>
          <w:b/>
        </w:rPr>
        <w:t xml:space="preserve">financial stability and </w:t>
      </w:r>
      <w:r>
        <w:rPr>
          <w:b/>
        </w:rPr>
        <w:t xml:space="preserve">building </w:t>
      </w:r>
      <w:r w:rsidRPr="00D6450B">
        <w:rPr>
          <w:b/>
        </w:rPr>
        <w:t xml:space="preserve">confidence in EU11 financial markets </w:t>
      </w:r>
      <w:r>
        <w:rPr>
          <w:b/>
        </w:rPr>
        <w:t xml:space="preserve">are both necessary for boosting growth and </w:t>
      </w:r>
      <w:r w:rsidRPr="00D6450B">
        <w:rPr>
          <w:b/>
        </w:rPr>
        <w:t xml:space="preserve">will remain high on the </w:t>
      </w:r>
      <w:r>
        <w:rPr>
          <w:b/>
        </w:rPr>
        <w:t xml:space="preserve">EU11 </w:t>
      </w:r>
      <w:r w:rsidRPr="00D6450B">
        <w:rPr>
          <w:b/>
        </w:rPr>
        <w:t>policy agenda.</w:t>
      </w:r>
      <w:r>
        <w:t xml:space="preserve"> With all the external </w:t>
      </w:r>
      <w:r w:rsidRPr="00D6450B">
        <w:t xml:space="preserve">uncertainty, markets will continue </w:t>
      </w:r>
      <w:r>
        <w:t xml:space="preserve">to </w:t>
      </w:r>
      <w:r w:rsidRPr="00D6450B">
        <w:t xml:space="preserve">pressure banks to </w:t>
      </w:r>
      <w:r>
        <w:t xml:space="preserve">clean up </w:t>
      </w:r>
      <w:r w:rsidRPr="00D6450B">
        <w:t>their risk profiles.</w:t>
      </w:r>
      <w:r w:rsidRPr="009E680D">
        <w:t xml:space="preserve"> </w:t>
      </w:r>
      <w:r>
        <w:t>EU11 b</w:t>
      </w:r>
      <w:r w:rsidRPr="009E680D">
        <w:t xml:space="preserve">ank balance sheets will be </w:t>
      </w:r>
      <w:r>
        <w:t xml:space="preserve">closely </w:t>
      </w:r>
      <w:r w:rsidRPr="009E680D">
        <w:t xml:space="preserve">scrutinized </w:t>
      </w:r>
      <w:r>
        <w:t>as e</w:t>
      </w:r>
      <w:r w:rsidRPr="009E680D">
        <w:t>uro area banks</w:t>
      </w:r>
      <w:r>
        <w:t xml:space="preserve"> deleverage, but </w:t>
      </w:r>
      <w:r w:rsidRPr="009E680D">
        <w:t xml:space="preserve">policies </w:t>
      </w:r>
      <w:r>
        <w:t xml:space="preserve">should </w:t>
      </w:r>
      <w:r w:rsidRPr="009E680D">
        <w:t>ensur</w:t>
      </w:r>
      <w:r>
        <w:t>e</w:t>
      </w:r>
      <w:r w:rsidRPr="009E680D">
        <w:t xml:space="preserve"> that</w:t>
      </w:r>
      <w:r w:rsidRPr="004D5968">
        <w:t xml:space="preserve"> credit is available to viable borrowers. </w:t>
      </w:r>
    </w:p>
    <w:p w:rsidR="0060585A" w:rsidRPr="00EA680E" w:rsidRDefault="0060585A" w:rsidP="00E41045">
      <w:pPr>
        <w:spacing w:line="276" w:lineRule="auto"/>
      </w:pPr>
    </w:p>
    <w:p w:rsidR="0060585A" w:rsidRDefault="0060585A" w:rsidP="00E41045">
      <w:pPr>
        <w:spacing w:line="276" w:lineRule="auto"/>
      </w:pPr>
      <w:r w:rsidRPr="00EA680E">
        <w:rPr>
          <w:b/>
        </w:rPr>
        <w:t>Fiscal consolidation is still a high priority for EU11.</w:t>
      </w:r>
      <w:r w:rsidRPr="00EA680E">
        <w:t xml:space="preserve">  With heightened uncertainty and market pressures on the one hand, and the growth decelerating on the other, EU11 governments must decide quickly how much, how fast, and in what ways they </w:t>
      </w:r>
      <w:r>
        <w:t>want to</w:t>
      </w:r>
      <w:r w:rsidRPr="00EA680E">
        <w:t xml:space="preserve"> consolidate public finances</w:t>
      </w:r>
      <w:r>
        <w:t xml:space="preserve"> (</w:t>
      </w:r>
      <w:r w:rsidR="00185C05">
        <w:fldChar w:fldCharType="begin"/>
      </w:r>
      <w:r>
        <w:instrText xml:space="preserve"> REF _Ref327371060 \h </w:instrText>
      </w:r>
      <w:r w:rsidR="00185C05">
        <w:fldChar w:fldCharType="separate"/>
      </w:r>
      <w:r w:rsidRPr="00F5515A">
        <w:t xml:space="preserve">Figure </w:t>
      </w:r>
      <w:r>
        <w:rPr>
          <w:noProof/>
        </w:rPr>
        <w:t>52</w:t>
      </w:r>
      <w:r w:rsidR="00185C05">
        <w:fldChar w:fldCharType="end"/>
      </w:r>
      <w:r>
        <w:t xml:space="preserve">). </w:t>
      </w:r>
      <w:r w:rsidRPr="00EA680E">
        <w:t xml:space="preserve">While fiscal policy needs to be carefully calibrated to the circumstances of each country, certain common factors influence the pace, timing and design of fiscal consolidation strategy. Front-loaded fiscal adjustments are usually the first concern for countries with large correction needs </w:t>
      </w:r>
      <w:r>
        <w:t>and</w:t>
      </w:r>
      <w:r w:rsidRPr="00EA680E">
        <w:t xml:space="preserve"> under severe market pressures. Gradual fiscal consolidation is the first choice of countries with sustainable debt and little market pressure, </w:t>
      </w:r>
      <w:r>
        <w:t xml:space="preserve">but with the desire to </w:t>
      </w:r>
      <w:r w:rsidRPr="00EA680E">
        <w:t xml:space="preserve">improve the sustainability of public finances in the medium term to create fiscal buffers against future shocks. Finally, back-loaded fiscal </w:t>
      </w:r>
      <w:r w:rsidRPr="00EA680E">
        <w:lastRenderedPageBreak/>
        <w:t>consolidation is appropriate for countries that enjoy favorable market conditions and can support growth by delaying fiscal efforts</w:t>
      </w:r>
      <w:r>
        <w:t>.</w:t>
      </w:r>
    </w:p>
    <w:p w:rsidR="0060585A" w:rsidRDefault="0060585A" w:rsidP="00E41045">
      <w:pPr>
        <w:spacing w:line="276" w:lineRule="auto"/>
      </w:pPr>
    </w:p>
    <w:p w:rsidR="0060585A" w:rsidRPr="002547FA" w:rsidRDefault="0060585A" w:rsidP="00B8298B">
      <w:pPr>
        <w:spacing w:line="276" w:lineRule="auto"/>
        <w:rPr>
          <w:b/>
        </w:rPr>
      </w:pPr>
      <w:r w:rsidRPr="00680047">
        <w:rPr>
          <w:b/>
        </w:rPr>
        <w:t>EU11</w:t>
      </w:r>
      <w:r>
        <w:rPr>
          <w:b/>
        </w:rPr>
        <w:t xml:space="preserve"> governments are planning to pursue gradual fiscal consolidation</w:t>
      </w:r>
      <w:r w:rsidRPr="00680047">
        <w:rPr>
          <w:b/>
        </w:rPr>
        <w:t xml:space="preserve"> in the near-term.</w:t>
      </w:r>
      <w:r>
        <w:rPr>
          <w:b/>
        </w:rPr>
        <w:t xml:space="preserve"> </w:t>
      </w:r>
      <w:r>
        <w:t>A</w:t>
      </w:r>
      <w:r w:rsidRPr="00EE5C71">
        <w:t xml:space="preserve">ccording to </w:t>
      </w:r>
      <w:r>
        <w:t xml:space="preserve">both </w:t>
      </w:r>
      <w:r w:rsidRPr="00EE5C71">
        <w:t xml:space="preserve">the </w:t>
      </w:r>
      <w:r>
        <w:t>EC</w:t>
      </w:r>
      <w:r w:rsidRPr="00EE5C71">
        <w:t xml:space="preserve"> Spring Forecast </w:t>
      </w:r>
      <w:r>
        <w:t xml:space="preserve">and </w:t>
      </w:r>
      <w:r w:rsidRPr="00EE5C71">
        <w:t xml:space="preserve">government plans </w:t>
      </w:r>
      <w:r>
        <w:t xml:space="preserve">as </w:t>
      </w:r>
      <w:r w:rsidRPr="00EE5C71">
        <w:t xml:space="preserve">reflected in the updates of </w:t>
      </w:r>
      <w:r>
        <w:t xml:space="preserve">the </w:t>
      </w:r>
      <w:r w:rsidRPr="00EE5C71">
        <w:t>Convergence</w:t>
      </w:r>
      <w:r>
        <w:t xml:space="preserve"> and </w:t>
      </w:r>
      <w:r w:rsidRPr="00EE5C71">
        <w:t xml:space="preserve">Stability Programs, the aggregate EU11 deficit is expected to </w:t>
      </w:r>
      <w:r>
        <w:t xml:space="preserve">narrow </w:t>
      </w:r>
      <w:r w:rsidRPr="00EE5C71">
        <w:t>in 2012 and 2013.</w:t>
      </w:r>
      <w:r>
        <w:t xml:space="preserve"> From </w:t>
      </w:r>
      <w:r w:rsidRPr="00EE5C71">
        <w:t xml:space="preserve">the government plans </w:t>
      </w:r>
      <w:r>
        <w:t xml:space="preserve">it appears that </w:t>
      </w:r>
      <w:r w:rsidRPr="00EE5C71">
        <w:t xml:space="preserve">the deficit will fall by </w:t>
      </w:r>
      <w:r>
        <w:t xml:space="preserve">about </w:t>
      </w:r>
      <w:r w:rsidRPr="00EE5C71">
        <w:t>1.4 percent of GDP by 2013, slightly more than the EC</w:t>
      </w:r>
      <w:r>
        <w:t xml:space="preserve"> expects (</w:t>
      </w:r>
      <w:fldSimple w:instr=" REF _Ref327263956 \h  \* MERGEFORMAT ">
        <w:r w:rsidRPr="00EE5C71">
          <w:t xml:space="preserve">Figure </w:t>
        </w:r>
        <w:r>
          <w:rPr>
            <w:noProof/>
          </w:rPr>
          <w:t>53</w:t>
        </w:r>
      </w:fldSimple>
      <w:r>
        <w:t>)</w:t>
      </w:r>
      <w:r w:rsidRPr="00EE5C71">
        <w:t>.</w:t>
      </w:r>
      <w:r>
        <w:t xml:space="preserve"> </w:t>
      </w:r>
    </w:p>
    <w:p w:rsidR="0060585A" w:rsidRDefault="0060585A" w:rsidP="00E41045">
      <w:pPr>
        <w:spacing w:line="276" w:lineRule="auto"/>
      </w:pPr>
    </w:p>
    <w:tbl>
      <w:tblPr>
        <w:tblW w:w="9576" w:type="dxa"/>
        <w:jc w:val="center"/>
        <w:tblLook w:val="00A0"/>
      </w:tblPr>
      <w:tblGrid>
        <w:gridCol w:w="9576"/>
      </w:tblGrid>
      <w:tr w:rsidR="0060585A" w:rsidRPr="00321D31" w:rsidTr="00321D31">
        <w:trPr>
          <w:jc w:val="center"/>
        </w:trPr>
        <w:tc>
          <w:tcPr>
            <w:tcW w:w="9576" w:type="dxa"/>
            <w:tcBorders>
              <w:bottom w:val="single" w:sz="4" w:space="0" w:color="808080"/>
            </w:tcBorders>
          </w:tcPr>
          <w:p w:rsidR="0060585A" w:rsidRPr="00321D31" w:rsidRDefault="0060585A" w:rsidP="004D31F4">
            <w:pPr>
              <w:pStyle w:val="Caption"/>
              <w:keepNext/>
              <w:keepLines/>
              <w:spacing w:before="60" w:after="60"/>
              <w:jc w:val="left"/>
              <w:rPr>
                <w:sz w:val="24"/>
                <w:szCs w:val="24"/>
              </w:rPr>
            </w:pPr>
            <w:bookmarkStart w:id="53" w:name="_Ref327371060"/>
            <w:bookmarkStart w:id="54" w:name="_Ref327371039"/>
            <w:r w:rsidRPr="00321D31">
              <w:rPr>
                <w:sz w:val="24"/>
                <w:szCs w:val="24"/>
              </w:rPr>
              <w:t xml:space="preserve">Figure </w:t>
            </w:r>
            <w:r w:rsidR="00185C05" w:rsidRPr="00321D31">
              <w:rPr>
                <w:sz w:val="24"/>
                <w:szCs w:val="24"/>
              </w:rPr>
              <w:fldChar w:fldCharType="begin"/>
            </w:r>
            <w:r w:rsidRPr="00321D31">
              <w:rPr>
                <w:sz w:val="24"/>
                <w:szCs w:val="24"/>
              </w:rPr>
              <w:instrText xml:space="preserve"> SEQ Figure \* ARABIC </w:instrText>
            </w:r>
            <w:r w:rsidR="00185C05" w:rsidRPr="00321D31">
              <w:rPr>
                <w:sz w:val="24"/>
                <w:szCs w:val="24"/>
              </w:rPr>
              <w:fldChar w:fldCharType="separate"/>
            </w:r>
            <w:r w:rsidRPr="00321D31">
              <w:rPr>
                <w:noProof/>
                <w:sz w:val="24"/>
                <w:szCs w:val="24"/>
              </w:rPr>
              <w:t>52</w:t>
            </w:r>
            <w:r w:rsidR="00185C05" w:rsidRPr="00321D31">
              <w:rPr>
                <w:sz w:val="24"/>
                <w:szCs w:val="24"/>
              </w:rPr>
              <w:fldChar w:fldCharType="end"/>
            </w:r>
            <w:bookmarkEnd w:id="53"/>
            <w:r w:rsidRPr="00321D31">
              <w:rPr>
                <w:sz w:val="24"/>
                <w:szCs w:val="24"/>
              </w:rPr>
              <w:t>. Average CDS spreads and debt levels</w:t>
            </w:r>
            <w:bookmarkEnd w:id="54"/>
          </w:p>
        </w:tc>
      </w:tr>
      <w:tr w:rsidR="0060585A" w:rsidRPr="00321D31" w:rsidTr="00321D31">
        <w:trPr>
          <w:jc w:val="center"/>
        </w:trPr>
        <w:tc>
          <w:tcPr>
            <w:tcW w:w="9576" w:type="dxa"/>
            <w:tcBorders>
              <w:top w:val="single" w:sz="4" w:space="0" w:color="808080"/>
              <w:left w:val="single" w:sz="4" w:space="0" w:color="808080"/>
              <w:right w:val="single" w:sz="4" w:space="0" w:color="808080"/>
            </w:tcBorders>
          </w:tcPr>
          <w:p w:rsidR="0060585A" w:rsidRPr="00321D31" w:rsidRDefault="00A1042F" w:rsidP="00321D31">
            <w:pPr>
              <w:keepNext/>
              <w:keepLines/>
              <w:autoSpaceDE w:val="0"/>
              <w:autoSpaceDN w:val="0"/>
              <w:adjustRightInd w:val="0"/>
              <w:rPr>
                <w:b/>
              </w:rPr>
            </w:pPr>
            <w:r>
              <w:rPr>
                <w:b/>
                <w:noProof/>
              </w:rPr>
              <w:drawing>
                <wp:inline distT="0" distB="0" distL="0" distR="0">
                  <wp:extent cx="5905500" cy="60960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a:srcRect/>
                          <a:stretch>
                            <a:fillRect/>
                          </a:stretch>
                        </pic:blipFill>
                        <pic:spPr bwMode="auto">
                          <a:xfrm>
                            <a:off x="0" y="0"/>
                            <a:ext cx="5905500" cy="609600"/>
                          </a:xfrm>
                          <a:prstGeom prst="rect">
                            <a:avLst/>
                          </a:prstGeom>
                          <a:noFill/>
                          <a:ln w="9525">
                            <a:noFill/>
                            <a:miter lim="800000"/>
                            <a:headEnd/>
                            <a:tailEnd/>
                          </a:ln>
                        </pic:spPr>
                      </pic:pic>
                    </a:graphicData>
                  </a:graphic>
                </wp:inline>
              </w:drawing>
            </w:r>
          </w:p>
        </w:tc>
      </w:tr>
      <w:tr w:rsidR="0060585A" w:rsidRPr="00321D31" w:rsidTr="00321D31">
        <w:trPr>
          <w:jc w:val="center"/>
        </w:trPr>
        <w:tc>
          <w:tcPr>
            <w:tcW w:w="9576" w:type="dxa"/>
            <w:tcBorders>
              <w:left w:val="single" w:sz="4" w:space="0" w:color="808080"/>
              <w:bottom w:val="single" w:sz="4" w:space="0" w:color="808080"/>
              <w:right w:val="single" w:sz="4" w:space="0" w:color="808080"/>
            </w:tcBorders>
          </w:tcPr>
          <w:p w:rsidR="0060585A" w:rsidRPr="00321D31" w:rsidRDefault="00A1042F" w:rsidP="00321D31">
            <w:pPr>
              <w:keepNext/>
              <w:keepLines/>
              <w:autoSpaceDE w:val="0"/>
              <w:autoSpaceDN w:val="0"/>
              <w:adjustRightInd w:val="0"/>
              <w:rPr>
                <w:b/>
              </w:rPr>
            </w:pPr>
            <w:r>
              <w:rPr>
                <w:b/>
                <w:noProof/>
              </w:rPr>
              <w:drawing>
                <wp:inline distT="0" distB="0" distL="0" distR="0">
                  <wp:extent cx="1828800" cy="186690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a:srcRect/>
                          <a:stretch>
                            <a:fillRect/>
                          </a:stretch>
                        </pic:blipFill>
                        <pic:spPr bwMode="auto">
                          <a:xfrm>
                            <a:off x="0" y="0"/>
                            <a:ext cx="1828800" cy="1866900"/>
                          </a:xfrm>
                          <a:prstGeom prst="rect">
                            <a:avLst/>
                          </a:prstGeom>
                          <a:noFill/>
                          <a:ln w="9525">
                            <a:noFill/>
                            <a:miter lim="800000"/>
                            <a:headEnd/>
                            <a:tailEnd/>
                          </a:ln>
                        </pic:spPr>
                      </pic:pic>
                    </a:graphicData>
                  </a:graphic>
                </wp:inline>
              </w:drawing>
            </w:r>
            <w:r>
              <w:rPr>
                <w:b/>
                <w:noProof/>
              </w:rPr>
              <w:drawing>
                <wp:inline distT="0" distB="0" distL="0" distR="0">
                  <wp:extent cx="1809750" cy="190500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a:srcRect/>
                          <a:stretch>
                            <a:fillRect/>
                          </a:stretch>
                        </pic:blipFill>
                        <pic:spPr bwMode="auto">
                          <a:xfrm>
                            <a:off x="0" y="0"/>
                            <a:ext cx="1809750" cy="1905000"/>
                          </a:xfrm>
                          <a:prstGeom prst="rect">
                            <a:avLst/>
                          </a:prstGeom>
                          <a:noFill/>
                          <a:ln w="9525">
                            <a:noFill/>
                            <a:miter lim="800000"/>
                            <a:headEnd/>
                            <a:tailEnd/>
                          </a:ln>
                        </pic:spPr>
                      </pic:pic>
                    </a:graphicData>
                  </a:graphic>
                </wp:inline>
              </w:drawing>
            </w:r>
            <w:r>
              <w:rPr>
                <w:b/>
                <w:noProof/>
              </w:rPr>
              <w:drawing>
                <wp:inline distT="0" distB="0" distL="0" distR="0">
                  <wp:extent cx="1905000" cy="184785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tc>
      </w:tr>
      <w:tr w:rsidR="0060585A" w:rsidRPr="00321D31" w:rsidTr="00321D31">
        <w:trPr>
          <w:jc w:val="center"/>
        </w:trPr>
        <w:tc>
          <w:tcPr>
            <w:tcW w:w="9576" w:type="dxa"/>
            <w:tcBorders>
              <w:top w:val="single" w:sz="4" w:space="0" w:color="808080"/>
            </w:tcBorders>
          </w:tcPr>
          <w:p w:rsidR="0060585A" w:rsidRPr="00321D31" w:rsidRDefault="0060585A" w:rsidP="00321D31">
            <w:pPr>
              <w:keepNext/>
              <w:keepLines/>
              <w:spacing w:before="60" w:after="40"/>
              <w:rPr>
                <w:i/>
                <w:sz w:val="18"/>
                <w:szCs w:val="18"/>
              </w:rPr>
            </w:pPr>
            <w:r w:rsidRPr="00321D31">
              <w:rPr>
                <w:i/>
                <w:sz w:val="18"/>
                <w:szCs w:val="18"/>
              </w:rPr>
              <w:t>Source: Bloomberg, Ameco, World Bank staff calculations</w:t>
            </w:r>
          </w:p>
        </w:tc>
      </w:tr>
    </w:tbl>
    <w:p w:rsidR="0060585A" w:rsidRDefault="0060585A" w:rsidP="00E41045">
      <w:pPr>
        <w:spacing w:line="276" w:lineRule="auto"/>
        <w:rPr>
          <w:b/>
        </w:rPr>
      </w:pPr>
    </w:p>
    <w:p w:rsidR="0060585A" w:rsidRDefault="0060585A" w:rsidP="00E41045">
      <w:pPr>
        <w:spacing w:line="276" w:lineRule="auto"/>
      </w:pPr>
      <w:r w:rsidRPr="00DC4ADF">
        <w:rPr>
          <w:b/>
        </w:rPr>
        <w:t xml:space="preserve">Despite </w:t>
      </w:r>
      <w:r>
        <w:rPr>
          <w:b/>
        </w:rPr>
        <w:t xml:space="preserve">a </w:t>
      </w:r>
      <w:r w:rsidRPr="00DC4ADF">
        <w:rPr>
          <w:b/>
        </w:rPr>
        <w:t xml:space="preserve">weakening economic outlook, EU11 countries remain committed to </w:t>
      </w:r>
      <w:r>
        <w:rPr>
          <w:b/>
        </w:rPr>
        <w:t xml:space="preserve">reducing </w:t>
      </w:r>
      <w:r w:rsidRPr="00DC4ADF">
        <w:rPr>
          <w:b/>
        </w:rPr>
        <w:t>their deficit</w:t>
      </w:r>
      <w:r>
        <w:rPr>
          <w:b/>
        </w:rPr>
        <w:t>s</w:t>
      </w:r>
      <w:r w:rsidRPr="00DC4ADF">
        <w:rPr>
          <w:b/>
        </w:rPr>
        <w:t xml:space="preserve"> </w:t>
      </w:r>
      <w:r>
        <w:rPr>
          <w:b/>
        </w:rPr>
        <w:t xml:space="preserve">in order to </w:t>
      </w:r>
      <w:r w:rsidRPr="00DC4ADF">
        <w:rPr>
          <w:b/>
        </w:rPr>
        <w:t>shor</w:t>
      </w:r>
      <w:r>
        <w:rPr>
          <w:b/>
        </w:rPr>
        <w:t>e</w:t>
      </w:r>
      <w:r w:rsidRPr="00DC4ADF">
        <w:rPr>
          <w:b/>
        </w:rPr>
        <w:t xml:space="preserve"> up fiscal sustainability and rebuild fiscal policy buffers over the medium term.</w:t>
      </w:r>
      <w:r>
        <w:t xml:space="preserve"> </w:t>
      </w:r>
      <w:r w:rsidRPr="002547FA">
        <w:t xml:space="preserve">The scale of the projected fiscal adjustment varies </w:t>
      </w:r>
      <w:r>
        <w:t xml:space="preserve">by </w:t>
      </w:r>
      <w:r w:rsidRPr="002547FA">
        <w:t>countr</w:t>
      </w:r>
      <w:r>
        <w:t>y</w:t>
      </w:r>
      <w:r w:rsidRPr="002547FA">
        <w:t>.</w:t>
      </w:r>
      <w:r>
        <w:t xml:space="preserve"> </w:t>
      </w:r>
      <w:r w:rsidRPr="00EE5C71">
        <w:t>While fiscal balances in 201</w:t>
      </w:r>
      <w:r>
        <w:t>2–</w:t>
      </w:r>
      <w:r w:rsidRPr="00EE5C71">
        <w:t>13 are expected to improve in all EU11 countries but Estonia and Hungary, the degree of fiscal adjustment differs considerably.</w:t>
      </w:r>
      <w:r>
        <w:t xml:space="preserve"> </w:t>
      </w:r>
      <w:r w:rsidRPr="00EE5C71">
        <w:t xml:space="preserve">This </w:t>
      </w:r>
      <w:r>
        <w:t xml:space="preserve">is </w:t>
      </w:r>
      <w:r w:rsidRPr="00EE5C71">
        <w:t xml:space="preserve">mainly </w:t>
      </w:r>
      <w:r>
        <w:t xml:space="preserve">because of </w:t>
      </w:r>
      <w:r w:rsidRPr="00EE5C71">
        <w:t>differences in initial fiscal positions</w:t>
      </w:r>
      <w:r>
        <w:t>. C</w:t>
      </w:r>
      <w:r w:rsidRPr="00EE5C71">
        <w:t xml:space="preserve">ountries </w:t>
      </w:r>
      <w:r>
        <w:t xml:space="preserve">like Slovenia, Romania, and Lithuania that have </w:t>
      </w:r>
      <w:r w:rsidRPr="00EE5C71">
        <w:t xml:space="preserve">large fiscal imbalances are embarking on </w:t>
      </w:r>
      <w:r>
        <w:t xml:space="preserve">major </w:t>
      </w:r>
      <w:r w:rsidRPr="00EE5C71">
        <w:t>fiscal consol</w:t>
      </w:r>
      <w:r>
        <w:t>idation efforts of 3.5–</w:t>
      </w:r>
      <w:r w:rsidRPr="00EE5C71">
        <w:t>4 percent of GDP over the next two years</w:t>
      </w:r>
      <w:r>
        <w:t xml:space="preserve">, and </w:t>
      </w:r>
      <w:r w:rsidRPr="00EE5C71">
        <w:t>Poland’s goal is to reduce the fiscal deficit from 5.1 percent in 2011</w:t>
      </w:r>
      <w:r>
        <w:t xml:space="preserve"> </w:t>
      </w:r>
      <w:r w:rsidRPr="00EE5C71">
        <w:t xml:space="preserve">to 2.2 percent in 2013. </w:t>
      </w:r>
      <w:r>
        <w:t>The f</w:t>
      </w:r>
      <w:r w:rsidRPr="00EE5C71">
        <w:t xml:space="preserve">iscal positions of the Czech Republic and Slovakia are </w:t>
      </w:r>
      <w:r>
        <w:t xml:space="preserve">likely </w:t>
      </w:r>
      <w:r w:rsidRPr="00EE5C71">
        <w:t>to improve only marginally.</w:t>
      </w:r>
      <w:r>
        <w:t xml:space="preserve"> Estonia’s fiscal balance is expected to turn negative in 2012 </w:t>
      </w:r>
      <w:r w:rsidRPr="00826E10">
        <w:t xml:space="preserve">due to </w:t>
      </w:r>
      <w:r>
        <w:t xml:space="preserve">the disappearance </w:t>
      </w:r>
      <w:r w:rsidRPr="00826E10">
        <w:t>of</w:t>
      </w:r>
      <w:r>
        <w:t xml:space="preserve"> </w:t>
      </w:r>
      <w:r w:rsidRPr="00826E10">
        <w:t>windfall revenues</w:t>
      </w:r>
      <w:r>
        <w:t xml:space="preserve"> (and subsequent expenditures)</w:t>
      </w:r>
      <w:r w:rsidRPr="00826E10">
        <w:t xml:space="preserve"> linked to the Kyoto trading</w:t>
      </w:r>
      <w:r>
        <w:t xml:space="preserve"> </w:t>
      </w:r>
      <w:r w:rsidRPr="00826E10">
        <w:t>system, social indexation of pensions</w:t>
      </w:r>
      <w:r>
        <w:t>,</w:t>
      </w:r>
      <w:r w:rsidRPr="00826E10">
        <w:t xml:space="preserve"> and restoration of payments for the second pillar of</w:t>
      </w:r>
      <w:r>
        <w:t xml:space="preserve"> </w:t>
      </w:r>
      <w:r w:rsidRPr="00826E10">
        <w:t>the pension system.</w:t>
      </w:r>
      <w:r>
        <w:t xml:space="preserve"> </w:t>
      </w:r>
      <w:r w:rsidRPr="00EE5C71">
        <w:t xml:space="preserve">While the EU11 countries have specified numerical fiscal targets, they still </w:t>
      </w:r>
      <w:r>
        <w:t xml:space="preserve">need to specify the measures they will use achieve </w:t>
      </w:r>
      <w:r w:rsidRPr="00EE5C71">
        <w:t xml:space="preserve">the envisioned adjustments. In designing the composition </w:t>
      </w:r>
      <w:r w:rsidRPr="00EE5C71">
        <w:lastRenderedPageBreak/>
        <w:t>of fiscal consolidation, governments should take into account the fr</w:t>
      </w:r>
      <w:r>
        <w:t>a</w:t>
      </w:r>
      <w:r w:rsidRPr="00EE5C71">
        <w:t>gility of the economic outlook and try to limit the negative impact</w:t>
      </w:r>
      <w:r>
        <w:t xml:space="preserve"> of fiscal consolidation</w:t>
      </w:r>
      <w:r w:rsidRPr="00EE5C71">
        <w:t xml:space="preserve"> on growth</w:t>
      </w:r>
      <w:r>
        <w:t xml:space="preserve"> (</w:t>
      </w:r>
      <w:fldSimple w:instr=" REF _Ref327263993 \h  \* MERGEFORMAT ">
        <w:r w:rsidRPr="00EE5C71">
          <w:t xml:space="preserve">Figure </w:t>
        </w:r>
        <w:r>
          <w:rPr>
            <w:noProof/>
          </w:rPr>
          <w:t>54</w:t>
        </w:r>
      </w:fldSimple>
      <w:r>
        <w:t>)</w:t>
      </w:r>
      <w:r w:rsidRPr="00EE5C71">
        <w:t>.</w:t>
      </w:r>
    </w:p>
    <w:p w:rsidR="0060585A" w:rsidRDefault="0060585A" w:rsidP="00E41045">
      <w:pPr>
        <w:spacing w:line="276" w:lineRule="auto"/>
      </w:pPr>
    </w:p>
    <w:tbl>
      <w:tblPr>
        <w:tblW w:w="9563" w:type="dxa"/>
        <w:jc w:val="center"/>
        <w:tblInd w:w="406" w:type="dxa"/>
        <w:tblLook w:val="00A0"/>
      </w:tblPr>
      <w:tblGrid>
        <w:gridCol w:w="4716"/>
        <w:gridCol w:w="4847"/>
      </w:tblGrid>
      <w:tr w:rsidR="0060585A" w:rsidRPr="00321D31" w:rsidTr="00004575">
        <w:trPr>
          <w:jc w:val="center"/>
        </w:trPr>
        <w:tc>
          <w:tcPr>
            <w:tcW w:w="4714" w:type="dxa"/>
          </w:tcPr>
          <w:p w:rsidR="0060585A" w:rsidRPr="00321D31" w:rsidRDefault="0060585A" w:rsidP="004D31F4">
            <w:pPr>
              <w:pStyle w:val="Caption"/>
              <w:keepNext/>
              <w:spacing w:before="60" w:after="60" w:line="276" w:lineRule="auto"/>
              <w:jc w:val="left"/>
              <w:rPr>
                <w:sz w:val="24"/>
                <w:szCs w:val="24"/>
              </w:rPr>
            </w:pPr>
            <w:bookmarkStart w:id="55" w:name="_Ref327263956"/>
            <w:r w:rsidRPr="00321D31">
              <w:rPr>
                <w:sz w:val="24"/>
                <w:szCs w:val="24"/>
              </w:rPr>
              <w:t xml:space="preserve">Figure </w:t>
            </w:r>
            <w:r w:rsidR="00185C05" w:rsidRPr="00321D31">
              <w:rPr>
                <w:sz w:val="24"/>
                <w:szCs w:val="24"/>
              </w:rPr>
              <w:fldChar w:fldCharType="begin"/>
            </w:r>
            <w:r w:rsidRPr="00321D31">
              <w:rPr>
                <w:sz w:val="24"/>
                <w:szCs w:val="24"/>
              </w:rPr>
              <w:instrText xml:space="preserve"> SEQ Figure \* ARABIC </w:instrText>
            </w:r>
            <w:r w:rsidR="00185C05" w:rsidRPr="00321D31">
              <w:rPr>
                <w:sz w:val="24"/>
                <w:szCs w:val="24"/>
              </w:rPr>
              <w:fldChar w:fldCharType="separate"/>
            </w:r>
            <w:r w:rsidRPr="00321D31">
              <w:rPr>
                <w:noProof/>
                <w:sz w:val="24"/>
                <w:szCs w:val="24"/>
              </w:rPr>
              <w:t>53</w:t>
            </w:r>
            <w:r w:rsidR="00185C05" w:rsidRPr="00321D31">
              <w:rPr>
                <w:sz w:val="24"/>
                <w:szCs w:val="24"/>
              </w:rPr>
              <w:fldChar w:fldCharType="end"/>
            </w:r>
            <w:bookmarkEnd w:id="55"/>
            <w:r w:rsidRPr="00321D31">
              <w:rPr>
                <w:sz w:val="24"/>
                <w:szCs w:val="24"/>
              </w:rPr>
              <w:t>. General Government Deficits, EU11 and EU15, 2011–13</w:t>
            </w:r>
          </w:p>
        </w:tc>
        <w:tc>
          <w:tcPr>
            <w:tcW w:w="4849" w:type="dxa"/>
          </w:tcPr>
          <w:p w:rsidR="0060585A" w:rsidRPr="00321D31" w:rsidRDefault="0060585A" w:rsidP="004D31F4">
            <w:pPr>
              <w:pStyle w:val="Caption"/>
              <w:keepNext/>
              <w:spacing w:before="60" w:after="60" w:line="276" w:lineRule="auto"/>
              <w:jc w:val="left"/>
              <w:rPr>
                <w:sz w:val="24"/>
                <w:szCs w:val="24"/>
              </w:rPr>
            </w:pPr>
            <w:bookmarkStart w:id="56" w:name="_Ref327263993"/>
            <w:r w:rsidRPr="00321D31">
              <w:rPr>
                <w:sz w:val="24"/>
                <w:szCs w:val="24"/>
              </w:rPr>
              <w:t xml:space="preserve">Figure </w:t>
            </w:r>
            <w:r w:rsidR="00185C05" w:rsidRPr="00321D31">
              <w:rPr>
                <w:sz w:val="24"/>
                <w:szCs w:val="24"/>
              </w:rPr>
              <w:fldChar w:fldCharType="begin"/>
            </w:r>
            <w:r w:rsidRPr="00321D31">
              <w:rPr>
                <w:sz w:val="24"/>
                <w:szCs w:val="24"/>
              </w:rPr>
              <w:instrText xml:space="preserve"> SEQ Figure \* ARABIC </w:instrText>
            </w:r>
            <w:r w:rsidR="00185C05" w:rsidRPr="00321D31">
              <w:rPr>
                <w:sz w:val="24"/>
                <w:szCs w:val="24"/>
              </w:rPr>
              <w:fldChar w:fldCharType="separate"/>
            </w:r>
            <w:r w:rsidRPr="00321D31">
              <w:rPr>
                <w:noProof/>
                <w:sz w:val="24"/>
                <w:szCs w:val="24"/>
              </w:rPr>
              <w:t>54</w:t>
            </w:r>
            <w:r w:rsidR="00185C05" w:rsidRPr="00321D31">
              <w:rPr>
                <w:sz w:val="24"/>
                <w:szCs w:val="24"/>
              </w:rPr>
              <w:fldChar w:fldCharType="end"/>
            </w:r>
            <w:bookmarkEnd w:id="56"/>
            <w:r w:rsidRPr="00321D31">
              <w:rPr>
                <w:sz w:val="24"/>
                <w:szCs w:val="24"/>
              </w:rPr>
              <w:t>. General Government Deficits, EU11 and EU15, 2011–13</w:t>
            </w:r>
          </w:p>
        </w:tc>
      </w:tr>
      <w:tr w:rsidR="0060585A" w:rsidRPr="00321D31" w:rsidTr="00004575">
        <w:trPr>
          <w:jc w:val="center"/>
        </w:trPr>
        <w:tc>
          <w:tcPr>
            <w:tcW w:w="4714" w:type="dxa"/>
          </w:tcPr>
          <w:p w:rsidR="0060585A" w:rsidRPr="00321D31" w:rsidRDefault="00A1042F" w:rsidP="00321D31">
            <w:pPr>
              <w:autoSpaceDE w:val="0"/>
              <w:autoSpaceDN w:val="0"/>
              <w:adjustRightInd w:val="0"/>
              <w:spacing w:line="276" w:lineRule="auto"/>
              <w:rPr>
                <w:b/>
              </w:rPr>
            </w:pPr>
            <w:r>
              <w:rPr>
                <w:b/>
                <w:noProof/>
              </w:rPr>
              <w:drawing>
                <wp:inline distT="0" distB="0" distL="0" distR="0">
                  <wp:extent cx="2838450" cy="1714500"/>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a:srcRect/>
                          <a:stretch>
                            <a:fillRect/>
                          </a:stretch>
                        </pic:blipFill>
                        <pic:spPr bwMode="auto">
                          <a:xfrm>
                            <a:off x="0" y="0"/>
                            <a:ext cx="2838450" cy="1714500"/>
                          </a:xfrm>
                          <a:prstGeom prst="rect">
                            <a:avLst/>
                          </a:prstGeom>
                          <a:noFill/>
                          <a:ln w="9525">
                            <a:noFill/>
                            <a:miter lim="800000"/>
                            <a:headEnd/>
                            <a:tailEnd/>
                          </a:ln>
                        </pic:spPr>
                      </pic:pic>
                    </a:graphicData>
                  </a:graphic>
                </wp:inline>
              </w:drawing>
            </w:r>
          </w:p>
        </w:tc>
        <w:tc>
          <w:tcPr>
            <w:tcW w:w="4849" w:type="dxa"/>
          </w:tcPr>
          <w:p w:rsidR="0060585A" w:rsidRPr="00321D31" w:rsidRDefault="00A1042F" w:rsidP="00321D31">
            <w:pPr>
              <w:autoSpaceDE w:val="0"/>
              <w:autoSpaceDN w:val="0"/>
              <w:adjustRightInd w:val="0"/>
              <w:spacing w:line="276" w:lineRule="auto"/>
              <w:rPr>
                <w:b/>
              </w:rPr>
            </w:pPr>
            <w:r>
              <w:rPr>
                <w:b/>
                <w:noProof/>
              </w:rPr>
              <w:drawing>
                <wp:inline distT="0" distB="0" distL="0" distR="0">
                  <wp:extent cx="2800350" cy="169545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a:srcRect/>
                          <a:stretch>
                            <a:fillRect/>
                          </a:stretch>
                        </pic:blipFill>
                        <pic:spPr bwMode="auto">
                          <a:xfrm>
                            <a:off x="0" y="0"/>
                            <a:ext cx="2800350" cy="1695450"/>
                          </a:xfrm>
                          <a:prstGeom prst="rect">
                            <a:avLst/>
                          </a:prstGeom>
                          <a:noFill/>
                          <a:ln w="9525">
                            <a:noFill/>
                            <a:miter lim="800000"/>
                            <a:headEnd/>
                            <a:tailEnd/>
                          </a:ln>
                        </pic:spPr>
                      </pic:pic>
                    </a:graphicData>
                  </a:graphic>
                </wp:inline>
              </w:drawing>
            </w:r>
          </w:p>
        </w:tc>
      </w:tr>
      <w:tr w:rsidR="0060585A" w:rsidRPr="00321D31" w:rsidTr="00004575">
        <w:trPr>
          <w:jc w:val="center"/>
        </w:trPr>
        <w:tc>
          <w:tcPr>
            <w:tcW w:w="4714" w:type="dxa"/>
          </w:tcPr>
          <w:p w:rsidR="0060585A" w:rsidRPr="00321D31" w:rsidRDefault="0060585A" w:rsidP="00321D31">
            <w:pPr>
              <w:keepNext/>
              <w:spacing w:before="60" w:after="40" w:line="276" w:lineRule="auto"/>
              <w:rPr>
                <w:i/>
                <w:sz w:val="18"/>
                <w:szCs w:val="18"/>
              </w:rPr>
            </w:pPr>
            <w:r w:rsidRPr="00321D31">
              <w:rPr>
                <w:i/>
                <w:sz w:val="18"/>
                <w:szCs w:val="18"/>
              </w:rPr>
              <w:t xml:space="preserve">Source: </w:t>
            </w:r>
            <w:r w:rsidRPr="00321D31">
              <w:rPr>
                <w:sz w:val="18"/>
                <w:szCs w:val="18"/>
              </w:rPr>
              <w:t>Eurostat, Convergence/ Stability Programs, EC Spring Forecast, World Bank staff calculations.</w:t>
            </w:r>
            <w:r w:rsidRPr="00321D31">
              <w:rPr>
                <w:i/>
                <w:sz w:val="18"/>
                <w:szCs w:val="18"/>
              </w:rPr>
              <w:t xml:space="preserve"> </w:t>
            </w:r>
          </w:p>
        </w:tc>
        <w:tc>
          <w:tcPr>
            <w:tcW w:w="4849" w:type="dxa"/>
          </w:tcPr>
          <w:p w:rsidR="0060585A" w:rsidRPr="00321D31" w:rsidRDefault="0060585A" w:rsidP="00321D31">
            <w:pPr>
              <w:keepNext/>
              <w:spacing w:before="60" w:after="40" w:line="276" w:lineRule="auto"/>
              <w:rPr>
                <w:i/>
                <w:sz w:val="18"/>
                <w:szCs w:val="18"/>
              </w:rPr>
            </w:pPr>
            <w:r w:rsidRPr="00321D31">
              <w:rPr>
                <w:i/>
                <w:sz w:val="18"/>
                <w:szCs w:val="18"/>
              </w:rPr>
              <w:t xml:space="preserve">Source: </w:t>
            </w:r>
            <w:r w:rsidRPr="00321D31">
              <w:rPr>
                <w:sz w:val="18"/>
                <w:szCs w:val="18"/>
              </w:rPr>
              <w:t>Eurostat, Convergence/ Stability Programs, World Bank staff calculations.</w:t>
            </w:r>
            <w:r w:rsidRPr="00321D31">
              <w:rPr>
                <w:i/>
                <w:sz w:val="18"/>
                <w:szCs w:val="18"/>
              </w:rPr>
              <w:t xml:space="preserve"> </w:t>
            </w:r>
          </w:p>
        </w:tc>
      </w:tr>
    </w:tbl>
    <w:p w:rsidR="0060585A" w:rsidRDefault="0060585A" w:rsidP="00E41045">
      <w:pPr>
        <w:autoSpaceDE w:val="0"/>
        <w:autoSpaceDN w:val="0"/>
        <w:adjustRightInd w:val="0"/>
        <w:spacing w:line="276" w:lineRule="auto"/>
        <w:rPr>
          <w:b/>
        </w:rPr>
      </w:pPr>
    </w:p>
    <w:p w:rsidR="0060585A" w:rsidRDefault="0060585A" w:rsidP="00E41045">
      <w:pPr>
        <w:autoSpaceDE w:val="0"/>
        <w:autoSpaceDN w:val="0"/>
        <w:adjustRightInd w:val="0"/>
        <w:spacing w:line="276" w:lineRule="auto"/>
      </w:pPr>
      <w:r>
        <w:rPr>
          <w:b/>
        </w:rPr>
        <w:t>Under the baseline scenario of no deepening of the euro area crisis</w:t>
      </w:r>
      <w:r w:rsidRPr="00EE5C71">
        <w:rPr>
          <w:b/>
        </w:rPr>
        <w:t>, the declining trend in fiscal deficits is expected to continue over the next two years.</w:t>
      </w:r>
      <w:r>
        <w:t xml:space="preserve"> With their economies </w:t>
      </w:r>
      <w:r w:rsidRPr="00724AD6">
        <w:t xml:space="preserve">weakening in 2012, many countries </w:t>
      </w:r>
      <w:r>
        <w:t xml:space="preserve">in </w:t>
      </w:r>
      <w:r w:rsidRPr="00724AD6">
        <w:t xml:space="preserve">both </w:t>
      </w:r>
      <w:r>
        <w:t>EU11 and EU15 are likely to pursue procyclical fiscal tightening (</w:t>
      </w:r>
      <w:r w:rsidR="00185C05">
        <w:fldChar w:fldCharType="begin"/>
      </w:r>
      <w:r>
        <w:instrText xml:space="preserve"> REF _Ref328235274 \h </w:instrText>
      </w:r>
      <w:r w:rsidR="00185C05">
        <w:fldChar w:fldCharType="separate"/>
      </w:r>
      <w:r w:rsidRPr="00321D31">
        <w:t xml:space="preserve">Figure </w:t>
      </w:r>
      <w:r w:rsidRPr="00321D31">
        <w:rPr>
          <w:noProof/>
        </w:rPr>
        <w:t>55</w:t>
      </w:r>
      <w:r w:rsidR="00185C05">
        <w:fldChar w:fldCharType="end"/>
      </w:r>
      <w:r w:rsidR="00185C05">
        <w:fldChar w:fldCharType="begin"/>
      </w:r>
      <w:r>
        <w:instrText xml:space="preserve"> REF _Ref327264013 \h  \* MERGEFORMAT </w:instrText>
      </w:r>
      <w:r w:rsidR="00185C05">
        <w:fldChar w:fldCharType="end"/>
      </w:r>
      <w:r>
        <w:t xml:space="preserve">). Expected declines in fiscal deficits will be driven solely by discretionary consolidation, and will be partly offset by the worsened economic situation. In 2013, with economic conditions improving both EU11 and EU15 are set to return to countercyclical fiscal policy. </w:t>
      </w:r>
    </w:p>
    <w:p w:rsidR="0060585A" w:rsidRDefault="0060585A" w:rsidP="00BD3E91">
      <w:pPr>
        <w:autoSpaceDE w:val="0"/>
        <w:autoSpaceDN w:val="0"/>
        <w:adjustRightInd w:val="0"/>
        <w:spacing w:line="276" w:lineRule="auto"/>
        <w:rPr>
          <w:b/>
        </w:rPr>
      </w:pPr>
    </w:p>
    <w:p w:rsidR="0060585A" w:rsidRPr="00EE5C71" w:rsidRDefault="0060585A" w:rsidP="00BD3E91">
      <w:pPr>
        <w:autoSpaceDE w:val="0"/>
        <w:autoSpaceDN w:val="0"/>
        <w:adjustRightInd w:val="0"/>
        <w:spacing w:line="276" w:lineRule="auto"/>
        <w:rPr>
          <w:b/>
        </w:rPr>
      </w:pPr>
      <w:r w:rsidRPr="00EE5C71">
        <w:rPr>
          <w:b/>
        </w:rPr>
        <w:t xml:space="preserve">As a consequence of sustained reduction in fiscal deficits, the EU11 public debt-to-GDP ratio </w:t>
      </w:r>
      <w:r>
        <w:rPr>
          <w:b/>
        </w:rPr>
        <w:t xml:space="preserve">can be </w:t>
      </w:r>
      <w:r w:rsidRPr="00EE5C71">
        <w:rPr>
          <w:b/>
        </w:rPr>
        <w:t xml:space="preserve">expected to stabilize in 2012 and start declining </w:t>
      </w:r>
      <w:r>
        <w:rPr>
          <w:b/>
        </w:rPr>
        <w:t>in 2013</w:t>
      </w:r>
      <w:r w:rsidRPr="00EE5C71">
        <w:rPr>
          <w:b/>
        </w:rPr>
        <w:t>.</w:t>
      </w:r>
      <w:r>
        <w:rPr>
          <w:b/>
        </w:rPr>
        <w:t xml:space="preserve"> </w:t>
      </w:r>
      <w:r w:rsidRPr="00EE5C71">
        <w:t>For the first time in five years, the EU11 public debt-to-GDP ratio will not increase in 2012</w:t>
      </w:r>
      <w:r>
        <w:t xml:space="preserve">; the ratio is expected to </w:t>
      </w:r>
      <w:r w:rsidRPr="00EE5C71">
        <w:t xml:space="preserve">stabilize at </w:t>
      </w:r>
      <w:r>
        <w:t xml:space="preserve">about </w:t>
      </w:r>
      <w:r w:rsidRPr="00EE5C71">
        <w:t>50 percent.</w:t>
      </w:r>
      <w:r>
        <w:t xml:space="preserve"> </w:t>
      </w:r>
    </w:p>
    <w:p w:rsidR="0060585A" w:rsidRPr="00E728EF" w:rsidRDefault="0060585A" w:rsidP="00E728EF">
      <w:pPr>
        <w:jc w:val="left"/>
      </w:pPr>
      <w:r>
        <w:br w:type="page"/>
      </w:r>
      <w:bookmarkStart w:id="57" w:name="_Ref327264013"/>
    </w:p>
    <w:tbl>
      <w:tblPr>
        <w:tblpPr w:leftFromText="180" w:rightFromText="180" w:vertAnchor="text" w:horzAnchor="margin" w:tblpXSpec="center" w:tblpY="-31"/>
        <w:tblW w:w="9588" w:type="dxa"/>
        <w:tblLook w:val="00A0"/>
      </w:tblPr>
      <w:tblGrid>
        <w:gridCol w:w="9588"/>
      </w:tblGrid>
      <w:tr w:rsidR="0060585A" w:rsidRPr="00321D31" w:rsidTr="00C636EF">
        <w:tc>
          <w:tcPr>
            <w:tcW w:w="9588" w:type="dxa"/>
          </w:tcPr>
          <w:p w:rsidR="0060585A" w:rsidRPr="00321D31" w:rsidRDefault="0060585A" w:rsidP="00C636EF">
            <w:pPr>
              <w:pStyle w:val="Caption"/>
              <w:keepNext/>
              <w:keepLines/>
              <w:spacing w:before="60" w:after="60" w:line="276" w:lineRule="auto"/>
              <w:jc w:val="center"/>
              <w:rPr>
                <w:sz w:val="24"/>
                <w:szCs w:val="24"/>
              </w:rPr>
            </w:pPr>
            <w:bookmarkStart w:id="58" w:name="_Ref328235274"/>
            <w:r w:rsidRPr="00321D31">
              <w:rPr>
                <w:sz w:val="24"/>
                <w:szCs w:val="24"/>
              </w:rPr>
              <w:lastRenderedPageBreak/>
              <w:t xml:space="preserve">Figure </w:t>
            </w:r>
            <w:r w:rsidR="00185C05" w:rsidRPr="00321D31">
              <w:rPr>
                <w:sz w:val="24"/>
                <w:szCs w:val="24"/>
              </w:rPr>
              <w:fldChar w:fldCharType="begin"/>
            </w:r>
            <w:r w:rsidRPr="00321D31">
              <w:rPr>
                <w:sz w:val="24"/>
                <w:szCs w:val="24"/>
              </w:rPr>
              <w:instrText xml:space="preserve"> SEQ Figure \* ARABIC </w:instrText>
            </w:r>
            <w:r w:rsidR="00185C05" w:rsidRPr="00321D31">
              <w:rPr>
                <w:sz w:val="24"/>
                <w:szCs w:val="24"/>
              </w:rPr>
              <w:fldChar w:fldCharType="separate"/>
            </w:r>
            <w:r w:rsidRPr="00321D31">
              <w:rPr>
                <w:noProof/>
                <w:sz w:val="24"/>
                <w:szCs w:val="24"/>
              </w:rPr>
              <w:t>55</w:t>
            </w:r>
            <w:r w:rsidR="00185C05" w:rsidRPr="00321D31">
              <w:rPr>
                <w:sz w:val="24"/>
                <w:szCs w:val="24"/>
              </w:rPr>
              <w:fldChar w:fldCharType="end"/>
            </w:r>
            <w:bookmarkEnd w:id="57"/>
            <w:bookmarkEnd w:id="58"/>
            <w:r w:rsidRPr="00321D31">
              <w:rPr>
                <w:sz w:val="24"/>
                <w:szCs w:val="24"/>
              </w:rPr>
              <w:t>. EU11 Fiscal Policy,  2011 and 2012</w:t>
            </w:r>
          </w:p>
        </w:tc>
      </w:tr>
      <w:tr w:rsidR="0060585A" w:rsidRPr="00321D31" w:rsidTr="00C636EF">
        <w:tc>
          <w:tcPr>
            <w:tcW w:w="9588" w:type="dxa"/>
          </w:tcPr>
          <w:p w:rsidR="0060585A" w:rsidRPr="00321D31" w:rsidRDefault="00A1042F" w:rsidP="00321D31">
            <w:pPr>
              <w:keepNext/>
              <w:keepLines/>
              <w:autoSpaceDE w:val="0"/>
              <w:autoSpaceDN w:val="0"/>
              <w:adjustRightInd w:val="0"/>
              <w:spacing w:line="276" w:lineRule="auto"/>
              <w:jc w:val="center"/>
              <w:rPr>
                <w:b/>
              </w:rPr>
            </w:pPr>
            <w:r>
              <w:rPr>
                <w:b/>
                <w:noProof/>
              </w:rPr>
              <w:drawing>
                <wp:inline distT="0" distB="0" distL="0" distR="0">
                  <wp:extent cx="5124450" cy="2228850"/>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a:srcRect/>
                          <a:stretch>
                            <a:fillRect/>
                          </a:stretch>
                        </pic:blipFill>
                        <pic:spPr bwMode="auto">
                          <a:xfrm>
                            <a:off x="0" y="0"/>
                            <a:ext cx="5124450" cy="2228850"/>
                          </a:xfrm>
                          <a:prstGeom prst="rect">
                            <a:avLst/>
                          </a:prstGeom>
                          <a:noFill/>
                          <a:ln w="9525">
                            <a:noFill/>
                            <a:miter lim="800000"/>
                            <a:headEnd/>
                            <a:tailEnd/>
                          </a:ln>
                        </pic:spPr>
                      </pic:pic>
                    </a:graphicData>
                  </a:graphic>
                </wp:inline>
              </w:drawing>
            </w:r>
          </w:p>
        </w:tc>
      </w:tr>
      <w:tr w:rsidR="0060585A" w:rsidRPr="00321D31" w:rsidTr="00C636EF">
        <w:tc>
          <w:tcPr>
            <w:tcW w:w="9588" w:type="dxa"/>
          </w:tcPr>
          <w:p w:rsidR="0060585A" w:rsidRPr="00321D31" w:rsidRDefault="0060585A" w:rsidP="00321D31">
            <w:pPr>
              <w:keepNext/>
              <w:keepLines/>
              <w:spacing w:before="60" w:after="40" w:line="276" w:lineRule="auto"/>
              <w:rPr>
                <w:i/>
                <w:sz w:val="18"/>
                <w:szCs w:val="18"/>
              </w:rPr>
            </w:pPr>
            <w:r w:rsidRPr="00321D31">
              <w:rPr>
                <w:i/>
                <w:sz w:val="18"/>
                <w:szCs w:val="18"/>
              </w:rPr>
              <w:t xml:space="preserve">Source: </w:t>
            </w:r>
            <w:r w:rsidRPr="00321D31">
              <w:rPr>
                <w:sz w:val="18"/>
                <w:szCs w:val="18"/>
              </w:rPr>
              <w:t>Eurostat, Ameco, World Bank staff calculations.</w:t>
            </w:r>
          </w:p>
          <w:p w:rsidR="0060585A" w:rsidRPr="00321D31" w:rsidRDefault="0060585A" w:rsidP="00321D31">
            <w:pPr>
              <w:keepNext/>
              <w:keepLines/>
              <w:spacing w:before="60" w:after="40" w:line="276" w:lineRule="auto"/>
              <w:rPr>
                <w:sz w:val="18"/>
                <w:szCs w:val="18"/>
              </w:rPr>
            </w:pPr>
            <w:r w:rsidRPr="00321D31">
              <w:rPr>
                <w:i/>
                <w:sz w:val="18"/>
                <w:szCs w:val="18"/>
              </w:rPr>
              <w:t xml:space="preserve">Note: </w:t>
            </w:r>
            <w:r w:rsidRPr="00321D31">
              <w:rPr>
                <w:sz w:val="18"/>
                <w:szCs w:val="18"/>
              </w:rPr>
              <w:t xml:space="preserve">Data for Croatia are not available. </w:t>
            </w:r>
          </w:p>
          <w:p w:rsidR="0060585A" w:rsidRPr="00321D31" w:rsidRDefault="0060585A" w:rsidP="00321D31">
            <w:pPr>
              <w:keepNext/>
              <w:keepLines/>
              <w:spacing w:before="60" w:after="40" w:line="276" w:lineRule="auto"/>
              <w:rPr>
                <w:i/>
                <w:sz w:val="18"/>
                <w:szCs w:val="18"/>
              </w:rPr>
            </w:pPr>
            <w:r w:rsidRPr="00321D31">
              <w:rPr>
                <w:sz w:val="18"/>
                <w:szCs w:val="18"/>
              </w:rPr>
              <w:t xml:space="preserve">Vertical axis represents changes in the structural balance – positive change denotes tightening (reduction in structural deficit), negative change denotes fiscal relaxation (increase in structural deficit).  Horizontal axis represents changes in the cyclical component – positive change denotes improvement in economic cycle, negative change denotes deterioration in the cycle.  Fiscal policy is considered pro-cyclical if either improvement in cyclical component is accompanied by fiscal relaxation or when deterioration in cyclical component is accompanied by fiscal tightening.  Fiscal policy is considered counter-cyclical if either improvement in cyclical component is accompanied by fiscal tightening or when deterioration in cyclical component is accompanied by fiscal relaxation. </w:t>
            </w:r>
          </w:p>
        </w:tc>
      </w:tr>
    </w:tbl>
    <w:p w:rsidR="0060585A" w:rsidRPr="002547FA" w:rsidRDefault="0060585A" w:rsidP="00E41045">
      <w:pPr>
        <w:spacing w:before="120" w:after="120" w:line="276" w:lineRule="auto"/>
      </w:pPr>
      <w:r>
        <w:rPr>
          <w:b/>
        </w:rPr>
        <w:t>T</w:t>
      </w:r>
      <w:r w:rsidRPr="009C3084">
        <w:rPr>
          <w:b/>
        </w:rPr>
        <w:t xml:space="preserve">here are </w:t>
      </w:r>
      <w:r>
        <w:rPr>
          <w:b/>
        </w:rPr>
        <w:t>substantial</w:t>
      </w:r>
      <w:r w:rsidRPr="009C3084">
        <w:rPr>
          <w:b/>
        </w:rPr>
        <w:t xml:space="preserve"> downside risks to th</w:t>
      </w:r>
      <w:r>
        <w:rPr>
          <w:b/>
        </w:rPr>
        <w:t xml:space="preserve">e baseline projections for the EU11 near-term </w:t>
      </w:r>
      <w:r w:rsidRPr="009C3084">
        <w:rPr>
          <w:b/>
        </w:rPr>
        <w:t>outlook</w:t>
      </w:r>
      <w:r>
        <w:rPr>
          <w:b/>
        </w:rPr>
        <w:t xml:space="preserve">, which assumes that euro area sovereign debt problems will not worsen. </w:t>
      </w:r>
      <w:r>
        <w:t>R</w:t>
      </w:r>
      <w:r w:rsidRPr="002547FA">
        <w:t>isks for the EU11 economic outlook</w:t>
      </w:r>
      <w:r>
        <w:rPr>
          <w:b/>
        </w:rPr>
        <w:t xml:space="preserve"> </w:t>
      </w:r>
      <w:r>
        <w:t>mainly originate</w:t>
      </w:r>
      <w:r w:rsidRPr="002547FA">
        <w:t xml:space="preserve"> in the </w:t>
      </w:r>
      <w:r>
        <w:t>e</w:t>
      </w:r>
      <w:r w:rsidRPr="002547FA">
        <w:t>uro area</w:t>
      </w:r>
      <w:r>
        <w:t xml:space="preserve">. Among them: </w:t>
      </w:r>
    </w:p>
    <w:p w:rsidR="0060585A" w:rsidRPr="00741BA0" w:rsidRDefault="0060585A" w:rsidP="00E41045">
      <w:pPr>
        <w:numPr>
          <w:ilvl w:val="0"/>
          <w:numId w:val="33"/>
        </w:numPr>
        <w:spacing w:before="120" w:after="120" w:line="276" w:lineRule="auto"/>
      </w:pPr>
      <w:r>
        <w:t>F</w:t>
      </w:r>
      <w:r w:rsidRPr="00741BA0">
        <w:t xml:space="preserve">urther </w:t>
      </w:r>
      <w:r w:rsidRPr="00741BA0">
        <w:rPr>
          <w:i/>
        </w:rPr>
        <w:t xml:space="preserve">escalation of </w:t>
      </w:r>
      <w:r>
        <w:rPr>
          <w:i/>
        </w:rPr>
        <w:t xml:space="preserve">the euro area </w:t>
      </w:r>
      <w:r w:rsidRPr="00741BA0">
        <w:rPr>
          <w:i/>
        </w:rPr>
        <w:t xml:space="preserve">sovereign debt </w:t>
      </w:r>
      <w:r>
        <w:rPr>
          <w:i/>
        </w:rPr>
        <w:t xml:space="preserve">crisis </w:t>
      </w:r>
      <w:r>
        <w:t>would</w:t>
      </w:r>
      <w:r w:rsidRPr="00741BA0">
        <w:t xml:space="preserve"> reinforce a negative and self-perpetuating feedback loop between weak banks and fragile </w:t>
      </w:r>
      <w:r>
        <w:t>e</w:t>
      </w:r>
      <w:r w:rsidRPr="00741BA0">
        <w:t>uro area</w:t>
      </w:r>
      <w:r>
        <w:t xml:space="preserve"> governments</w:t>
      </w:r>
      <w:r w:rsidRPr="00741BA0">
        <w:t xml:space="preserve">. </w:t>
      </w:r>
      <w:r>
        <w:t>Since the EU11 is highly integrated with the EU15, s</w:t>
      </w:r>
      <w:r w:rsidRPr="00741BA0">
        <w:t xml:space="preserve">uch confidence shocks </w:t>
      </w:r>
      <w:r>
        <w:t>would</w:t>
      </w:r>
      <w:r w:rsidRPr="00741BA0">
        <w:t xml:space="preserve"> exert pressure on </w:t>
      </w:r>
      <w:r>
        <w:t xml:space="preserve">EU11 </w:t>
      </w:r>
      <w:r w:rsidRPr="00741BA0">
        <w:t xml:space="preserve">financial markets across asset classes. </w:t>
      </w:r>
    </w:p>
    <w:p w:rsidR="0060585A" w:rsidRDefault="0060585A" w:rsidP="002A2AA9">
      <w:pPr>
        <w:numPr>
          <w:ilvl w:val="0"/>
          <w:numId w:val="33"/>
        </w:numPr>
        <w:spacing w:before="120" w:after="120" w:line="276" w:lineRule="auto"/>
      </w:pPr>
      <w:r>
        <w:t>T</w:t>
      </w:r>
      <w:r w:rsidRPr="00741BA0">
        <w:t xml:space="preserve">he EU11 banking system is susceptible to </w:t>
      </w:r>
      <w:r w:rsidRPr="00741BA0">
        <w:rPr>
          <w:i/>
        </w:rPr>
        <w:t>deleveraging</w:t>
      </w:r>
      <w:r w:rsidRPr="00741BA0">
        <w:t xml:space="preserve"> by </w:t>
      </w:r>
      <w:r>
        <w:t>e</w:t>
      </w:r>
      <w:r w:rsidRPr="00741BA0">
        <w:t xml:space="preserve">uro area banks. While </w:t>
      </w:r>
      <w:r>
        <w:t xml:space="preserve">the </w:t>
      </w:r>
      <w:r w:rsidRPr="00741BA0">
        <w:t xml:space="preserve">deleveraging </w:t>
      </w:r>
      <w:r>
        <w:t xml:space="preserve">that </w:t>
      </w:r>
      <w:r w:rsidRPr="00741BA0">
        <w:t xml:space="preserve">has already </w:t>
      </w:r>
      <w:r>
        <w:t>taken place</w:t>
      </w:r>
      <w:r w:rsidRPr="00741BA0">
        <w:t xml:space="preserve"> </w:t>
      </w:r>
      <w:r>
        <w:t xml:space="preserve">has been </w:t>
      </w:r>
      <w:r w:rsidRPr="00741BA0">
        <w:t xml:space="preserve">fairly orderly, renewed concerns about Greece and Spain </w:t>
      </w:r>
      <w:r>
        <w:t xml:space="preserve">are further stressing </w:t>
      </w:r>
      <w:r w:rsidRPr="00741BA0">
        <w:t xml:space="preserve">an already stressed </w:t>
      </w:r>
      <w:r>
        <w:t>e</w:t>
      </w:r>
      <w:r w:rsidRPr="00741BA0">
        <w:t>uro</w:t>
      </w:r>
      <w:r>
        <w:t xml:space="preserve"> </w:t>
      </w:r>
      <w:r w:rsidRPr="00741BA0">
        <w:t xml:space="preserve">area banking system. </w:t>
      </w:r>
    </w:p>
    <w:p w:rsidR="0060585A" w:rsidRPr="002A2AA9" w:rsidRDefault="0060585A" w:rsidP="002A2AA9">
      <w:pPr>
        <w:numPr>
          <w:ilvl w:val="0"/>
          <w:numId w:val="33"/>
        </w:numPr>
        <w:spacing w:before="120" w:after="120" w:line="276" w:lineRule="auto"/>
      </w:pPr>
      <w:r>
        <w:t>A</w:t>
      </w:r>
      <w:r w:rsidRPr="00741BA0">
        <w:t xml:space="preserve"> </w:t>
      </w:r>
      <w:r w:rsidRPr="002A2AA9">
        <w:rPr>
          <w:i/>
        </w:rPr>
        <w:t>protracted recession in the euro area</w:t>
      </w:r>
      <w:r w:rsidRPr="00741BA0">
        <w:t xml:space="preserve"> w</w:t>
      </w:r>
      <w:r>
        <w:t>ould</w:t>
      </w:r>
      <w:r w:rsidRPr="00741BA0">
        <w:t xml:space="preserve"> spill over to the EU11.</w:t>
      </w:r>
      <w:r>
        <w:t xml:space="preserve"> </w:t>
      </w:r>
      <w:r w:rsidRPr="00741BA0">
        <w:t xml:space="preserve">EU11 economic prospects are </w:t>
      </w:r>
      <w:r>
        <w:t xml:space="preserve">already somewhat </w:t>
      </w:r>
      <w:r w:rsidRPr="00741BA0">
        <w:t xml:space="preserve">fragile, especially for countries </w:t>
      </w:r>
      <w:r>
        <w:t xml:space="preserve">whose economies are closely linked through trade with </w:t>
      </w:r>
      <w:r w:rsidRPr="00741BA0">
        <w:t xml:space="preserve">troubled </w:t>
      </w:r>
      <w:r>
        <w:t>e</w:t>
      </w:r>
      <w:r w:rsidRPr="00741BA0">
        <w:t>uro area</w:t>
      </w:r>
      <w:r>
        <w:t xml:space="preserve"> countries</w:t>
      </w:r>
      <w:r w:rsidRPr="00741BA0">
        <w:t>.</w:t>
      </w:r>
      <w:r>
        <w:t xml:space="preserve"> </w:t>
      </w:r>
      <w:r w:rsidRPr="00741BA0">
        <w:t xml:space="preserve">A major deterioration of conditions in the </w:t>
      </w:r>
      <w:r>
        <w:t>e</w:t>
      </w:r>
      <w:r w:rsidRPr="00741BA0">
        <w:t xml:space="preserve">uro area could reduce GDP growth in EU11 by </w:t>
      </w:r>
      <w:r>
        <w:t>about 2</w:t>
      </w:r>
      <w:r w:rsidRPr="00741BA0">
        <w:t xml:space="preserve"> percent compared </w:t>
      </w:r>
      <w:r>
        <w:t>to</w:t>
      </w:r>
      <w:r w:rsidRPr="00741BA0">
        <w:t xml:space="preserve"> the baseline</w:t>
      </w:r>
      <w:r>
        <w:t xml:space="preserve"> and force contraction on the economy</w:t>
      </w:r>
      <w:r w:rsidRPr="00741BA0">
        <w:t xml:space="preserve">. </w:t>
      </w:r>
      <w:r>
        <w:br w:type="page"/>
      </w:r>
    </w:p>
    <w:p w:rsidR="0060585A" w:rsidRPr="00D930DF" w:rsidRDefault="0060585A" w:rsidP="00D40FDC">
      <w:pPr>
        <w:pStyle w:val="ChapterTitle"/>
      </w:pPr>
      <w:bookmarkStart w:id="59" w:name="_Toc328295593"/>
      <w:r>
        <w:lastRenderedPageBreak/>
        <w:t xml:space="preserve">The EU11 Medium-term </w:t>
      </w:r>
      <w:r w:rsidRPr="00D930DF">
        <w:t xml:space="preserve">Structural </w:t>
      </w:r>
      <w:r>
        <w:t>P</w:t>
      </w:r>
      <w:r w:rsidRPr="00D930DF">
        <w:t>olicies</w:t>
      </w:r>
      <w:r>
        <w:t xml:space="preserve"> Agenda for Growth</w:t>
      </w:r>
      <w:bookmarkEnd w:id="59"/>
    </w:p>
    <w:p w:rsidR="0060585A" w:rsidRPr="001B12FD" w:rsidRDefault="0060585A" w:rsidP="00E41045">
      <w:pPr>
        <w:spacing w:after="200" w:line="276" w:lineRule="auto"/>
        <w:rPr>
          <w:rFonts w:cs="Arial"/>
          <w:bCs/>
          <w:i/>
          <w:iCs/>
          <w:color w:val="1F497D"/>
          <w:sz w:val="22"/>
          <w:szCs w:val="22"/>
          <w:lang w:eastAsia="pl-PL"/>
        </w:rPr>
      </w:pPr>
      <w:r w:rsidRPr="00683057">
        <w:rPr>
          <w:rFonts w:cs="Arial"/>
          <w:bCs/>
          <w:i/>
          <w:iCs/>
          <w:color w:val="1F497D"/>
          <w:sz w:val="22"/>
          <w:szCs w:val="22"/>
          <w:lang w:eastAsia="pl-PL"/>
        </w:rPr>
        <w:t>Europe 2020</w:t>
      </w:r>
      <w:r>
        <w:rPr>
          <w:rFonts w:cs="Arial"/>
          <w:bCs/>
          <w:i/>
          <w:iCs/>
          <w:color w:val="1F497D"/>
          <w:sz w:val="22"/>
          <w:szCs w:val="22"/>
          <w:lang w:eastAsia="pl-PL"/>
        </w:rPr>
        <w:t>—</w:t>
      </w:r>
      <w:r w:rsidRPr="00683057">
        <w:rPr>
          <w:rFonts w:cs="Arial"/>
          <w:bCs/>
          <w:i/>
          <w:iCs/>
          <w:color w:val="1F497D"/>
          <w:sz w:val="22"/>
          <w:szCs w:val="22"/>
          <w:lang w:eastAsia="pl-PL"/>
        </w:rPr>
        <w:t>the EU strategy for jobs and</w:t>
      </w:r>
      <w:r>
        <w:rPr>
          <w:rFonts w:cs="Arial"/>
          <w:bCs/>
          <w:i/>
          <w:iCs/>
          <w:color w:val="1F497D"/>
          <w:sz w:val="22"/>
          <w:szCs w:val="22"/>
          <w:lang w:eastAsia="pl-PL"/>
        </w:rPr>
        <w:t xml:space="preserve"> </w:t>
      </w:r>
      <w:r w:rsidRPr="00683057">
        <w:rPr>
          <w:rFonts w:cs="Arial"/>
          <w:bCs/>
          <w:i/>
          <w:iCs/>
          <w:color w:val="1F497D"/>
          <w:sz w:val="22"/>
          <w:szCs w:val="22"/>
          <w:lang w:eastAsia="pl-PL"/>
        </w:rPr>
        <w:t>growth</w:t>
      </w:r>
      <w:r>
        <w:rPr>
          <w:rFonts w:cs="Arial"/>
          <w:bCs/>
          <w:i/>
          <w:iCs/>
          <w:color w:val="1F497D"/>
          <w:sz w:val="22"/>
          <w:szCs w:val="22"/>
          <w:lang w:eastAsia="pl-PL"/>
        </w:rPr>
        <w:t>—</w:t>
      </w:r>
      <w:r w:rsidRPr="00683057">
        <w:rPr>
          <w:rFonts w:cs="Arial"/>
          <w:bCs/>
          <w:i/>
          <w:iCs/>
          <w:color w:val="1F497D"/>
          <w:sz w:val="22"/>
          <w:szCs w:val="22"/>
          <w:lang w:eastAsia="pl-PL"/>
        </w:rPr>
        <w:t xml:space="preserve">sets </w:t>
      </w:r>
      <w:r>
        <w:rPr>
          <w:rFonts w:cs="Arial"/>
          <w:bCs/>
          <w:i/>
          <w:iCs/>
          <w:color w:val="1F497D"/>
          <w:sz w:val="22"/>
          <w:szCs w:val="22"/>
          <w:lang w:eastAsia="pl-PL"/>
        </w:rPr>
        <w:t xml:space="preserve">members </w:t>
      </w:r>
      <w:r w:rsidRPr="00BB1250">
        <w:rPr>
          <w:rFonts w:cs="Arial"/>
          <w:bCs/>
          <w:i/>
          <w:iCs/>
          <w:color w:val="1F497D"/>
          <w:sz w:val="22"/>
          <w:szCs w:val="22"/>
          <w:lang w:eastAsia="pl-PL"/>
        </w:rPr>
        <w:t>ambi</w:t>
      </w:r>
      <w:r>
        <w:rPr>
          <w:rFonts w:cs="Arial"/>
          <w:bCs/>
          <w:i/>
          <w:iCs/>
          <w:color w:val="1F497D"/>
          <w:sz w:val="22"/>
          <w:szCs w:val="22"/>
          <w:lang w:eastAsia="pl-PL"/>
        </w:rPr>
        <w:t>ti</w:t>
      </w:r>
      <w:r w:rsidRPr="00BB1250">
        <w:rPr>
          <w:rFonts w:cs="Arial"/>
          <w:bCs/>
          <w:i/>
          <w:iCs/>
          <w:color w:val="1F497D"/>
          <w:sz w:val="22"/>
          <w:szCs w:val="22"/>
          <w:lang w:eastAsia="pl-PL"/>
        </w:rPr>
        <w:t>ous</w:t>
      </w:r>
      <w:r w:rsidRPr="00683057">
        <w:rPr>
          <w:rFonts w:cs="Arial"/>
          <w:bCs/>
          <w:i/>
          <w:iCs/>
          <w:color w:val="1F497D"/>
          <w:sz w:val="22"/>
          <w:szCs w:val="22"/>
          <w:lang w:eastAsia="pl-PL"/>
        </w:rPr>
        <w:t xml:space="preserve"> targets </w:t>
      </w:r>
      <w:r>
        <w:rPr>
          <w:rFonts w:cs="Arial"/>
          <w:bCs/>
          <w:i/>
          <w:iCs/>
          <w:color w:val="1F497D"/>
          <w:sz w:val="22"/>
          <w:szCs w:val="22"/>
          <w:lang w:eastAsia="pl-PL"/>
        </w:rPr>
        <w:t xml:space="preserve">for </w:t>
      </w:r>
      <w:r w:rsidRPr="00683057">
        <w:rPr>
          <w:rFonts w:cs="Arial"/>
          <w:bCs/>
          <w:i/>
          <w:iCs/>
          <w:color w:val="1F497D"/>
          <w:sz w:val="22"/>
          <w:szCs w:val="22"/>
          <w:lang w:eastAsia="pl-PL"/>
        </w:rPr>
        <w:t>tackl</w:t>
      </w:r>
      <w:r>
        <w:rPr>
          <w:rFonts w:cs="Arial"/>
          <w:bCs/>
          <w:i/>
          <w:iCs/>
          <w:color w:val="1F497D"/>
          <w:sz w:val="22"/>
          <w:szCs w:val="22"/>
          <w:lang w:eastAsia="pl-PL"/>
        </w:rPr>
        <w:t>ing</w:t>
      </w:r>
      <w:r w:rsidRPr="00683057">
        <w:rPr>
          <w:rFonts w:cs="Arial"/>
          <w:bCs/>
          <w:i/>
          <w:iCs/>
          <w:color w:val="1F497D"/>
          <w:sz w:val="22"/>
          <w:szCs w:val="22"/>
          <w:lang w:eastAsia="pl-PL"/>
        </w:rPr>
        <w:t xml:space="preserve"> not only </w:t>
      </w:r>
      <w:r>
        <w:rPr>
          <w:rFonts w:cs="Arial"/>
          <w:bCs/>
          <w:i/>
          <w:iCs/>
          <w:color w:val="1F497D"/>
          <w:sz w:val="22"/>
          <w:szCs w:val="22"/>
          <w:lang w:eastAsia="pl-PL"/>
        </w:rPr>
        <w:t xml:space="preserve">continuing </w:t>
      </w:r>
      <w:r w:rsidRPr="00683057">
        <w:rPr>
          <w:rFonts w:cs="Arial"/>
          <w:bCs/>
          <w:i/>
          <w:iCs/>
          <w:color w:val="1F497D"/>
          <w:sz w:val="22"/>
          <w:szCs w:val="22"/>
          <w:lang w:eastAsia="pl-PL"/>
        </w:rPr>
        <w:t>financial and macroeconomic challenges</w:t>
      </w:r>
      <w:r>
        <w:rPr>
          <w:rFonts w:cs="Arial"/>
          <w:bCs/>
          <w:i/>
          <w:iCs/>
          <w:color w:val="1F497D"/>
          <w:sz w:val="22"/>
          <w:szCs w:val="22"/>
          <w:lang w:eastAsia="pl-PL"/>
        </w:rPr>
        <w:t>,</w:t>
      </w:r>
      <w:r w:rsidRPr="00683057">
        <w:rPr>
          <w:rFonts w:cs="Arial"/>
          <w:bCs/>
          <w:i/>
          <w:iCs/>
          <w:color w:val="1F497D"/>
          <w:sz w:val="22"/>
          <w:szCs w:val="22"/>
          <w:lang w:eastAsia="pl-PL"/>
        </w:rPr>
        <w:t xml:space="preserve"> but also structural </w:t>
      </w:r>
      <w:r w:rsidRPr="00BB1250">
        <w:rPr>
          <w:rFonts w:cs="Arial"/>
          <w:bCs/>
          <w:i/>
          <w:iCs/>
          <w:color w:val="1F497D"/>
          <w:sz w:val="22"/>
          <w:szCs w:val="22"/>
          <w:lang w:eastAsia="pl-PL"/>
        </w:rPr>
        <w:t>obstacles</w:t>
      </w:r>
      <w:r w:rsidRPr="00683057">
        <w:rPr>
          <w:rFonts w:cs="Arial"/>
          <w:bCs/>
          <w:i/>
          <w:iCs/>
          <w:color w:val="1F497D"/>
          <w:sz w:val="22"/>
          <w:szCs w:val="22"/>
          <w:lang w:eastAsia="pl-PL"/>
        </w:rPr>
        <w:t xml:space="preserve"> to sustainable growth. By removing barriers to growth in product and labor markets, </w:t>
      </w:r>
      <w:r>
        <w:rPr>
          <w:rFonts w:cs="Arial"/>
          <w:bCs/>
          <w:i/>
          <w:iCs/>
          <w:color w:val="1F497D"/>
          <w:sz w:val="22"/>
          <w:szCs w:val="22"/>
          <w:lang w:eastAsia="pl-PL"/>
        </w:rPr>
        <w:t xml:space="preserve">despite challenging demographics </w:t>
      </w:r>
      <w:r w:rsidRPr="00683057">
        <w:rPr>
          <w:rFonts w:cs="Arial"/>
          <w:bCs/>
          <w:i/>
          <w:iCs/>
          <w:color w:val="1F497D"/>
          <w:sz w:val="22"/>
          <w:szCs w:val="22"/>
          <w:lang w:eastAsia="pl-PL"/>
        </w:rPr>
        <w:t xml:space="preserve">the EU11 countries </w:t>
      </w:r>
      <w:r>
        <w:rPr>
          <w:rFonts w:cs="Arial"/>
          <w:bCs/>
          <w:i/>
          <w:iCs/>
          <w:color w:val="1F497D"/>
          <w:sz w:val="22"/>
          <w:szCs w:val="22"/>
          <w:lang w:eastAsia="pl-PL"/>
        </w:rPr>
        <w:t xml:space="preserve">can </w:t>
      </w:r>
      <w:r w:rsidRPr="00683057">
        <w:rPr>
          <w:rFonts w:cs="Arial"/>
          <w:bCs/>
          <w:i/>
          <w:iCs/>
          <w:color w:val="1F497D"/>
          <w:sz w:val="22"/>
          <w:szCs w:val="22"/>
          <w:lang w:eastAsia="pl-PL"/>
        </w:rPr>
        <w:t>increase their potential economic gains in the medium term</w:t>
      </w:r>
      <w:r>
        <w:rPr>
          <w:rFonts w:cs="Arial"/>
          <w:bCs/>
          <w:i/>
          <w:iCs/>
          <w:color w:val="1F497D"/>
          <w:sz w:val="22"/>
          <w:szCs w:val="22"/>
          <w:lang w:eastAsia="pl-PL"/>
        </w:rPr>
        <w:t>.</w:t>
      </w:r>
    </w:p>
    <w:p w:rsidR="0060585A" w:rsidRDefault="0060585A" w:rsidP="00E41045">
      <w:pPr>
        <w:spacing w:line="276" w:lineRule="auto"/>
        <w:rPr>
          <w:b/>
        </w:rPr>
      </w:pPr>
    </w:p>
    <w:p w:rsidR="0060585A" w:rsidRDefault="0060585A" w:rsidP="00E41045">
      <w:pPr>
        <w:spacing w:line="276" w:lineRule="auto"/>
      </w:pPr>
      <w:r>
        <w:rPr>
          <w:b/>
        </w:rPr>
        <w:t>Besides combating current macroeconomic challenges, t</w:t>
      </w:r>
      <w:r w:rsidRPr="004D2546">
        <w:rPr>
          <w:b/>
        </w:rPr>
        <w:t xml:space="preserve">he </w:t>
      </w:r>
      <w:r>
        <w:rPr>
          <w:b/>
        </w:rPr>
        <w:t xml:space="preserve">medium-term economic </w:t>
      </w:r>
      <w:r w:rsidRPr="004D2546">
        <w:rPr>
          <w:b/>
        </w:rPr>
        <w:t xml:space="preserve">growth potential of the EU11 </w:t>
      </w:r>
      <w:r>
        <w:rPr>
          <w:b/>
        </w:rPr>
        <w:t>can only</w:t>
      </w:r>
      <w:r w:rsidRPr="004D2546">
        <w:rPr>
          <w:b/>
        </w:rPr>
        <w:t xml:space="preserve"> be </w:t>
      </w:r>
      <w:r>
        <w:rPr>
          <w:b/>
        </w:rPr>
        <w:t xml:space="preserve">realized if </w:t>
      </w:r>
      <w:r w:rsidRPr="004D2546">
        <w:rPr>
          <w:b/>
        </w:rPr>
        <w:t>structural barriers to economic activity</w:t>
      </w:r>
      <w:r>
        <w:rPr>
          <w:b/>
        </w:rPr>
        <w:t xml:space="preserve"> are removed</w:t>
      </w:r>
      <w:r w:rsidRPr="004D2546">
        <w:t xml:space="preserve">. </w:t>
      </w:r>
      <w:r>
        <w:t xml:space="preserve">Strengthening growth prospects can be invaluable in calming market jitters and ensuring access to financial markets at attractive prices. Both product and labor market reforms are pivotal for enhancing the productivity and competitiveness of EU11 countries. </w:t>
      </w:r>
      <w:r w:rsidRPr="004D2546">
        <w:t xml:space="preserve">Policies </w:t>
      </w:r>
      <w:r>
        <w:t xml:space="preserve">should be </w:t>
      </w:r>
      <w:r w:rsidRPr="004D2546">
        <w:t>aimed at enhancing competition in product markets</w:t>
      </w:r>
      <w:r>
        <w:t>,</w:t>
      </w:r>
      <w:r w:rsidRPr="004D2546">
        <w:t xml:space="preserve"> </w:t>
      </w:r>
      <w:r>
        <w:t>decreasing the fragmentation of trade, and integrating financial services. In addition, reforming labor markets by i</w:t>
      </w:r>
      <w:r w:rsidRPr="004D2546">
        <w:t xml:space="preserve">ncreasing </w:t>
      </w:r>
      <w:r>
        <w:t xml:space="preserve">the ability of firms to adjust </w:t>
      </w:r>
      <w:r w:rsidRPr="004D2546">
        <w:t>wage</w:t>
      </w:r>
      <w:r>
        <w:t>s</w:t>
      </w:r>
      <w:r w:rsidRPr="004D2546">
        <w:t xml:space="preserve"> and employment will foster innovation </w:t>
      </w:r>
      <w:r>
        <w:t xml:space="preserve">and </w:t>
      </w:r>
      <w:r w:rsidRPr="004D2546">
        <w:t>job creation and boost long</w:t>
      </w:r>
      <w:r>
        <w:t>-</w:t>
      </w:r>
      <w:r w:rsidRPr="004D2546">
        <w:t xml:space="preserve">term growth prospects. </w:t>
      </w:r>
    </w:p>
    <w:p w:rsidR="0060585A" w:rsidRDefault="0060585A" w:rsidP="00E41045">
      <w:pPr>
        <w:spacing w:line="276" w:lineRule="auto"/>
        <w:rPr>
          <w:b/>
        </w:rPr>
      </w:pPr>
    </w:p>
    <w:p w:rsidR="0060585A" w:rsidRDefault="0060585A" w:rsidP="00E41045">
      <w:pPr>
        <w:spacing w:line="276" w:lineRule="auto"/>
      </w:pPr>
      <w:r>
        <w:rPr>
          <w:b/>
        </w:rPr>
        <w:t>T</w:t>
      </w:r>
      <w:r w:rsidRPr="006F0F5F">
        <w:rPr>
          <w:b/>
        </w:rPr>
        <w:t>he new EU strategy for jobs and growth, Europe 2020, aims to boost Europe’s potential for sustainable growth and competitiveness</w:t>
      </w:r>
      <w:r>
        <w:t xml:space="preserve">. In response, EU national governments have submitted 2012 national reform programs and medium-term convergence programs (2012–2015). In these documents they identify policy priorities and structural measures to boost growth and employment over the medium term. Based on those, the European Council has issued country-specific recommendations. </w:t>
      </w:r>
    </w:p>
    <w:p w:rsidR="0060585A" w:rsidRDefault="0060585A" w:rsidP="00E41045">
      <w:pPr>
        <w:spacing w:line="276" w:lineRule="auto"/>
        <w:rPr>
          <w:b/>
        </w:rPr>
      </w:pPr>
    </w:p>
    <w:p w:rsidR="0060585A" w:rsidRPr="006F46B3" w:rsidRDefault="0060585A" w:rsidP="00E41045">
      <w:pPr>
        <w:spacing w:line="276" w:lineRule="auto"/>
      </w:pPr>
      <w:r w:rsidRPr="009E7F3A">
        <w:rPr>
          <w:b/>
        </w:rPr>
        <w:t xml:space="preserve">While restoring </w:t>
      </w:r>
      <w:r>
        <w:rPr>
          <w:b/>
        </w:rPr>
        <w:t xml:space="preserve">financial and </w:t>
      </w:r>
      <w:r w:rsidRPr="009E7F3A">
        <w:rPr>
          <w:b/>
        </w:rPr>
        <w:t xml:space="preserve">macroeconomic balances is </w:t>
      </w:r>
      <w:r>
        <w:rPr>
          <w:b/>
        </w:rPr>
        <w:t>the</w:t>
      </w:r>
      <w:r w:rsidRPr="009E7F3A">
        <w:rPr>
          <w:b/>
        </w:rPr>
        <w:t xml:space="preserve"> top policy priority for all member states</w:t>
      </w:r>
      <w:r>
        <w:rPr>
          <w:b/>
        </w:rPr>
        <w:t xml:space="preserve"> at present</w:t>
      </w:r>
      <w:r w:rsidRPr="009E7F3A">
        <w:rPr>
          <w:b/>
        </w:rPr>
        <w:t xml:space="preserve">, </w:t>
      </w:r>
      <w:r>
        <w:rPr>
          <w:b/>
        </w:rPr>
        <w:t xml:space="preserve">advancing the structural reform agenda will boost potential growth in the medium term. </w:t>
      </w:r>
      <w:r w:rsidRPr="00F37FD4">
        <w:t>B</w:t>
      </w:r>
      <w:r>
        <w:t xml:space="preserve">ased on recommendations of the European Commission to the European Council, </w:t>
      </w:r>
      <w:r w:rsidRPr="00F37FD4">
        <w:t xml:space="preserve">specific structural </w:t>
      </w:r>
      <w:r>
        <w:t xml:space="preserve">gaps were identified for each EU11, which encompasses their priority areas of reform. These recommendations </w:t>
      </w:r>
      <w:r w:rsidRPr="00F37FD4">
        <w:t>focus on the following inter-related areas</w:t>
      </w:r>
      <w:r>
        <w:rPr>
          <w:b/>
        </w:rPr>
        <w:t xml:space="preserve"> </w:t>
      </w:r>
      <w:r w:rsidRPr="006F46B3">
        <w:t>(</w:t>
      </w:r>
      <w:fldSimple w:instr=" REF _Ref327278742 \h  \* MERGEFORMAT ">
        <w:r w:rsidRPr="0069008B">
          <w:rPr>
            <w:sz w:val="22"/>
            <w:szCs w:val="22"/>
          </w:rPr>
          <w:t xml:space="preserve">Table </w:t>
        </w:r>
        <w:r>
          <w:rPr>
            <w:noProof/>
            <w:sz w:val="22"/>
            <w:szCs w:val="22"/>
          </w:rPr>
          <w:t>3</w:t>
        </w:r>
      </w:fldSimple>
      <w:r w:rsidRPr="006F46B3">
        <w:t>):</w:t>
      </w:r>
    </w:p>
    <w:p w:rsidR="0060585A" w:rsidRPr="006F46B3" w:rsidRDefault="0060585A" w:rsidP="00E41045">
      <w:pPr>
        <w:spacing w:line="276" w:lineRule="auto"/>
      </w:pPr>
    </w:p>
    <w:p w:rsidR="0060585A" w:rsidRDefault="0060585A" w:rsidP="00E41045">
      <w:pPr>
        <w:pStyle w:val="ListParagraph"/>
        <w:numPr>
          <w:ilvl w:val="0"/>
          <w:numId w:val="37"/>
        </w:numPr>
        <w:spacing w:after="240" w:line="276" w:lineRule="auto"/>
      </w:pPr>
      <w:r w:rsidRPr="00697947">
        <w:rPr>
          <w:i/>
        </w:rPr>
        <w:t>Labor market reforms</w:t>
      </w:r>
      <w:r>
        <w:t xml:space="preserve">: Large and persistent unemployment, especially among vulnerable groups, testifies to the need for bold EU11 labor market reforms. Making labor conditions more flexible will help some EU11 countries to address structural rigidities in their labor markets. Country-specific recommendations address </w:t>
      </w:r>
      <w:r>
        <w:lastRenderedPageBreak/>
        <w:t xml:space="preserve">employment issues, especially with regard to dampening the effects of the crisis and tackling youth unemployment. </w:t>
      </w:r>
    </w:p>
    <w:p w:rsidR="0060585A" w:rsidRDefault="0060585A">
      <w:pPr>
        <w:pStyle w:val="ListParagraph"/>
        <w:spacing w:after="240" w:line="276" w:lineRule="auto"/>
      </w:pPr>
    </w:p>
    <w:p w:rsidR="0060585A" w:rsidRPr="002A4C0C" w:rsidRDefault="0060585A" w:rsidP="00E41045">
      <w:pPr>
        <w:pStyle w:val="ListParagraph"/>
        <w:numPr>
          <w:ilvl w:val="0"/>
          <w:numId w:val="37"/>
        </w:numPr>
        <w:spacing w:after="240" w:line="276" w:lineRule="auto"/>
        <w:rPr>
          <w:spacing w:val="-4"/>
        </w:rPr>
      </w:pPr>
      <w:r w:rsidRPr="002A4C0C">
        <w:rPr>
          <w:i/>
          <w:spacing w:val="-4"/>
        </w:rPr>
        <w:t>Education reforms</w:t>
      </w:r>
      <w:r w:rsidRPr="002A4C0C">
        <w:rPr>
          <w:spacing w:val="-4"/>
        </w:rPr>
        <w:t>: Given the demographic pressures, significant improvements in labor force skills will promote productivity and growth. Here reforms to improve the quality of secondary and tertiary education, address skills mismatches, and increase labor market flexicurity (combining flexibility and security) are crucial for improving labor outcomes. The Council recommendations also relate to on providing training to help people join or rejoin the labor force. Raising skills will boost innovation, entrepreneurship, and ultimately economic growth. Attracting women into the labor markets of new EU member states can be eased by increasing the availability of early childhood facilities.</w:t>
      </w:r>
    </w:p>
    <w:p w:rsidR="0060585A" w:rsidRPr="002A4C0C" w:rsidRDefault="0060585A" w:rsidP="00E41045">
      <w:pPr>
        <w:pStyle w:val="ListParagraph"/>
        <w:spacing w:after="240" w:line="276" w:lineRule="auto"/>
        <w:rPr>
          <w:spacing w:val="-4"/>
        </w:rPr>
      </w:pPr>
    </w:p>
    <w:p w:rsidR="0060585A" w:rsidRPr="002A4C0C" w:rsidRDefault="0060585A" w:rsidP="00E41045">
      <w:pPr>
        <w:pStyle w:val="ListParagraph"/>
        <w:numPr>
          <w:ilvl w:val="0"/>
          <w:numId w:val="37"/>
        </w:numPr>
        <w:spacing w:after="240" w:line="276" w:lineRule="auto"/>
        <w:rPr>
          <w:spacing w:val="-4"/>
        </w:rPr>
      </w:pPr>
      <w:r w:rsidRPr="002A4C0C">
        <w:rPr>
          <w:i/>
          <w:spacing w:val="-4"/>
        </w:rPr>
        <w:t>The business environment, private sector development, and competition</w:t>
      </w:r>
      <w:r w:rsidRPr="002A4C0C">
        <w:rPr>
          <w:spacing w:val="-4"/>
        </w:rPr>
        <w:t xml:space="preserve">: Simplifying business regulation, addressing lingering governance issues, and enforcing contract and property rights are among areas where some EU11 countries could pursue reforms to build up the private sector and make it easier to do business. Opening up markets and opportunities for business development—e.g., through privatization and in traditionally regulated monopolies like energy, electricity, and rail—– are among Council recommendations for the new EU member states. </w:t>
      </w:r>
    </w:p>
    <w:p w:rsidR="0060585A" w:rsidRPr="002A4C0C" w:rsidRDefault="0060585A" w:rsidP="00E41045">
      <w:pPr>
        <w:pStyle w:val="ListParagraph"/>
        <w:spacing w:after="240" w:line="276" w:lineRule="auto"/>
        <w:rPr>
          <w:spacing w:val="-4"/>
        </w:rPr>
      </w:pPr>
    </w:p>
    <w:p w:rsidR="0060585A" w:rsidRPr="002A4C0C" w:rsidRDefault="0060585A" w:rsidP="00E41045">
      <w:pPr>
        <w:pStyle w:val="ListParagraph"/>
        <w:numPr>
          <w:ilvl w:val="0"/>
          <w:numId w:val="37"/>
        </w:numPr>
        <w:spacing w:after="240" w:line="276" w:lineRule="auto"/>
        <w:rPr>
          <w:spacing w:val="-4"/>
        </w:rPr>
      </w:pPr>
      <w:r w:rsidRPr="002A4C0C">
        <w:rPr>
          <w:i/>
          <w:spacing w:val="-4"/>
        </w:rPr>
        <w:t>Public service delivery and administration</w:t>
      </w:r>
      <w:r w:rsidRPr="002A4C0C">
        <w:rPr>
          <w:spacing w:val="-4"/>
        </w:rPr>
        <w:t>: Enhancing the quality of public administration is essential to the delivery of public goods and services. Improving public procurement, increasing the transparency of the legal system, and removing bottlenecks to absorption of EU funds are featured in the recommendations.</w:t>
      </w:r>
    </w:p>
    <w:p w:rsidR="0060585A" w:rsidRPr="002A4C0C" w:rsidRDefault="0060585A" w:rsidP="00E41045">
      <w:pPr>
        <w:pStyle w:val="ListParagraph"/>
        <w:spacing w:after="240" w:line="276" w:lineRule="auto"/>
        <w:rPr>
          <w:spacing w:val="-4"/>
        </w:rPr>
      </w:pPr>
    </w:p>
    <w:p w:rsidR="0060585A" w:rsidRPr="002A4C0C" w:rsidRDefault="0060585A" w:rsidP="00E41045">
      <w:pPr>
        <w:pStyle w:val="ListParagraph"/>
        <w:numPr>
          <w:ilvl w:val="0"/>
          <w:numId w:val="37"/>
        </w:numPr>
        <w:spacing w:after="240" w:line="276" w:lineRule="auto"/>
        <w:rPr>
          <w:spacing w:val="-4"/>
        </w:rPr>
      </w:pPr>
      <w:r w:rsidRPr="002A4C0C">
        <w:rPr>
          <w:i/>
          <w:spacing w:val="-4"/>
        </w:rPr>
        <w:t>Long-term sustainability of public finances</w:t>
      </w:r>
      <w:r w:rsidRPr="002A4C0C">
        <w:rPr>
          <w:spacing w:val="-4"/>
        </w:rPr>
        <w:t xml:space="preserve">: Beyond the continuing fiscal consolidation in the EU11, ensuring that public finances are sustainable over the medium and the long term (see Box 1) rests on the ability of governments to implement growth-friendly structural fiscal policy. Reforming pension systems, shifting taxation away from labor, better targeting social assistance, and ensuring that social safety nets cover the most vulnerable are top priorities for EU11 countries. </w:t>
      </w:r>
    </w:p>
    <w:p w:rsidR="0060585A" w:rsidRPr="002A4C0C" w:rsidRDefault="0060585A" w:rsidP="00E41045">
      <w:pPr>
        <w:pStyle w:val="ListParagraph"/>
        <w:spacing w:after="240" w:line="276" w:lineRule="auto"/>
        <w:rPr>
          <w:spacing w:val="-4"/>
        </w:rPr>
      </w:pPr>
    </w:p>
    <w:p w:rsidR="0060585A" w:rsidRPr="002A4C0C" w:rsidRDefault="0060585A" w:rsidP="00E41045">
      <w:pPr>
        <w:pStyle w:val="ListParagraph"/>
        <w:numPr>
          <w:ilvl w:val="0"/>
          <w:numId w:val="37"/>
        </w:numPr>
        <w:spacing w:after="240" w:line="276" w:lineRule="auto"/>
        <w:rPr>
          <w:spacing w:val="-4"/>
        </w:rPr>
      </w:pPr>
      <w:r w:rsidRPr="002A4C0C">
        <w:rPr>
          <w:i/>
          <w:spacing w:val="-4"/>
        </w:rPr>
        <w:t>Social safety nets and social inclusion</w:t>
      </w:r>
      <w:r w:rsidRPr="002A4C0C">
        <w:rPr>
          <w:spacing w:val="-4"/>
        </w:rPr>
        <w:t>: Beyond providing a safety net for the unemployed in times of crisis, social assistance can be strengthened by better targeting and more efficiency and access to quality social services for vulnerable groups, such as children and the disabled. Well-designed and well-delivered social assistance can increase the incentives for people to work.</w:t>
      </w:r>
    </w:p>
    <w:tbl>
      <w:tblPr>
        <w:tblW w:w="9139" w:type="dxa"/>
        <w:tblInd w:w="329" w:type="dxa"/>
        <w:tblLook w:val="00A0"/>
      </w:tblPr>
      <w:tblGrid>
        <w:gridCol w:w="9139"/>
      </w:tblGrid>
      <w:tr w:rsidR="0060585A" w:rsidRPr="00321D31" w:rsidTr="000C50E8">
        <w:tc>
          <w:tcPr>
            <w:tcW w:w="9139" w:type="dxa"/>
          </w:tcPr>
          <w:p w:rsidR="0060585A" w:rsidRPr="00321D31" w:rsidRDefault="0060585A" w:rsidP="00321D31">
            <w:pPr>
              <w:pStyle w:val="Caption"/>
              <w:keepNext/>
              <w:keepLines/>
              <w:spacing w:before="60" w:after="60" w:line="276" w:lineRule="auto"/>
              <w:jc w:val="center"/>
              <w:rPr>
                <w:sz w:val="24"/>
                <w:szCs w:val="24"/>
              </w:rPr>
            </w:pPr>
            <w:bookmarkStart w:id="60" w:name="_Ref327278742"/>
            <w:r w:rsidRPr="00321D31">
              <w:rPr>
                <w:sz w:val="22"/>
                <w:szCs w:val="22"/>
              </w:rPr>
              <w:lastRenderedPageBreak/>
              <w:t xml:space="preserve">Table </w:t>
            </w:r>
            <w:r w:rsidR="00185C05" w:rsidRPr="00321D31">
              <w:rPr>
                <w:sz w:val="22"/>
                <w:szCs w:val="22"/>
              </w:rPr>
              <w:fldChar w:fldCharType="begin"/>
            </w:r>
            <w:r w:rsidRPr="00321D31">
              <w:rPr>
                <w:sz w:val="22"/>
                <w:szCs w:val="22"/>
              </w:rPr>
              <w:instrText xml:space="preserve"> SEQ Table \* ARABIC </w:instrText>
            </w:r>
            <w:r w:rsidR="00185C05" w:rsidRPr="00321D31">
              <w:rPr>
                <w:sz w:val="22"/>
                <w:szCs w:val="22"/>
              </w:rPr>
              <w:fldChar w:fldCharType="separate"/>
            </w:r>
            <w:r w:rsidRPr="00321D31">
              <w:rPr>
                <w:noProof/>
                <w:sz w:val="22"/>
                <w:szCs w:val="22"/>
              </w:rPr>
              <w:t>3</w:t>
            </w:r>
            <w:r w:rsidR="00185C05" w:rsidRPr="00321D31">
              <w:rPr>
                <w:sz w:val="22"/>
                <w:szCs w:val="22"/>
              </w:rPr>
              <w:fldChar w:fldCharType="end"/>
            </w:r>
            <w:bookmarkEnd w:id="60"/>
            <w:r w:rsidRPr="00321D31">
              <w:rPr>
                <w:sz w:val="22"/>
                <w:szCs w:val="22"/>
              </w:rPr>
              <w:t xml:space="preserve">. </w:t>
            </w:r>
            <w:r w:rsidRPr="00321D31">
              <w:rPr>
                <w:sz w:val="24"/>
                <w:szCs w:val="24"/>
              </w:rPr>
              <w:t>European Council Recommendations for Structural Reforms in the EU11</w:t>
            </w:r>
          </w:p>
        </w:tc>
      </w:tr>
      <w:tr w:rsidR="0060585A" w:rsidRPr="00321D31" w:rsidTr="000C50E8">
        <w:tc>
          <w:tcPr>
            <w:tcW w:w="9139" w:type="dxa"/>
          </w:tcPr>
          <w:tbl>
            <w:tblPr>
              <w:tblW w:w="8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03"/>
              <w:gridCol w:w="1009"/>
              <w:gridCol w:w="1353"/>
              <w:gridCol w:w="1697"/>
              <w:gridCol w:w="1560"/>
              <w:gridCol w:w="1200"/>
              <w:gridCol w:w="1200"/>
            </w:tblGrid>
            <w:tr w:rsidR="0060585A" w:rsidRPr="00321D31" w:rsidTr="000C50E8">
              <w:trPr>
                <w:trHeight w:val="224"/>
              </w:trPr>
              <w:tc>
                <w:tcPr>
                  <w:tcW w:w="455" w:type="pct"/>
                  <w:vMerge w:val="restart"/>
                  <w:tcBorders>
                    <w:top w:val="single" w:sz="4" w:space="0" w:color="000000"/>
                    <w:left w:val="single" w:sz="4" w:space="0" w:color="000000"/>
                    <w:bottom w:val="single" w:sz="4" w:space="0" w:color="000000"/>
                    <w:right w:val="single" w:sz="4" w:space="0" w:color="000000"/>
                  </w:tcBorders>
                  <w:shd w:val="clear" w:color="auto" w:fill="8DB3E2"/>
                </w:tcPr>
                <w:p w:rsidR="0060585A" w:rsidRPr="00321D31" w:rsidRDefault="0060585A" w:rsidP="00321D31">
                  <w:pPr>
                    <w:keepNext/>
                    <w:keepLines/>
                    <w:spacing w:line="276" w:lineRule="auto"/>
                    <w:jc w:val="center"/>
                    <w:rPr>
                      <w:b/>
                      <w:bCs/>
                      <w:color w:val="000000"/>
                      <w:sz w:val="14"/>
                      <w:szCs w:val="14"/>
                    </w:rPr>
                  </w:pPr>
                  <w:r w:rsidRPr="00321D31">
                    <w:rPr>
                      <w:b/>
                      <w:bCs/>
                      <w:color w:val="000000"/>
                      <w:sz w:val="14"/>
                      <w:szCs w:val="14"/>
                    </w:rPr>
                    <w:t>Country</w:t>
                  </w:r>
                </w:p>
                <w:p w:rsidR="0060585A" w:rsidRPr="00321D31" w:rsidRDefault="0060585A" w:rsidP="00321D31">
                  <w:pPr>
                    <w:keepNext/>
                    <w:keepLines/>
                    <w:spacing w:line="276" w:lineRule="auto"/>
                    <w:jc w:val="center"/>
                    <w:rPr>
                      <w:b/>
                      <w:bCs/>
                      <w:color w:val="000000"/>
                      <w:sz w:val="14"/>
                      <w:szCs w:val="14"/>
                    </w:rPr>
                  </w:pPr>
                </w:p>
              </w:tc>
              <w:tc>
                <w:tcPr>
                  <w:tcW w:w="1339" w:type="pct"/>
                  <w:gridSpan w:val="2"/>
                  <w:tcBorders>
                    <w:top w:val="single" w:sz="4" w:space="0" w:color="000000"/>
                    <w:left w:val="single" w:sz="4" w:space="0" w:color="000000"/>
                    <w:bottom w:val="single" w:sz="4" w:space="0" w:color="000000"/>
                    <w:right w:val="single" w:sz="4" w:space="0" w:color="000000"/>
                  </w:tcBorders>
                  <w:shd w:val="clear" w:color="auto" w:fill="8DB3E2"/>
                </w:tcPr>
                <w:p w:rsidR="0060585A" w:rsidRPr="00321D31" w:rsidRDefault="0060585A" w:rsidP="00321D31">
                  <w:pPr>
                    <w:keepNext/>
                    <w:keepLines/>
                    <w:spacing w:line="276" w:lineRule="auto"/>
                    <w:jc w:val="center"/>
                    <w:rPr>
                      <w:b/>
                      <w:bCs/>
                      <w:color w:val="000000"/>
                      <w:sz w:val="14"/>
                      <w:szCs w:val="14"/>
                    </w:rPr>
                  </w:pPr>
                  <w:r w:rsidRPr="00321D31">
                    <w:rPr>
                      <w:b/>
                      <w:bCs/>
                      <w:color w:val="000000"/>
                      <w:sz w:val="14"/>
                      <w:szCs w:val="14"/>
                    </w:rPr>
                    <w:t>Human capital development</w:t>
                  </w:r>
                </w:p>
              </w:tc>
              <w:tc>
                <w:tcPr>
                  <w:tcW w:w="962" w:type="pct"/>
                  <w:vMerge w:val="restart"/>
                  <w:tcBorders>
                    <w:top w:val="single" w:sz="4" w:space="0" w:color="000000"/>
                    <w:left w:val="single" w:sz="4" w:space="0" w:color="000000"/>
                    <w:bottom w:val="single" w:sz="4" w:space="0" w:color="000000"/>
                    <w:right w:val="single" w:sz="4" w:space="0" w:color="000000"/>
                  </w:tcBorders>
                  <w:shd w:val="clear" w:color="auto" w:fill="8DB3E2"/>
                </w:tcPr>
                <w:p w:rsidR="0060585A" w:rsidRPr="00321D31" w:rsidRDefault="0060585A" w:rsidP="00321D31">
                  <w:pPr>
                    <w:keepNext/>
                    <w:keepLines/>
                    <w:spacing w:line="276" w:lineRule="auto"/>
                    <w:jc w:val="center"/>
                    <w:rPr>
                      <w:b/>
                      <w:bCs/>
                      <w:color w:val="000000"/>
                      <w:sz w:val="14"/>
                      <w:szCs w:val="14"/>
                    </w:rPr>
                  </w:pPr>
                  <w:r w:rsidRPr="00321D31">
                    <w:rPr>
                      <w:b/>
                      <w:bCs/>
                      <w:color w:val="000000"/>
                      <w:sz w:val="14"/>
                      <w:szCs w:val="14"/>
                    </w:rPr>
                    <w:t>Business environment, private sector development and regulated monopolies reforms</w:t>
                  </w:r>
                </w:p>
              </w:tc>
              <w:tc>
                <w:tcPr>
                  <w:tcW w:w="884" w:type="pct"/>
                  <w:vMerge w:val="restart"/>
                  <w:tcBorders>
                    <w:top w:val="single" w:sz="4" w:space="0" w:color="000000"/>
                    <w:left w:val="single" w:sz="4" w:space="0" w:color="000000"/>
                    <w:bottom w:val="single" w:sz="4" w:space="0" w:color="000000"/>
                    <w:right w:val="single" w:sz="4" w:space="0" w:color="000000"/>
                  </w:tcBorders>
                  <w:shd w:val="clear" w:color="auto" w:fill="8DB3E2"/>
                </w:tcPr>
                <w:p w:rsidR="0060585A" w:rsidRPr="00321D31" w:rsidRDefault="0060585A" w:rsidP="00321D31">
                  <w:pPr>
                    <w:keepNext/>
                    <w:keepLines/>
                    <w:spacing w:line="276" w:lineRule="auto"/>
                    <w:jc w:val="center"/>
                    <w:rPr>
                      <w:b/>
                      <w:bCs/>
                      <w:color w:val="000000"/>
                      <w:sz w:val="14"/>
                      <w:szCs w:val="14"/>
                    </w:rPr>
                  </w:pPr>
                  <w:r w:rsidRPr="00321D31">
                    <w:rPr>
                      <w:b/>
                      <w:bCs/>
                      <w:color w:val="000000"/>
                      <w:sz w:val="14"/>
                      <w:szCs w:val="14"/>
                    </w:rPr>
                    <w:t>Governance, public administration, provision of public services</w:t>
                  </w:r>
                </w:p>
              </w:tc>
              <w:tc>
                <w:tcPr>
                  <w:tcW w:w="1360" w:type="pct"/>
                  <w:gridSpan w:val="2"/>
                  <w:tcBorders>
                    <w:top w:val="single" w:sz="4" w:space="0" w:color="000000"/>
                    <w:left w:val="single" w:sz="4" w:space="0" w:color="000000"/>
                    <w:bottom w:val="single" w:sz="4" w:space="0" w:color="000000"/>
                    <w:right w:val="single" w:sz="4" w:space="0" w:color="000000"/>
                  </w:tcBorders>
                  <w:shd w:val="clear" w:color="auto" w:fill="8DB3E2"/>
                </w:tcPr>
                <w:p w:rsidR="0060585A" w:rsidRPr="00321D31" w:rsidRDefault="0060585A" w:rsidP="00321D31">
                  <w:pPr>
                    <w:keepNext/>
                    <w:keepLines/>
                    <w:spacing w:line="276" w:lineRule="auto"/>
                    <w:jc w:val="center"/>
                    <w:rPr>
                      <w:b/>
                      <w:bCs/>
                      <w:color w:val="000000"/>
                      <w:sz w:val="14"/>
                      <w:szCs w:val="14"/>
                    </w:rPr>
                  </w:pPr>
                  <w:r w:rsidRPr="00321D31">
                    <w:rPr>
                      <w:b/>
                      <w:bCs/>
                      <w:color w:val="000000"/>
                      <w:sz w:val="14"/>
                      <w:szCs w:val="14"/>
                    </w:rPr>
                    <w:t>Long-term fiscal structural reforms</w:t>
                  </w:r>
                </w:p>
              </w:tc>
            </w:tr>
            <w:tr w:rsidR="0060585A" w:rsidRPr="00321D31" w:rsidTr="000C50E8">
              <w:trPr>
                <w:trHeight w:val="431"/>
              </w:trPr>
              <w:tc>
                <w:tcPr>
                  <w:tcW w:w="455" w:type="pct"/>
                  <w:vMerge/>
                  <w:tcBorders>
                    <w:top w:val="single" w:sz="4" w:space="0" w:color="000000"/>
                    <w:left w:val="single" w:sz="4" w:space="0" w:color="000000"/>
                    <w:bottom w:val="single" w:sz="4" w:space="0" w:color="000000"/>
                    <w:right w:val="single" w:sz="4" w:space="0" w:color="000000"/>
                  </w:tcBorders>
                  <w:shd w:val="clear" w:color="auto" w:fill="8DB3E2"/>
                </w:tcPr>
                <w:p w:rsidR="0060585A" w:rsidRPr="00321D31" w:rsidRDefault="0060585A" w:rsidP="00321D31">
                  <w:pPr>
                    <w:keepNext/>
                    <w:keepLines/>
                    <w:spacing w:line="276" w:lineRule="auto"/>
                    <w:jc w:val="center"/>
                    <w:rPr>
                      <w:b/>
                      <w:bCs/>
                      <w:color w:val="000000"/>
                      <w:sz w:val="14"/>
                      <w:szCs w:val="14"/>
                    </w:rPr>
                  </w:pPr>
                </w:p>
              </w:tc>
              <w:tc>
                <w:tcPr>
                  <w:tcW w:w="572" w:type="pct"/>
                  <w:tcBorders>
                    <w:top w:val="single" w:sz="4" w:space="0" w:color="000000"/>
                    <w:left w:val="single" w:sz="4" w:space="0" w:color="000000"/>
                    <w:bottom w:val="single" w:sz="4" w:space="0" w:color="000000"/>
                    <w:right w:val="single" w:sz="4" w:space="0" w:color="000000"/>
                  </w:tcBorders>
                  <w:shd w:val="clear" w:color="auto" w:fill="8DB3E2"/>
                </w:tcPr>
                <w:p w:rsidR="0060585A" w:rsidRPr="00321D31" w:rsidRDefault="0060585A" w:rsidP="00321D31">
                  <w:pPr>
                    <w:keepNext/>
                    <w:keepLines/>
                    <w:spacing w:line="276" w:lineRule="auto"/>
                    <w:jc w:val="center"/>
                    <w:rPr>
                      <w:b/>
                      <w:bCs/>
                      <w:color w:val="000000"/>
                      <w:sz w:val="14"/>
                      <w:szCs w:val="14"/>
                    </w:rPr>
                  </w:pPr>
                  <w:r w:rsidRPr="00321D31">
                    <w:rPr>
                      <w:b/>
                      <w:bCs/>
                      <w:color w:val="000000"/>
                      <w:sz w:val="14"/>
                      <w:szCs w:val="14"/>
                    </w:rPr>
                    <w:t>Labor market</w:t>
                  </w:r>
                </w:p>
              </w:tc>
              <w:tc>
                <w:tcPr>
                  <w:tcW w:w="767" w:type="pct"/>
                  <w:tcBorders>
                    <w:top w:val="single" w:sz="4" w:space="0" w:color="000000"/>
                    <w:left w:val="single" w:sz="4" w:space="0" w:color="000000"/>
                    <w:bottom w:val="single" w:sz="4" w:space="0" w:color="000000"/>
                    <w:right w:val="single" w:sz="4" w:space="0" w:color="000000"/>
                  </w:tcBorders>
                  <w:shd w:val="clear" w:color="auto" w:fill="8DB3E2"/>
                </w:tcPr>
                <w:p w:rsidR="0060585A" w:rsidRPr="00321D31" w:rsidRDefault="0060585A" w:rsidP="00321D31">
                  <w:pPr>
                    <w:keepNext/>
                    <w:keepLines/>
                    <w:spacing w:line="276" w:lineRule="auto"/>
                    <w:jc w:val="center"/>
                    <w:rPr>
                      <w:b/>
                      <w:bCs/>
                      <w:color w:val="000000"/>
                      <w:sz w:val="14"/>
                      <w:szCs w:val="14"/>
                    </w:rPr>
                  </w:pPr>
                  <w:r w:rsidRPr="00321D31">
                    <w:rPr>
                      <w:b/>
                      <w:bCs/>
                      <w:color w:val="000000"/>
                      <w:sz w:val="14"/>
                      <w:szCs w:val="14"/>
                    </w:rPr>
                    <w:t>Education and early childhood care</w:t>
                  </w:r>
                </w:p>
              </w:tc>
              <w:tc>
                <w:tcPr>
                  <w:tcW w:w="962" w:type="pct"/>
                  <w:vMerge/>
                  <w:tcBorders>
                    <w:top w:val="single" w:sz="4" w:space="0" w:color="000000"/>
                    <w:left w:val="single" w:sz="4" w:space="0" w:color="000000"/>
                    <w:bottom w:val="single" w:sz="4" w:space="0" w:color="000000"/>
                    <w:right w:val="single" w:sz="4" w:space="0" w:color="000000"/>
                  </w:tcBorders>
                  <w:shd w:val="clear" w:color="auto" w:fill="8DB3E2"/>
                </w:tcPr>
                <w:p w:rsidR="0060585A" w:rsidRPr="00321D31" w:rsidRDefault="0060585A" w:rsidP="00321D31">
                  <w:pPr>
                    <w:keepNext/>
                    <w:keepLines/>
                    <w:spacing w:line="276" w:lineRule="auto"/>
                    <w:jc w:val="center"/>
                    <w:rPr>
                      <w:b/>
                      <w:bCs/>
                      <w:color w:val="000000"/>
                      <w:sz w:val="14"/>
                      <w:szCs w:val="14"/>
                    </w:rPr>
                  </w:pPr>
                </w:p>
              </w:tc>
              <w:tc>
                <w:tcPr>
                  <w:tcW w:w="884" w:type="pct"/>
                  <w:vMerge/>
                  <w:tcBorders>
                    <w:top w:val="single" w:sz="4" w:space="0" w:color="000000"/>
                    <w:left w:val="single" w:sz="4" w:space="0" w:color="000000"/>
                    <w:bottom w:val="single" w:sz="4" w:space="0" w:color="000000"/>
                    <w:right w:val="single" w:sz="4" w:space="0" w:color="000000"/>
                  </w:tcBorders>
                  <w:shd w:val="clear" w:color="auto" w:fill="8DB3E2"/>
                </w:tcPr>
                <w:p w:rsidR="0060585A" w:rsidRPr="00321D31" w:rsidRDefault="0060585A" w:rsidP="00321D31">
                  <w:pPr>
                    <w:keepNext/>
                    <w:keepLines/>
                    <w:spacing w:line="276" w:lineRule="auto"/>
                    <w:jc w:val="center"/>
                    <w:rPr>
                      <w:b/>
                      <w:bCs/>
                      <w:color w:val="000000"/>
                      <w:sz w:val="14"/>
                      <w:szCs w:val="14"/>
                    </w:rPr>
                  </w:pPr>
                </w:p>
              </w:tc>
              <w:tc>
                <w:tcPr>
                  <w:tcW w:w="680" w:type="pct"/>
                  <w:tcBorders>
                    <w:top w:val="single" w:sz="4" w:space="0" w:color="000000"/>
                    <w:left w:val="single" w:sz="4" w:space="0" w:color="000000"/>
                    <w:bottom w:val="single" w:sz="4" w:space="0" w:color="000000"/>
                    <w:right w:val="single" w:sz="4" w:space="0" w:color="000000"/>
                  </w:tcBorders>
                  <w:shd w:val="clear" w:color="auto" w:fill="8DB3E2"/>
                </w:tcPr>
                <w:p w:rsidR="0060585A" w:rsidRPr="00321D31" w:rsidRDefault="0060585A" w:rsidP="00321D31">
                  <w:pPr>
                    <w:keepNext/>
                    <w:keepLines/>
                    <w:spacing w:line="276" w:lineRule="auto"/>
                    <w:jc w:val="center"/>
                    <w:rPr>
                      <w:b/>
                      <w:bCs/>
                      <w:color w:val="000000"/>
                      <w:sz w:val="14"/>
                      <w:szCs w:val="14"/>
                    </w:rPr>
                  </w:pPr>
                  <w:r w:rsidRPr="00321D31">
                    <w:rPr>
                      <w:b/>
                      <w:bCs/>
                      <w:color w:val="000000"/>
                      <w:sz w:val="14"/>
                      <w:szCs w:val="14"/>
                    </w:rPr>
                    <w:t>Pensions</w:t>
                  </w:r>
                </w:p>
              </w:tc>
              <w:tc>
                <w:tcPr>
                  <w:tcW w:w="681" w:type="pct"/>
                  <w:tcBorders>
                    <w:top w:val="single" w:sz="4" w:space="0" w:color="000000"/>
                    <w:left w:val="single" w:sz="4" w:space="0" w:color="000000"/>
                    <w:bottom w:val="single" w:sz="4" w:space="0" w:color="000000"/>
                    <w:right w:val="single" w:sz="4" w:space="0" w:color="000000"/>
                  </w:tcBorders>
                  <w:shd w:val="clear" w:color="auto" w:fill="8DB3E2"/>
                </w:tcPr>
                <w:p w:rsidR="0060585A" w:rsidRPr="00321D31" w:rsidRDefault="0060585A" w:rsidP="00321D31">
                  <w:pPr>
                    <w:keepNext/>
                    <w:keepLines/>
                    <w:spacing w:line="276" w:lineRule="auto"/>
                    <w:jc w:val="center"/>
                    <w:rPr>
                      <w:b/>
                      <w:bCs/>
                      <w:color w:val="000000"/>
                      <w:sz w:val="14"/>
                      <w:szCs w:val="14"/>
                    </w:rPr>
                  </w:pPr>
                  <w:r w:rsidRPr="00321D31">
                    <w:rPr>
                      <w:b/>
                      <w:bCs/>
                      <w:color w:val="000000"/>
                      <w:sz w:val="14"/>
                      <w:szCs w:val="14"/>
                    </w:rPr>
                    <w:t>Social safety nets</w:t>
                  </w:r>
                </w:p>
              </w:tc>
            </w:tr>
            <w:tr w:rsidR="0060585A" w:rsidRPr="00321D31" w:rsidTr="000C50E8">
              <w:trPr>
                <w:trHeight w:val="216"/>
              </w:trPr>
              <w:tc>
                <w:tcPr>
                  <w:tcW w:w="455"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BG</w:t>
                  </w:r>
                </w:p>
              </w:tc>
              <w:tc>
                <w:tcPr>
                  <w:tcW w:w="572"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767"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962"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884"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680"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681"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r>
            <w:tr w:rsidR="0060585A" w:rsidRPr="00321D31" w:rsidTr="000C50E8">
              <w:trPr>
                <w:trHeight w:val="216"/>
              </w:trPr>
              <w:tc>
                <w:tcPr>
                  <w:tcW w:w="455"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CZ</w:t>
                  </w:r>
                </w:p>
              </w:tc>
              <w:tc>
                <w:tcPr>
                  <w:tcW w:w="572"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767"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962"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p>
              </w:tc>
              <w:tc>
                <w:tcPr>
                  <w:tcW w:w="884"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680"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681"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p>
              </w:tc>
            </w:tr>
            <w:tr w:rsidR="0060585A" w:rsidRPr="00321D31" w:rsidTr="000C50E8">
              <w:trPr>
                <w:trHeight w:val="216"/>
              </w:trPr>
              <w:tc>
                <w:tcPr>
                  <w:tcW w:w="455"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EE</w:t>
                  </w:r>
                </w:p>
              </w:tc>
              <w:tc>
                <w:tcPr>
                  <w:tcW w:w="572"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767"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p>
              </w:tc>
              <w:tc>
                <w:tcPr>
                  <w:tcW w:w="962"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884"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680"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p>
              </w:tc>
              <w:tc>
                <w:tcPr>
                  <w:tcW w:w="681"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r>
            <w:tr w:rsidR="0060585A" w:rsidRPr="00321D31" w:rsidTr="000C50E8">
              <w:trPr>
                <w:trHeight w:val="216"/>
              </w:trPr>
              <w:tc>
                <w:tcPr>
                  <w:tcW w:w="455"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HR</w:t>
                  </w:r>
                </w:p>
              </w:tc>
              <w:tc>
                <w:tcPr>
                  <w:tcW w:w="572"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767"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p>
              </w:tc>
              <w:tc>
                <w:tcPr>
                  <w:tcW w:w="962"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884"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p>
              </w:tc>
              <w:tc>
                <w:tcPr>
                  <w:tcW w:w="680"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p>
              </w:tc>
              <w:tc>
                <w:tcPr>
                  <w:tcW w:w="681"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p>
              </w:tc>
            </w:tr>
            <w:tr w:rsidR="0060585A" w:rsidRPr="00321D31" w:rsidTr="000C50E8">
              <w:trPr>
                <w:trHeight w:val="216"/>
              </w:trPr>
              <w:tc>
                <w:tcPr>
                  <w:tcW w:w="455"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HU</w:t>
                  </w:r>
                </w:p>
              </w:tc>
              <w:tc>
                <w:tcPr>
                  <w:tcW w:w="572"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767"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962"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884"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680"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p>
              </w:tc>
              <w:tc>
                <w:tcPr>
                  <w:tcW w:w="681"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p>
              </w:tc>
            </w:tr>
            <w:tr w:rsidR="0060585A" w:rsidRPr="00321D31" w:rsidTr="000C50E8">
              <w:trPr>
                <w:trHeight w:val="216"/>
              </w:trPr>
              <w:tc>
                <w:tcPr>
                  <w:tcW w:w="455"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LV</w:t>
                  </w:r>
                </w:p>
              </w:tc>
              <w:tc>
                <w:tcPr>
                  <w:tcW w:w="572"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767"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962"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884"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p>
              </w:tc>
              <w:tc>
                <w:tcPr>
                  <w:tcW w:w="680"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p>
              </w:tc>
              <w:tc>
                <w:tcPr>
                  <w:tcW w:w="681"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r>
            <w:tr w:rsidR="0060585A" w:rsidRPr="00321D31" w:rsidTr="000C50E8">
              <w:trPr>
                <w:trHeight w:val="216"/>
              </w:trPr>
              <w:tc>
                <w:tcPr>
                  <w:tcW w:w="455"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LT</w:t>
                  </w:r>
                </w:p>
              </w:tc>
              <w:tc>
                <w:tcPr>
                  <w:tcW w:w="572"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767"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p>
              </w:tc>
              <w:tc>
                <w:tcPr>
                  <w:tcW w:w="962"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884"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p>
              </w:tc>
              <w:tc>
                <w:tcPr>
                  <w:tcW w:w="680"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681"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r>
            <w:tr w:rsidR="0060585A" w:rsidRPr="00321D31" w:rsidTr="000C50E8">
              <w:trPr>
                <w:trHeight w:val="216"/>
              </w:trPr>
              <w:tc>
                <w:tcPr>
                  <w:tcW w:w="455"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PL</w:t>
                  </w:r>
                </w:p>
              </w:tc>
              <w:tc>
                <w:tcPr>
                  <w:tcW w:w="572"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767"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962"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884"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p>
              </w:tc>
              <w:tc>
                <w:tcPr>
                  <w:tcW w:w="680"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p>
              </w:tc>
              <w:tc>
                <w:tcPr>
                  <w:tcW w:w="681"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p>
              </w:tc>
            </w:tr>
            <w:tr w:rsidR="0060585A" w:rsidRPr="00321D31" w:rsidTr="000C50E8">
              <w:trPr>
                <w:trHeight w:val="216"/>
              </w:trPr>
              <w:tc>
                <w:tcPr>
                  <w:tcW w:w="455"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RO</w:t>
                  </w:r>
                </w:p>
              </w:tc>
              <w:tc>
                <w:tcPr>
                  <w:tcW w:w="572"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767"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p>
              </w:tc>
              <w:tc>
                <w:tcPr>
                  <w:tcW w:w="962"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884"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680"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681"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p>
              </w:tc>
            </w:tr>
            <w:tr w:rsidR="0060585A" w:rsidRPr="00321D31" w:rsidTr="000C50E8">
              <w:trPr>
                <w:trHeight w:val="216"/>
              </w:trPr>
              <w:tc>
                <w:tcPr>
                  <w:tcW w:w="455"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SK</w:t>
                  </w:r>
                </w:p>
              </w:tc>
              <w:tc>
                <w:tcPr>
                  <w:tcW w:w="572"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767"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p>
              </w:tc>
              <w:tc>
                <w:tcPr>
                  <w:tcW w:w="962"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p>
              </w:tc>
              <w:tc>
                <w:tcPr>
                  <w:tcW w:w="884"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680"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681"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p>
              </w:tc>
            </w:tr>
            <w:tr w:rsidR="0060585A" w:rsidRPr="00321D31" w:rsidTr="000C50E8">
              <w:trPr>
                <w:trHeight w:val="216"/>
              </w:trPr>
              <w:tc>
                <w:tcPr>
                  <w:tcW w:w="455"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SI</w:t>
                  </w:r>
                </w:p>
              </w:tc>
              <w:tc>
                <w:tcPr>
                  <w:tcW w:w="572"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767"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p>
              </w:tc>
              <w:tc>
                <w:tcPr>
                  <w:tcW w:w="962"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884"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p>
              </w:tc>
              <w:tc>
                <w:tcPr>
                  <w:tcW w:w="680" w:type="pct"/>
                  <w:tcBorders>
                    <w:top w:val="single" w:sz="4" w:space="0" w:color="000000"/>
                    <w:left w:val="single" w:sz="4" w:space="0" w:color="000000"/>
                    <w:bottom w:val="single" w:sz="4" w:space="0" w:color="000000"/>
                    <w:right w:val="single" w:sz="4" w:space="0" w:color="000000"/>
                  </w:tcBorders>
                  <w:noWrap/>
                </w:tcPr>
                <w:p w:rsidR="0060585A" w:rsidRPr="00321D31" w:rsidRDefault="0060585A" w:rsidP="00321D31">
                  <w:pPr>
                    <w:keepNext/>
                    <w:keepLines/>
                    <w:spacing w:line="276" w:lineRule="auto"/>
                    <w:jc w:val="center"/>
                    <w:rPr>
                      <w:color w:val="000000"/>
                      <w:sz w:val="14"/>
                      <w:szCs w:val="14"/>
                    </w:rPr>
                  </w:pPr>
                  <w:r w:rsidRPr="00321D31">
                    <w:rPr>
                      <w:color w:val="000000"/>
                      <w:sz w:val="14"/>
                      <w:szCs w:val="14"/>
                    </w:rPr>
                    <w:t>X</w:t>
                  </w:r>
                </w:p>
              </w:tc>
              <w:tc>
                <w:tcPr>
                  <w:tcW w:w="681" w:type="pct"/>
                  <w:tcBorders>
                    <w:top w:val="single" w:sz="4" w:space="0" w:color="000000"/>
                    <w:left w:val="single" w:sz="4" w:space="0" w:color="000000"/>
                    <w:bottom w:val="single" w:sz="4" w:space="0" w:color="000000"/>
                    <w:right w:val="single" w:sz="4" w:space="0" w:color="000000"/>
                  </w:tcBorders>
                </w:tcPr>
                <w:p w:rsidR="0060585A" w:rsidRPr="00321D31" w:rsidRDefault="0060585A" w:rsidP="00321D31">
                  <w:pPr>
                    <w:keepNext/>
                    <w:keepLines/>
                    <w:spacing w:line="276" w:lineRule="auto"/>
                    <w:jc w:val="center"/>
                    <w:rPr>
                      <w:color w:val="000000"/>
                      <w:sz w:val="14"/>
                      <w:szCs w:val="14"/>
                    </w:rPr>
                  </w:pPr>
                </w:p>
              </w:tc>
            </w:tr>
          </w:tbl>
          <w:p w:rsidR="0060585A" w:rsidRPr="00321D31" w:rsidRDefault="0060585A" w:rsidP="00321D31">
            <w:pPr>
              <w:keepNext/>
              <w:keepLines/>
              <w:spacing w:line="276" w:lineRule="auto"/>
              <w:jc w:val="center"/>
              <w:rPr>
                <w:b/>
              </w:rPr>
            </w:pPr>
          </w:p>
        </w:tc>
      </w:tr>
      <w:tr w:rsidR="0060585A" w:rsidRPr="00321D31" w:rsidTr="000C50E8">
        <w:tc>
          <w:tcPr>
            <w:tcW w:w="9139" w:type="dxa"/>
          </w:tcPr>
          <w:p w:rsidR="0060585A" w:rsidRPr="00321D31" w:rsidRDefault="0060585A" w:rsidP="00321D31">
            <w:pPr>
              <w:keepNext/>
              <w:keepLines/>
              <w:spacing w:before="60" w:after="40" w:line="276" w:lineRule="auto"/>
              <w:outlineLvl w:val="1"/>
              <w:rPr>
                <w:sz w:val="18"/>
                <w:szCs w:val="18"/>
              </w:rPr>
            </w:pPr>
            <w:r w:rsidRPr="00321D31">
              <w:rPr>
                <w:i/>
                <w:sz w:val="18"/>
                <w:szCs w:val="18"/>
              </w:rPr>
              <w:t xml:space="preserve">Source: </w:t>
            </w:r>
            <w:r w:rsidRPr="00321D31">
              <w:rPr>
                <w:sz w:val="18"/>
                <w:szCs w:val="18"/>
              </w:rPr>
              <w:t>European Commission, World Bank staff.</w:t>
            </w:r>
          </w:p>
          <w:p w:rsidR="0060585A" w:rsidRPr="00321D31" w:rsidRDefault="0060585A" w:rsidP="00321D31">
            <w:pPr>
              <w:keepNext/>
              <w:keepLines/>
              <w:spacing w:before="60" w:after="40" w:line="276" w:lineRule="auto"/>
              <w:rPr>
                <w:i/>
                <w:sz w:val="18"/>
                <w:szCs w:val="18"/>
              </w:rPr>
            </w:pPr>
            <w:r w:rsidRPr="00321D31">
              <w:rPr>
                <w:i/>
                <w:sz w:val="18"/>
                <w:szCs w:val="18"/>
              </w:rPr>
              <w:t xml:space="preserve">Note: </w:t>
            </w:r>
            <w:r w:rsidRPr="00321D31">
              <w:rPr>
                <w:sz w:val="18"/>
                <w:szCs w:val="18"/>
              </w:rPr>
              <w:t>This summary table is based on detailed recommendations by the European Council accessible at: http://ec.europa.eu/europe2020/making-it-happen/country-specific-recommendations/index_en.htm</w:t>
            </w:r>
          </w:p>
        </w:tc>
      </w:tr>
    </w:tbl>
    <w:p w:rsidR="0060585A" w:rsidRDefault="0060585A" w:rsidP="00E41045">
      <w:pPr>
        <w:spacing w:line="276" w:lineRule="auto"/>
        <w:ind w:left="360"/>
        <w:rPr>
          <w:b/>
        </w:rPr>
      </w:pPr>
    </w:p>
    <w:p w:rsidR="0060585A" w:rsidRPr="00014AB2" w:rsidRDefault="0060585A" w:rsidP="00E41045">
      <w:pPr>
        <w:spacing w:line="276" w:lineRule="auto"/>
        <w:ind w:left="360"/>
      </w:pPr>
      <w:r>
        <w:rPr>
          <w:b/>
        </w:rPr>
        <w:t>S</w:t>
      </w:r>
      <w:r w:rsidRPr="006E1F48">
        <w:rPr>
          <w:b/>
        </w:rPr>
        <w:t xml:space="preserve">tructural issues </w:t>
      </w:r>
      <w:r>
        <w:rPr>
          <w:b/>
        </w:rPr>
        <w:t xml:space="preserve">must be tackled </w:t>
      </w:r>
      <w:r w:rsidRPr="006E1F48">
        <w:rPr>
          <w:b/>
        </w:rPr>
        <w:t>to increas</w:t>
      </w:r>
      <w:r>
        <w:rPr>
          <w:b/>
        </w:rPr>
        <w:t>e</w:t>
      </w:r>
      <w:r w:rsidRPr="006E1F48">
        <w:rPr>
          <w:b/>
        </w:rPr>
        <w:t xml:space="preserve"> medium</w:t>
      </w:r>
      <w:r>
        <w:rPr>
          <w:b/>
        </w:rPr>
        <w:t>-</w:t>
      </w:r>
      <w:r w:rsidRPr="006E1F48">
        <w:rPr>
          <w:b/>
        </w:rPr>
        <w:t xml:space="preserve">term economic gains </w:t>
      </w:r>
      <w:r>
        <w:rPr>
          <w:b/>
        </w:rPr>
        <w:t xml:space="preserve">in </w:t>
      </w:r>
      <w:r w:rsidRPr="006E1F48">
        <w:rPr>
          <w:b/>
        </w:rPr>
        <w:t>EU11 countries</w:t>
      </w:r>
      <w:r>
        <w:rPr>
          <w:b/>
        </w:rPr>
        <w:t xml:space="preserve"> and restart the process of income convergence with the rest of Europe</w:t>
      </w:r>
      <w:r w:rsidRPr="006E1F48">
        <w:rPr>
          <w:b/>
        </w:rPr>
        <w:t>.</w:t>
      </w:r>
      <w:r>
        <w:t xml:space="preserve"> While short-term macroeconomic imbalances </w:t>
      </w:r>
      <w:r w:rsidRPr="006E1F48">
        <w:t xml:space="preserve">will </w:t>
      </w:r>
      <w:r>
        <w:t xml:space="preserve">need to be addressed at once, removing over time the structural obstacles to growth in product and labor markets will make it possible for EU11 countries to raise their productivity and employment rates. </w:t>
      </w:r>
      <w:r w:rsidRPr="00014AB2">
        <w:t>In the next several decades the labor force is expected to contract significantly more in the EU11than in the rest of the EU. These demographic trends will inevitably jeopardize the sustainability of public finances, and ultimately the prospects for growth and income convergence. Providing incentives for labor mobility, making public finances more sustainable, encouraging the private sector to develop and create jobs, adapting social security systems to demographic developments, harmonizing regulation across borders, deepening trade and financial integration, and encouraging discovery and innovation will be top reform areas for the EU11</w:t>
      </w:r>
      <w:r w:rsidRPr="003E0EC9">
        <w:t xml:space="preserve">. </w:t>
      </w:r>
      <w:r w:rsidRPr="00014AB2">
        <w:t>In many of these areas, closing EU11 gaps with the rest of the EU will soften the constraints imposed by demographic threats and produce sizable returns in terms of income convergence. These issues are discussed in detail in the special topic note of this report.</w:t>
      </w:r>
    </w:p>
    <w:p w:rsidR="0060585A" w:rsidRDefault="0060585A" w:rsidP="00014AB2">
      <w:pPr>
        <w:spacing w:line="276" w:lineRule="auto"/>
        <w:ind w:left="360"/>
      </w:pPr>
    </w:p>
    <w:p w:rsidR="0060585A" w:rsidRPr="00EE5C71" w:rsidRDefault="0060585A" w:rsidP="00E41045">
      <w:pPr>
        <w:spacing w:line="276" w:lineRule="auto"/>
      </w:pPr>
    </w:p>
    <w:p w:rsidR="0060585A" w:rsidRDefault="0060585A">
      <w:pPr>
        <w:spacing w:after="200" w:line="276" w:lineRule="auto"/>
        <w:jc w:val="left"/>
        <w:rPr>
          <w:rFonts w:ascii="ITCFranklinGothic LT Com MdCn" w:hAnsi="ITCFranklinGothic LT Com MdCn"/>
          <w:color w:val="005BAB"/>
          <w:sz w:val="48"/>
          <w:szCs w:val="22"/>
        </w:rPr>
      </w:pPr>
      <w:r>
        <w:br w:type="page"/>
      </w:r>
    </w:p>
    <w:p w:rsidR="0060585A" w:rsidRDefault="0060585A" w:rsidP="00D40FDC">
      <w:pPr>
        <w:pStyle w:val="ChapterTitle"/>
      </w:pPr>
      <w:bookmarkStart w:id="61" w:name="_Toc328295594"/>
      <w:r w:rsidRPr="007A22B8">
        <w:lastRenderedPageBreak/>
        <w:t>Annex 1</w:t>
      </w:r>
      <w:bookmarkEnd w:id="61"/>
    </w:p>
    <w:p w:rsidR="0060585A" w:rsidRDefault="0060585A" w:rsidP="007C638E">
      <w:pPr>
        <w:pStyle w:val="IntenseQuote"/>
      </w:pPr>
      <w:r w:rsidRPr="00902D0C">
        <w:t>Croatia: The 28th EU Member State</w:t>
      </w:r>
    </w:p>
    <w:p w:rsidR="0060585A" w:rsidRPr="00902D0C" w:rsidRDefault="0060585A" w:rsidP="007B4797"/>
    <w:p w:rsidR="0060585A" w:rsidRDefault="0060585A" w:rsidP="007B4797">
      <w:pPr>
        <w:spacing w:line="276" w:lineRule="auto"/>
      </w:pPr>
      <w:r w:rsidRPr="00365DAD">
        <w:t xml:space="preserve">As of July 1, 2013, with </w:t>
      </w:r>
      <w:r w:rsidRPr="00D93C2D">
        <w:t xml:space="preserve">the Treaty of Accession </w:t>
      </w:r>
      <w:r>
        <w:t xml:space="preserve">having been ratified </w:t>
      </w:r>
      <w:r w:rsidRPr="00D93C2D">
        <w:t xml:space="preserve">by the parliaments of </w:t>
      </w:r>
      <w:r>
        <w:t xml:space="preserve">all </w:t>
      </w:r>
      <w:r w:rsidRPr="00D93C2D">
        <w:t>EU member states</w:t>
      </w:r>
      <w:r>
        <w:t xml:space="preserve">, </w:t>
      </w:r>
      <w:r w:rsidRPr="00365DAD">
        <w:t>Croatia will join the European Union</w:t>
      </w:r>
      <w:r w:rsidRPr="00D93C2D">
        <w:t xml:space="preserve">. Due to the </w:t>
      </w:r>
      <w:r>
        <w:t xml:space="preserve">post-independence conflict </w:t>
      </w:r>
      <w:r w:rsidRPr="00D93C2D">
        <w:t xml:space="preserve">Croatia experienced in </w:t>
      </w:r>
      <w:r>
        <w:t xml:space="preserve">the </w:t>
      </w:r>
      <w:r w:rsidRPr="00D93C2D">
        <w:t>early 1990s and its political, institutional</w:t>
      </w:r>
      <w:r>
        <w:t>,</w:t>
      </w:r>
      <w:r w:rsidRPr="00D93C2D">
        <w:t xml:space="preserve"> and economic consequences in </w:t>
      </w:r>
      <w:r>
        <w:t xml:space="preserve">ensuing </w:t>
      </w:r>
      <w:r w:rsidRPr="00D93C2D">
        <w:t xml:space="preserve">years, </w:t>
      </w:r>
      <w:r>
        <w:t xml:space="preserve">the </w:t>
      </w:r>
      <w:r w:rsidRPr="00D93C2D">
        <w:t>country lagged behind other Central and Eastern European (CEE) countries in its relationship with the EU. The Stabilization and Association Agreement was signed in 2001</w:t>
      </w:r>
      <w:r>
        <w:t xml:space="preserve">; in 2003 </w:t>
      </w:r>
      <w:r w:rsidRPr="00D93C2D">
        <w:t>Croatia applied for EU membership</w:t>
      </w:r>
      <w:r>
        <w:t>; and i</w:t>
      </w:r>
      <w:r w:rsidRPr="002572DA">
        <w:t xml:space="preserve">n June 2004 the European Council </w:t>
      </w:r>
      <w:r>
        <w:t xml:space="preserve">accepted </w:t>
      </w:r>
      <w:r w:rsidRPr="002572DA">
        <w:t xml:space="preserve">Croatia </w:t>
      </w:r>
      <w:r>
        <w:t xml:space="preserve">as </w:t>
      </w:r>
      <w:r w:rsidRPr="002572DA">
        <w:t xml:space="preserve">a candidate </w:t>
      </w:r>
      <w:r>
        <w:t xml:space="preserve">for EU </w:t>
      </w:r>
      <w:r w:rsidRPr="002572DA">
        <w:t xml:space="preserve">membership. Accession negotiations began in October 2005 </w:t>
      </w:r>
      <w:r>
        <w:t xml:space="preserve">after </w:t>
      </w:r>
      <w:r w:rsidRPr="002572DA">
        <w:t>a finding that the country was cooperatin</w:t>
      </w:r>
      <w:r>
        <w:t>g</w:t>
      </w:r>
      <w:r w:rsidRPr="002572DA">
        <w:t xml:space="preserve"> </w:t>
      </w:r>
      <w:r>
        <w:t xml:space="preserve">fully </w:t>
      </w:r>
      <w:r w:rsidRPr="002572DA">
        <w:t>with the International Criminal Tribunal for the former Yugoslavia.</w:t>
      </w:r>
      <w:r w:rsidRPr="00D93C2D">
        <w:t xml:space="preserve"> </w:t>
      </w:r>
    </w:p>
    <w:p w:rsidR="0060585A" w:rsidRPr="00D93C2D" w:rsidRDefault="0060585A" w:rsidP="007B4797">
      <w:pPr>
        <w:spacing w:line="276" w:lineRule="auto"/>
      </w:pPr>
    </w:p>
    <w:p w:rsidR="0060585A" w:rsidRDefault="0060585A" w:rsidP="007B4797">
      <w:pPr>
        <w:spacing w:line="276" w:lineRule="auto"/>
      </w:pPr>
      <w:r>
        <w:t>Since 2007 t</w:t>
      </w:r>
      <w:r w:rsidRPr="0083407E">
        <w:t>he EU accession process has grown increasingly complex</w:t>
      </w:r>
      <w:r>
        <w:t xml:space="preserve">; it is </w:t>
      </w:r>
      <w:r w:rsidRPr="0083407E">
        <w:t xml:space="preserve">not fully comparable to </w:t>
      </w:r>
      <w:r>
        <w:t xml:space="preserve">the process </w:t>
      </w:r>
      <w:r w:rsidRPr="0083407E">
        <w:t>earlier member</w:t>
      </w:r>
      <w:r>
        <w:t>s</w:t>
      </w:r>
      <w:r w:rsidRPr="0083407E">
        <w:t xml:space="preserve"> </w:t>
      </w:r>
      <w:r>
        <w:t>went through</w:t>
      </w:r>
      <w:r w:rsidRPr="0083407E">
        <w:t>.</w:t>
      </w:r>
      <w:r w:rsidRPr="00D93C2D">
        <w:t xml:space="preserve"> </w:t>
      </w:r>
      <w:r>
        <w:t xml:space="preserve">The EU </w:t>
      </w:r>
      <w:r w:rsidRPr="0083407E">
        <w:rPr>
          <w:i/>
        </w:rPr>
        <w:t>acquis communaitaire</w:t>
      </w:r>
      <w:r>
        <w:t xml:space="preserve"> has been expanded to 35 chapters, of which 33 were subject to negotiation. The new Chapter 23 on Judiciary and Fundamental Rights has become the most critical chapter, and the negotiations process introduced opening and closing benchmarks for Croatia that earlier candidates were not confronted with. A</w:t>
      </w:r>
      <w:r w:rsidRPr="00D93C2D">
        <w:t xml:space="preserve">t the end of the negotiating process, Croatia demonstrated its ability to translate each of the 35 chapters of the EU </w:t>
      </w:r>
      <w:r w:rsidRPr="00D93C2D">
        <w:rPr>
          <w:i/>
        </w:rPr>
        <w:t>acquis</w:t>
      </w:r>
      <w:r w:rsidRPr="00D93C2D">
        <w:t xml:space="preserve"> into national law. Finally, </w:t>
      </w:r>
      <w:r>
        <w:t xml:space="preserve">on December 9, 2011, </w:t>
      </w:r>
      <w:r w:rsidRPr="00D93C2D">
        <w:t>the Treaty of Accession was signed</w:t>
      </w:r>
      <w:r>
        <w:t xml:space="preserve">; </w:t>
      </w:r>
      <w:r w:rsidRPr="00D93C2D">
        <w:t xml:space="preserve">Croatia must continue </w:t>
      </w:r>
      <w:r>
        <w:t>to respect</w:t>
      </w:r>
      <w:r w:rsidRPr="00D93C2D">
        <w:t xml:space="preserve"> </w:t>
      </w:r>
      <w:r>
        <w:t xml:space="preserve">the </w:t>
      </w:r>
      <w:r w:rsidRPr="00D93C2D">
        <w:t xml:space="preserve">obligations </w:t>
      </w:r>
      <w:r>
        <w:t xml:space="preserve">it </w:t>
      </w:r>
      <w:r w:rsidRPr="00D93C2D">
        <w:t xml:space="preserve">accepted </w:t>
      </w:r>
      <w:r>
        <w:t xml:space="preserve">in the treaty, and the European Commission is </w:t>
      </w:r>
      <w:r w:rsidRPr="00D93C2D">
        <w:t>monitor</w:t>
      </w:r>
      <w:r>
        <w:t>ing fulfillment</w:t>
      </w:r>
      <w:r w:rsidRPr="00D93C2D">
        <w:t>.</w:t>
      </w:r>
    </w:p>
    <w:p w:rsidR="0060585A" w:rsidRPr="00D93C2D" w:rsidRDefault="0060585A" w:rsidP="007B4797">
      <w:pPr>
        <w:spacing w:line="276" w:lineRule="auto"/>
      </w:pPr>
    </w:p>
    <w:p w:rsidR="0060585A" w:rsidRDefault="0060585A" w:rsidP="000C50E8">
      <w:pPr>
        <w:spacing w:line="276" w:lineRule="auto"/>
      </w:pPr>
      <w:r w:rsidRPr="00D93C2D">
        <w:t xml:space="preserve">The prospects of joining the EU </w:t>
      </w:r>
      <w:r>
        <w:t>and the legal harmonization process have significantly transformed Croatia</w:t>
      </w:r>
      <w:r w:rsidRPr="00D93C2D">
        <w:t xml:space="preserve">. </w:t>
      </w:r>
      <w:r>
        <w:t>It has been</w:t>
      </w:r>
      <w:r w:rsidRPr="00E46369">
        <w:t xml:space="preserve"> steadily converging </w:t>
      </w:r>
      <w:r>
        <w:t xml:space="preserve">with the EU </w:t>
      </w:r>
      <w:r w:rsidRPr="00E46369">
        <w:t>in income, competitiveness and living standards</w:t>
      </w:r>
      <w:r>
        <w:t>, and in the years before the crisis e</w:t>
      </w:r>
      <w:r w:rsidRPr="00D93C2D">
        <w:t xml:space="preserve">conomic growth </w:t>
      </w:r>
      <w:r>
        <w:t>w</w:t>
      </w:r>
      <w:r w:rsidRPr="00D93C2D">
        <w:t>as robust</w:t>
      </w:r>
      <w:r>
        <w:t>,</w:t>
      </w:r>
      <w:r w:rsidRPr="00D93C2D">
        <w:t xml:space="preserve"> </w:t>
      </w:r>
      <w:r>
        <w:t xml:space="preserve">averaging above 4 percent, thanks to </w:t>
      </w:r>
      <w:r w:rsidRPr="00D93C2D">
        <w:t xml:space="preserve">expansion of credit and mounting foreign capital inflows. </w:t>
      </w:r>
      <w:r w:rsidRPr="008220DD">
        <w:t xml:space="preserve">By 2010 </w:t>
      </w:r>
      <w:r w:rsidRPr="00384460">
        <w:t xml:space="preserve">the country’s GDP per capita </w:t>
      </w:r>
      <w:r>
        <w:t>(</w:t>
      </w:r>
      <w:r w:rsidR="00185C05">
        <w:fldChar w:fldCharType="begin"/>
      </w:r>
      <w:r>
        <w:instrText xml:space="preserve"> REF _Ref313898511 \h </w:instrText>
      </w:r>
      <w:r w:rsidR="00185C05">
        <w:fldChar w:fldCharType="separate"/>
      </w:r>
      <w:r w:rsidRPr="00CE56D4">
        <w:t xml:space="preserve">Figure </w:t>
      </w:r>
      <w:r>
        <w:rPr>
          <w:noProof/>
        </w:rPr>
        <w:t>56</w:t>
      </w:r>
      <w:r w:rsidR="00185C05">
        <w:fldChar w:fldCharType="end"/>
      </w:r>
      <w:r>
        <w:t xml:space="preserve">) had doubled over the decade, while </w:t>
      </w:r>
      <w:r w:rsidRPr="00D93C2D">
        <w:t>on a</w:t>
      </w:r>
      <w:r>
        <w:t xml:space="preserve"> purchasing power standard (</w:t>
      </w:r>
      <w:r w:rsidRPr="00D93C2D">
        <w:t>PPS</w:t>
      </w:r>
      <w:r>
        <w:t>)</w:t>
      </w:r>
      <w:r w:rsidRPr="00D93C2D">
        <w:t xml:space="preserve"> basi</w:t>
      </w:r>
      <w:r>
        <w:t>s it stood at</w:t>
      </w:r>
      <w:r w:rsidRPr="00D93C2D">
        <w:t xml:space="preserve"> 61 </w:t>
      </w:r>
      <w:r>
        <w:t xml:space="preserve">percent of the EU average </w:t>
      </w:r>
      <w:r w:rsidRPr="00D93C2D">
        <w:t>and 97 percent of the EU</w:t>
      </w:r>
      <w:r>
        <w:t xml:space="preserve"> new member states (EU10) average (</w:t>
      </w:r>
      <w:r w:rsidR="00185C05">
        <w:fldChar w:fldCharType="begin"/>
      </w:r>
      <w:r>
        <w:instrText xml:space="preserve"> REF _Ref328129763 \h </w:instrText>
      </w:r>
      <w:r w:rsidR="00185C05">
        <w:fldChar w:fldCharType="separate"/>
      </w:r>
      <w:r w:rsidRPr="00CE56D4">
        <w:t xml:space="preserve">Figure </w:t>
      </w:r>
      <w:r>
        <w:rPr>
          <w:noProof/>
        </w:rPr>
        <w:t>57</w:t>
      </w:r>
      <w:r w:rsidR="00185C05">
        <w:fldChar w:fldCharType="end"/>
      </w:r>
      <w:r>
        <w:t>), despite the fact that convergence stopped since the crisis outbreak</w:t>
      </w:r>
      <w:r w:rsidRPr="00D93C2D">
        <w:t xml:space="preserve">. Closing the income gap and facilitating convergence with other EU countries is, </w:t>
      </w:r>
      <w:r>
        <w:t xml:space="preserve">as it </w:t>
      </w:r>
      <w:r w:rsidRPr="00D93C2D">
        <w:t>has been for some years, an overriding priority for Croatia.</w:t>
      </w:r>
    </w:p>
    <w:p w:rsidR="00563952" w:rsidRDefault="00563952" w:rsidP="000C50E8">
      <w:pPr>
        <w:spacing w:line="276" w:lineRule="auto"/>
      </w:pPr>
    </w:p>
    <w:p w:rsidR="00563952" w:rsidRPr="000C50E8" w:rsidRDefault="00563952" w:rsidP="000C50E8">
      <w:pPr>
        <w:spacing w:line="276" w:lineRule="auto"/>
        <w:rPr>
          <w:bCs/>
        </w:rPr>
      </w:pPr>
    </w:p>
    <w:tbl>
      <w:tblPr>
        <w:tblpPr w:leftFromText="180" w:rightFromText="180" w:vertAnchor="text" w:horzAnchor="margin" w:tblpY="17"/>
        <w:tblW w:w="9741" w:type="dxa"/>
        <w:tblLook w:val="00A0"/>
      </w:tblPr>
      <w:tblGrid>
        <w:gridCol w:w="4896"/>
        <w:gridCol w:w="4845"/>
      </w:tblGrid>
      <w:tr w:rsidR="0060585A" w:rsidRPr="00321D31" w:rsidTr="004C7C14">
        <w:tc>
          <w:tcPr>
            <w:tcW w:w="4896" w:type="dxa"/>
          </w:tcPr>
          <w:p w:rsidR="0060585A" w:rsidRPr="00321D31" w:rsidRDefault="0060585A" w:rsidP="004D31F4">
            <w:pPr>
              <w:pStyle w:val="Caption"/>
              <w:keepNext/>
              <w:keepLines/>
              <w:spacing w:before="60" w:after="60" w:line="276" w:lineRule="auto"/>
              <w:jc w:val="left"/>
              <w:rPr>
                <w:sz w:val="24"/>
                <w:szCs w:val="24"/>
              </w:rPr>
            </w:pPr>
            <w:bookmarkStart w:id="62" w:name="_Ref313898511"/>
            <w:r w:rsidRPr="00321D31">
              <w:rPr>
                <w:sz w:val="24"/>
                <w:szCs w:val="24"/>
              </w:rPr>
              <w:lastRenderedPageBreak/>
              <w:t xml:space="preserve">Figure </w:t>
            </w:r>
            <w:r w:rsidR="00185C05" w:rsidRPr="00321D31">
              <w:rPr>
                <w:sz w:val="24"/>
                <w:szCs w:val="24"/>
              </w:rPr>
              <w:fldChar w:fldCharType="begin"/>
            </w:r>
            <w:r w:rsidRPr="00321D31">
              <w:rPr>
                <w:sz w:val="24"/>
                <w:szCs w:val="24"/>
              </w:rPr>
              <w:instrText xml:space="preserve"> SEQ Figure \* ARABIC </w:instrText>
            </w:r>
            <w:r w:rsidR="00185C05" w:rsidRPr="00321D31">
              <w:rPr>
                <w:sz w:val="24"/>
                <w:szCs w:val="24"/>
              </w:rPr>
              <w:fldChar w:fldCharType="separate"/>
            </w:r>
            <w:r w:rsidRPr="00321D31">
              <w:rPr>
                <w:noProof/>
                <w:sz w:val="24"/>
                <w:szCs w:val="24"/>
              </w:rPr>
              <w:t>56</w:t>
            </w:r>
            <w:r w:rsidR="00185C05" w:rsidRPr="00321D31">
              <w:rPr>
                <w:sz w:val="24"/>
                <w:szCs w:val="24"/>
              </w:rPr>
              <w:fldChar w:fldCharType="end"/>
            </w:r>
            <w:bookmarkEnd w:id="62"/>
            <w:r w:rsidRPr="00321D31">
              <w:rPr>
                <w:sz w:val="24"/>
                <w:szCs w:val="24"/>
              </w:rPr>
              <w:t>. GDP per Capita, 2011 versus 2000</w:t>
            </w:r>
          </w:p>
        </w:tc>
        <w:tc>
          <w:tcPr>
            <w:tcW w:w="4845" w:type="dxa"/>
          </w:tcPr>
          <w:p w:rsidR="0060585A" w:rsidRPr="00321D31" w:rsidRDefault="0060585A" w:rsidP="004D31F4">
            <w:pPr>
              <w:pStyle w:val="Caption"/>
              <w:keepNext/>
              <w:keepLines/>
              <w:spacing w:before="60" w:after="60" w:line="276" w:lineRule="auto"/>
              <w:jc w:val="left"/>
              <w:rPr>
                <w:sz w:val="24"/>
                <w:szCs w:val="24"/>
              </w:rPr>
            </w:pPr>
            <w:bookmarkStart w:id="63" w:name="_Ref328129763"/>
            <w:r w:rsidRPr="00321D31">
              <w:rPr>
                <w:sz w:val="24"/>
                <w:szCs w:val="24"/>
              </w:rPr>
              <w:t xml:space="preserve">Figure </w:t>
            </w:r>
            <w:r w:rsidR="00185C05" w:rsidRPr="00321D31">
              <w:rPr>
                <w:sz w:val="24"/>
                <w:szCs w:val="24"/>
              </w:rPr>
              <w:fldChar w:fldCharType="begin"/>
            </w:r>
            <w:r w:rsidRPr="00321D31">
              <w:rPr>
                <w:sz w:val="24"/>
                <w:szCs w:val="24"/>
              </w:rPr>
              <w:instrText xml:space="preserve"> SEQ Figure \* ARABIC </w:instrText>
            </w:r>
            <w:r w:rsidR="00185C05" w:rsidRPr="00321D31">
              <w:rPr>
                <w:sz w:val="24"/>
                <w:szCs w:val="24"/>
              </w:rPr>
              <w:fldChar w:fldCharType="separate"/>
            </w:r>
            <w:r w:rsidRPr="00321D31">
              <w:rPr>
                <w:noProof/>
                <w:sz w:val="24"/>
                <w:szCs w:val="24"/>
              </w:rPr>
              <w:t>57</w:t>
            </w:r>
            <w:r w:rsidR="00185C05" w:rsidRPr="00321D31">
              <w:rPr>
                <w:sz w:val="24"/>
                <w:szCs w:val="24"/>
              </w:rPr>
              <w:fldChar w:fldCharType="end"/>
            </w:r>
            <w:bookmarkEnd w:id="63"/>
            <w:r w:rsidRPr="00321D31">
              <w:rPr>
                <w:sz w:val="24"/>
                <w:szCs w:val="24"/>
              </w:rPr>
              <w:t>. GDP per Capita in PPS (EU27 = 100)</w:t>
            </w:r>
          </w:p>
        </w:tc>
      </w:tr>
      <w:tr w:rsidR="0060585A" w:rsidRPr="00321D31" w:rsidTr="004C7C14">
        <w:tc>
          <w:tcPr>
            <w:tcW w:w="4896" w:type="dxa"/>
          </w:tcPr>
          <w:p w:rsidR="0060585A" w:rsidRPr="00321D31" w:rsidRDefault="00A1042F" w:rsidP="004C7C14">
            <w:pPr>
              <w:spacing w:line="276" w:lineRule="auto"/>
            </w:pPr>
            <w:r>
              <w:rPr>
                <w:noProof/>
              </w:rPr>
              <w:drawing>
                <wp:inline distT="0" distB="0" distL="0" distR="0">
                  <wp:extent cx="2838450" cy="180975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a:srcRect/>
                          <a:stretch>
                            <a:fillRect/>
                          </a:stretch>
                        </pic:blipFill>
                        <pic:spPr bwMode="auto">
                          <a:xfrm>
                            <a:off x="0" y="0"/>
                            <a:ext cx="2838450" cy="1809750"/>
                          </a:xfrm>
                          <a:prstGeom prst="rect">
                            <a:avLst/>
                          </a:prstGeom>
                          <a:noFill/>
                          <a:ln w="9525">
                            <a:noFill/>
                            <a:miter lim="800000"/>
                            <a:headEnd/>
                            <a:tailEnd/>
                          </a:ln>
                        </pic:spPr>
                      </pic:pic>
                    </a:graphicData>
                  </a:graphic>
                </wp:inline>
              </w:drawing>
            </w:r>
          </w:p>
        </w:tc>
        <w:tc>
          <w:tcPr>
            <w:tcW w:w="4845" w:type="dxa"/>
          </w:tcPr>
          <w:p w:rsidR="0060585A" w:rsidRPr="00321D31" w:rsidRDefault="00A1042F" w:rsidP="004C7C14">
            <w:pPr>
              <w:spacing w:line="276" w:lineRule="auto"/>
            </w:pPr>
            <w:r>
              <w:rPr>
                <w:noProof/>
              </w:rPr>
              <w:drawing>
                <wp:inline distT="0" distB="0" distL="0" distR="0">
                  <wp:extent cx="2876550" cy="194310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a:srcRect/>
                          <a:stretch>
                            <a:fillRect/>
                          </a:stretch>
                        </pic:blipFill>
                        <pic:spPr bwMode="auto">
                          <a:xfrm>
                            <a:off x="0" y="0"/>
                            <a:ext cx="2876550" cy="1943100"/>
                          </a:xfrm>
                          <a:prstGeom prst="rect">
                            <a:avLst/>
                          </a:prstGeom>
                          <a:noFill/>
                          <a:ln w="9525">
                            <a:noFill/>
                            <a:miter lim="800000"/>
                            <a:headEnd/>
                            <a:tailEnd/>
                          </a:ln>
                        </pic:spPr>
                      </pic:pic>
                    </a:graphicData>
                  </a:graphic>
                </wp:inline>
              </w:drawing>
            </w:r>
          </w:p>
        </w:tc>
      </w:tr>
      <w:tr w:rsidR="0060585A" w:rsidRPr="00321D31" w:rsidTr="004C7C14">
        <w:tc>
          <w:tcPr>
            <w:tcW w:w="9741" w:type="dxa"/>
            <w:gridSpan w:val="2"/>
          </w:tcPr>
          <w:p w:rsidR="0060585A" w:rsidRPr="00321D31" w:rsidRDefault="0060585A" w:rsidP="004C7C14">
            <w:pPr>
              <w:spacing w:line="276" w:lineRule="auto"/>
              <w:rPr>
                <w:i/>
                <w:sz w:val="18"/>
              </w:rPr>
            </w:pPr>
            <w:r w:rsidRPr="00321D31">
              <w:rPr>
                <w:i/>
                <w:sz w:val="18"/>
              </w:rPr>
              <w:t xml:space="preserve">Source: </w:t>
            </w:r>
            <w:r w:rsidRPr="00321D31">
              <w:rPr>
                <w:sz w:val="18"/>
              </w:rPr>
              <w:t>Croatian National Bank, Eurostat, CROSTAT, World Bank staff calculations.</w:t>
            </w:r>
          </w:p>
        </w:tc>
      </w:tr>
    </w:tbl>
    <w:p w:rsidR="0060585A" w:rsidRDefault="0060585A" w:rsidP="007B4797">
      <w:pPr>
        <w:spacing w:line="276" w:lineRule="auto"/>
      </w:pPr>
    </w:p>
    <w:tbl>
      <w:tblPr>
        <w:tblpPr w:leftFromText="180" w:rightFromText="180" w:vertAnchor="text" w:horzAnchor="margin" w:tblpXSpec="right" w:tblpY="2001"/>
        <w:tblW w:w="5148" w:type="dxa"/>
        <w:tblLook w:val="00A0"/>
      </w:tblPr>
      <w:tblGrid>
        <w:gridCol w:w="5148"/>
      </w:tblGrid>
      <w:tr w:rsidR="0060585A" w:rsidRPr="00321D31" w:rsidTr="004C7C14">
        <w:tc>
          <w:tcPr>
            <w:tcW w:w="5148" w:type="dxa"/>
          </w:tcPr>
          <w:p w:rsidR="0060585A" w:rsidRPr="00321D31" w:rsidRDefault="0060585A" w:rsidP="004D31F4">
            <w:pPr>
              <w:pStyle w:val="Caption"/>
              <w:keepNext/>
              <w:keepLines/>
              <w:spacing w:before="60" w:after="60" w:line="276" w:lineRule="auto"/>
              <w:jc w:val="left"/>
              <w:rPr>
                <w:color w:val="auto"/>
              </w:rPr>
            </w:pPr>
            <w:r w:rsidRPr="00321D31">
              <w:rPr>
                <w:sz w:val="24"/>
                <w:szCs w:val="24"/>
              </w:rPr>
              <w:t xml:space="preserve">Figure </w:t>
            </w:r>
            <w:r w:rsidR="00185C05" w:rsidRPr="00321D31">
              <w:rPr>
                <w:sz w:val="24"/>
                <w:szCs w:val="24"/>
              </w:rPr>
              <w:fldChar w:fldCharType="begin"/>
            </w:r>
            <w:r w:rsidRPr="00321D31">
              <w:rPr>
                <w:sz w:val="24"/>
                <w:szCs w:val="24"/>
              </w:rPr>
              <w:instrText xml:space="preserve"> SEQ Figure \* ARABIC </w:instrText>
            </w:r>
            <w:r w:rsidR="00185C05" w:rsidRPr="00321D31">
              <w:rPr>
                <w:sz w:val="24"/>
                <w:szCs w:val="24"/>
              </w:rPr>
              <w:fldChar w:fldCharType="separate"/>
            </w:r>
            <w:r w:rsidRPr="00321D31">
              <w:rPr>
                <w:noProof/>
                <w:sz w:val="24"/>
                <w:szCs w:val="24"/>
              </w:rPr>
              <w:t>58</w:t>
            </w:r>
            <w:r w:rsidR="00185C05" w:rsidRPr="00321D31">
              <w:rPr>
                <w:sz w:val="24"/>
                <w:szCs w:val="24"/>
              </w:rPr>
              <w:fldChar w:fldCharType="end"/>
            </w:r>
            <w:r w:rsidRPr="00321D31">
              <w:rPr>
                <w:sz w:val="24"/>
                <w:szCs w:val="24"/>
              </w:rPr>
              <w:t>. Croatia’s Foreign Trade by Region (Percent)</w:t>
            </w:r>
          </w:p>
        </w:tc>
      </w:tr>
      <w:tr w:rsidR="0060585A" w:rsidRPr="00321D31" w:rsidTr="004C7C14">
        <w:tc>
          <w:tcPr>
            <w:tcW w:w="5148" w:type="dxa"/>
          </w:tcPr>
          <w:p w:rsidR="0060585A" w:rsidRPr="00321D31" w:rsidRDefault="00A1042F" w:rsidP="004C7C14">
            <w:pPr>
              <w:spacing w:line="276" w:lineRule="auto"/>
            </w:pPr>
            <w:r>
              <w:rPr>
                <w:noProof/>
              </w:rPr>
              <w:drawing>
                <wp:inline distT="0" distB="0" distL="0" distR="0">
                  <wp:extent cx="2686050" cy="2038350"/>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9"/>
                          <a:srcRect/>
                          <a:stretch>
                            <a:fillRect/>
                          </a:stretch>
                        </pic:blipFill>
                        <pic:spPr bwMode="auto">
                          <a:xfrm>
                            <a:off x="0" y="0"/>
                            <a:ext cx="2686050" cy="2038350"/>
                          </a:xfrm>
                          <a:prstGeom prst="rect">
                            <a:avLst/>
                          </a:prstGeom>
                          <a:noFill/>
                          <a:ln w="9525">
                            <a:noFill/>
                            <a:miter lim="800000"/>
                            <a:headEnd/>
                            <a:tailEnd/>
                          </a:ln>
                        </pic:spPr>
                      </pic:pic>
                    </a:graphicData>
                  </a:graphic>
                </wp:inline>
              </w:drawing>
            </w:r>
          </w:p>
        </w:tc>
      </w:tr>
      <w:tr w:rsidR="0060585A" w:rsidRPr="00321D31" w:rsidTr="004C7C14">
        <w:tc>
          <w:tcPr>
            <w:tcW w:w="5148" w:type="dxa"/>
          </w:tcPr>
          <w:p w:rsidR="0060585A" w:rsidRPr="00321D31" w:rsidRDefault="0060585A" w:rsidP="004C7C14">
            <w:pPr>
              <w:spacing w:line="276" w:lineRule="auto"/>
              <w:rPr>
                <w:i/>
              </w:rPr>
            </w:pPr>
            <w:r w:rsidRPr="00321D31">
              <w:rPr>
                <w:i/>
                <w:sz w:val="18"/>
              </w:rPr>
              <w:t xml:space="preserve">Source: </w:t>
            </w:r>
            <w:r w:rsidRPr="00321D31">
              <w:rPr>
                <w:sz w:val="18"/>
              </w:rPr>
              <w:t xml:space="preserve">CNB, Eurostat, CROSTAT. </w:t>
            </w:r>
          </w:p>
        </w:tc>
      </w:tr>
    </w:tbl>
    <w:p w:rsidR="0060585A" w:rsidRDefault="0060585A" w:rsidP="007B4797">
      <w:pPr>
        <w:spacing w:line="276" w:lineRule="auto"/>
      </w:pPr>
      <w:r>
        <w:t>L</w:t>
      </w:r>
      <w:r w:rsidRPr="00D93C2D">
        <w:t xml:space="preserve">iberalization of trade with the EU has led to integration with the EU single market. Croatia is an open economy with total </w:t>
      </w:r>
      <w:r>
        <w:t>trade</w:t>
      </w:r>
      <w:r w:rsidRPr="00D93C2D">
        <w:t xml:space="preserve"> in goods and services accounting for </w:t>
      </w:r>
      <w:r>
        <w:t>about 90</w:t>
      </w:r>
      <w:r w:rsidRPr="00D93C2D">
        <w:t xml:space="preserve"> percent of GDP in 2011. Apart from exports of machinery and transport equipment (mainly ships)</w:t>
      </w:r>
      <w:r>
        <w:t>,</w:t>
      </w:r>
      <w:r w:rsidRPr="00D93C2D">
        <w:t xml:space="preserve"> tourism </w:t>
      </w:r>
      <w:r>
        <w:t xml:space="preserve">was </w:t>
      </w:r>
      <w:r w:rsidRPr="00D93C2D">
        <w:t xml:space="preserve">the biggest source of export revenue, generating 14.4 percent of GDP. </w:t>
      </w:r>
      <w:r>
        <w:t>The EU</w:t>
      </w:r>
      <w:r w:rsidRPr="00D93C2D">
        <w:t xml:space="preserve">, primarily Germany and Italy, has </w:t>
      </w:r>
      <w:r>
        <w:t xml:space="preserve">long been </w:t>
      </w:r>
      <w:r w:rsidRPr="00D93C2D">
        <w:t xml:space="preserve">Croatia's largest trading partner. </w:t>
      </w:r>
      <w:r>
        <w:t>In 2011, i</w:t>
      </w:r>
      <w:r w:rsidRPr="00D93C2D">
        <w:t xml:space="preserve">ts share in total Croatian exports </w:t>
      </w:r>
      <w:r>
        <w:t xml:space="preserve">was </w:t>
      </w:r>
      <w:r w:rsidRPr="00D93C2D">
        <w:t>relatively stable at 60 percent</w:t>
      </w:r>
      <w:r>
        <w:t>;</w:t>
      </w:r>
      <w:r w:rsidRPr="00D93C2D">
        <w:t xml:space="preserve"> </w:t>
      </w:r>
      <w:r w:rsidRPr="000F0511">
        <w:t>Central European Free Trade Agreement</w:t>
      </w:r>
      <w:r>
        <w:t xml:space="preserve"> (</w:t>
      </w:r>
      <w:r w:rsidRPr="00D93C2D">
        <w:t>CEFTA</w:t>
      </w:r>
      <w:r>
        <w:t>)</w:t>
      </w:r>
      <w:r w:rsidRPr="00D93C2D">
        <w:t xml:space="preserve"> countries accounted for a fifth </w:t>
      </w:r>
      <w:r>
        <w:t>of the exports</w:t>
      </w:r>
      <w:r w:rsidRPr="00D93C2D">
        <w:t xml:space="preserve">, slightly </w:t>
      </w:r>
      <w:r>
        <w:t xml:space="preserve">more than </w:t>
      </w:r>
      <w:r w:rsidRPr="00D93C2D">
        <w:t xml:space="preserve">in 2009. </w:t>
      </w:r>
      <w:r>
        <w:t>The e</w:t>
      </w:r>
      <w:r w:rsidRPr="00D93C2D">
        <w:t>uro area is the source of about three-fourths of FDI flows into the country</w:t>
      </w:r>
      <w:r>
        <w:t>;</w:t>
      </w:r>
      <w:r w:rsidRPr="00D93C2D">
        <w:t xml:space="preserve"> </w:t>
      </w:r>
      <w:r>
        <w:t xml:space="preserve">although that was previously a strength, it may now be a transmission channel for crisis </w:t>
      </w:r>
      <w:r w:rsidRPr="00D93C2D">
        <w:t xml:space="preserve">contagion. </w:t>
      </w:r>
    </w:p>
    <w:p w:rsidR="0060585A" w:rsidRPr="00D93C2D" w:rsidRDefault="0060585A" w:rsidP="007B4797">
      <w:pPr>
        <w:spacing w:line="276" w:lineRule="auto"/>
      </w:pPr>
    </w:p>
    <w:p w:rsidR="0060585A" w:rsidRDefault="0060585A" w:rsidP="007B4797">
      <w:pPr>
        <w:spacing w:line="276" w:lineRule="auto"/>
      </w:pPr>
      <w:r>
        <w:t>However, although important, a</w:t>
      </w:r>
      <w:r w:rsidRPr="006A1AA1">
        <w:t xml:space="preserve">ccession to the </w:t>
      </w:r>
      <w:r>
        <w:t>EU</w:t>
      </w:r>
      <w:r w:rsidRPr="006A1AA1">
        <w:t xml:space="preserve"> </w:t>
      </w:r>
      <w:r>
        <w:t xml:space="preserve">and </w:t>
      </w:r>
      <w:r w:rsidRPr="006A1AA1">
        <w:t xml:space="preserve">adoption of EU standards is not a </w:t>
      </w:r>
      <w:r>
        <w:t xml:space="preserve">guarantee that the </w:t>
      </w:r>
      <w:r w:rsidRPr="006A1AA1">
        <w:t>integration process</w:t>
      </w:r>
      <w:r>
        <w:t xml:space="preserve"> will be sustainable</w:t>
      </w:r>
      <w:r w:rsidRPr="00D93C2D">
        <w:t xml:space="preserve">. </w:t>
      </w:r>
      <w:r>
        <w:t>The global crisis exposed some fundamental economic weaknesses for Croatia. Because capital inflows had dried up, i</w:t>
      </w:r>
      <w:r w:rsidRPr="00D93C2D">
        <w:t xml:space="preserve">nvestment activity </w:t>
      </w:r>
      <w:r>
        <w:t>plunged</w:t>
      </w:r>
      <w:r w:rsidRPr="00D93C2D">
        <w:t>, from 27.1 percent in 2009 to 22.6 percent in 2011</w:t>
      </w:r>
      <w:r>
        <w:t>, leading to negative labor market and fiscal performance</w:t>
      </w:r>
      <w:r w:rsidRPr="00D93C2D">
        <w:t xml:space="preserve">. </w:t>
      </w:r>
      <w:r>
        <w:t xml:space="preserve">The fiscal deficit grew above 5 percent of GDP as revenue severely under-performed while public spending remained rigid; the external debt-to-GDP ratio reached 100 percent, of which 70 percent pertains to private sector. Declining </w:t>
      </w:r>
      <w:r>
        <w:lastRenderedPageBreak/>
        <w:t xml:space="preserve">demand for exports coupled with the limited diversity in Croatia’s exports led to a severe decline in industrial production and forced defensive restructuring. </w:t>
      </w:r>
    </w:p>
    <w:p w:rsidR="0060585A" w:rsidRDefault="0060585A" w:rsidP="007B4797">
      <w:pPr>
        <w:spacing w:line="276" w:lineRule="auto"/>
      </w:pPr>
    </w:p>
    <w:p w:rsidR="0060585A" w:rsidRPr="00D93C2D" w:rsidRDefault="0060585A" w:rsidP="007B4797">
      <w:pPr>
        <w:spacing w:line="276" w:lineRule="auto"/>
        <w:rPr>
          <w:bCs/>
        </w:rPr>
      </w:pPr>
      <w:r>
        <w:rPr>
          <w:bCs/>
        </w:rPr>
        <w:t>P</w:t>
      </w:r>
      <w:r w:rsidRPr="00D93C2D">
        <w:rPr>
          <w:bCs/>
        </w:rPr>
        <w:t xml:space="preserve">ersistent </w:t>
      </w:r>
      <w:r>
        <w:rPr>
          <w:bCs/>
        </w:rPr>
        <w:t xml:space="preserve">major </w:t>
      </w:r>
      <w:r w:rsidRPr="00D93C2D">
        <w:rPr>
          <w:bCs/>
        </w:rPr>
        <w:t xml:space="preserve">rigidities </w:t>
      </w:r>
      <w:r>
        <w:rPr>
          <w:bCs/>
        </w:rPr>
        <w:t xml:space="preserve">threaten the sustainability of </w:t>
      </w:r>
      <w:r w:rsidRPr="00D93C2D">
        <w:rPr>
          <w:bCs/>
        </w:rPr>
        <w:t>growt</w:t>
      </w:r>
      <w:r>
        <w:rPr>
          <w:bCs/>
        </w:rPr>
        <w:t>h</w:t>
      </w:r>
      <w:r w:rsidRPr="00D93C2D">
        <w:rPr>
          <w:bCs/>
        </w:rPr>
        <w:t xml:space="preserve"> and </w:t>
      </w:r>
      <w:r>
        <w:rPr>
          <w:bCs/>
        </w:rPr>
        <w:t xml:space="preserve">extension of </w:t>
      </w:r>
      <w:r w:rsidRPr="00D93C2D">
        <w:rPr>
          <w:bCs/>
        </w:rPr>
        <w:t>its benefits</w:t>
      </w:r>
      <w:r>
        <w:rPr>
          <w:bCs/>
        </w:rPr>
        <w:t xml:space="preserve"> to all citizens</w:t>
      </w:r>
      <w:r w:rsidRPr="00D93C2D">
        <w:rPr>
          <w:bCs/>
        </w:rPr>
        <w:t xml:space="preserve">. </w:t>
      </w:r>
      <w:r w:rsidRPr="008220DD">
        <w:rPr>
          <w:bCs/>
        </w:rPr>
        <w:t xml:space="preserve">Not only is </w:t>
      </w:r>
      <w:r>
        <w:t>t</w:t>
      </w:r>
      <w:r w:rsidRPr="00D93C2D">
        <w:t>he Croatian economy less competitive than its EU10 peers</w:t>
      </w:r>
      <w:r>
        <w:t xml:space="preserve">, </w:t>
      </w:r>
      <w:r w:rsidRPr="00D93C2D">
        <w:t xml:space="preserve">the Global Competitiveness Index suggests that </w:t>
      </w:r>
      <w:r>
        <w:t xml:space="preserve">it </w:t>
      </w:r>
      <w:r w:rsidRPr="00D93C2D">
        <w:t xml:space="preserve">relies </w:t>
      </w:r>
      <w:r>
        <w:t xml:space="preserve">too much </w:t>
      </w:r>
      <w:r w:rsidRPr="00D93C2D">
        <w:t>on resource-efficiency-based growth</w:t>
      </w:r>
      <w:r>
        <w:t>, while</w:t>
      </w:r>
      <w:r w:rsidRPr="00D93C2D">
        <w:t xml:space="preserve"> knowledge-based growth is still in its infancy. The index shows that Croatia is slowly closing its competitiveness gaps with the EU10 and EU15 </w:t>
      </w:r>
      <w:r>
        <w:t>i</w:t>
      </w:r>
      <w:r w:rsidRPr="00D93C2D">
        <w:t xml:space="preserve">n labor, goods, finance, and human capital efficiency, but </w:t>
      </w:r>
      <w:r>
        <w:t xml:space="preserve">huge </w:t>
      </w:r>
      <w:r w:rsidRPr="00D93C2D">
        <w:t xml:space="preserve">gaps </w:t>
      </w:r>
      <w:r>
        <w:t>remain i</w:t>
      </w:r>
      <w:r w:rsidRPr="00D93C2D">
        <w:t>n innovation, technological readiness, institutions, and business sophistication.</w:t>
      </w:r>
    </w:p>
    <w:tbl>
      <w:tblPr>
        <w:tblpPr w:leftFromText="180" w:rightFromText="180" w:vertAnchor="text" w:horzAnchor="margin" w:tblpXSpec="right" w:tblpY="186"/>
        <w:tblW w:w="9588" w:type="dxa"/>
        <w:tblLayout w:type="fixed"/>
        <w:tblLook w:val="00A0"/>
      </w:tblPr>
      <w:tblGrid>
        <w:gridCol w:w="4860"/>
        <w:gridCol w:w="4728"/>
      </w:tblGrid>
      <w:tr w:rsidR="0060585A" w:rsidRPr="00321D31" w:rsidTr="000C50E8">
        <w:tc>
          <w:tcPr>
            <w:tcW w:w="4860" w:type="dxa"/>
          </w:tcPr>
          <w:p w:rsidR="0060585A" w:rsidRPr="00321D31" w:rsidRDefault="0060585A" w:rsidP="004D31F4">
            <w:pPr>
              <w:pStyle w:val="Caption"/>
              <w:keepNext/>
              <w:keepLines/>
              <w:spacing w:before="60" w:after="60" w:line="276" w:lineRule="auto"/>
              <w:jc w:val="left"/>
              <w:rPr>
                <w:color w:val="auto"/>
              </w:rPr>
            </w:pPr>
            <w:r w:rsidRPr="00321D31">
              <w:rPr>
                <w:sz w:val="24"/>
                <w:szCs w:val="24"/>
              </w:rPr>
              <w:t xml:space="preserve">Figure </w:t>
            </w:r>
            <w:r w:rsidR="00185C05" w:rsidRPr="00321D31">
              <w:rPr>
                <w:sz w:val="24"/>
                <w:szCs w:val="24"/>
              </w:rPr>
              <w:fldChar w:fldCharType="begin"/>
            </w:r>
            <w:r w:rsidRPr="00321D31">
              <w:rPr>
                <w:sz w:val="24"/>
                <w:szCs w:val="24"/>
              </w:rPr>
              <w:instrText xml:space="preserve"> SEQ Figure \* ARABIC </w:instrText>
            </w:r>
            <w:r w:rsidR="00185C05" w:rsidRPr="00321D31">
              <w:rPr>
                <w:sz w:val="24"/>
                <w:szCs w:val="24"/>
              </w:rPr>
              <w:fldChar w:fldCharType="separate"/>
            </w:r>
            <w:r w:rsidRPr="00321D31">
              <w:rPr>
                <w:noProof/>
                <w:sz w:val="24"/>
                <w:szCs w:val="24"/>
              </w:rPr>
              <w:t>59</w:t>
            </w:r>
            <w:r w:rsidR="00185C05" w:rsidRPr="00321D31">
              <w:rPr>
                <w:sz w:val="24"/>
                <w:szCs w:val="24"/>
              </w:rPr>
              <w:fldChar w:fldCharType="end"/>
            </w:r>
            <w:r w:rsidRPr="00321D31">
              <w:rPr>
                <w:sz w:val="24"/>
                <w:szCs w:val="24"/>
              </w:rPr>
              <w:t>. Global Competitiveness Index Rankings, 2011–2012</w:t>
            </w:r>
          </w:p>
        </w:tc>
        <w:tc>
          <w:tcPr>
            <w:tcW w:w="4728" w:type="dxa"/>
          </w:tcPr>
          <w:p w:rsidR="0060585A" w:rsidRPr="00321D31" w:rsidRDefault="0060585A" w:rsidP="004D31F4">
            <w:pPr>
              <w:pStyle w:val="Caption"/>
              <w:keepNext/>
              <w:keepLines/>
              <w:spacing w:before="60" w:after="60" w:line="276" w:lineRule="auto"/>
              <w:jc w:val="left"/>
              <w:rPr>
                <w:sz w:val="24"/>
                <w:szCs w:val="24"/>
              </w:rPr>
            </w:pPr>
            <w:bookmarkStart w:id="64" w:name="_Ref308711764"/>
            <w:bookmarkStart w:id="65" w:name="_Ref308711750"/>
            <w:r w:rsidRPr="00321D31">
              <w:rPr>
                <w:sz w:val="24"/>
                <w:szCs w:val="24"/>
              </w:rPr>
              <w:t xml:space="preserve">Figure </w:t>
            </w:r>
            <w:r w:rsidR="00185C05" w:rsidRPr="00321D31">
              <w:rPr>
                <w:sz w:val="24"/>
                <w:szCs w:val="24"/>
              </w:rPr>
              <w:fldChar w:fldCharType="begin"/>
            </w:r>
            <w:r w:rsidRPr="00321D31">
              <w:rPr>
                <w:sz w:val="24"/>
                <w:szCs w:val="24"/>
              </w:rPr>
              <w:instrText xml:space="preserve"> SEQ Figure \* ARABIC </w:instrText>
            </w:r>
            <w:r w:rsidR="00185C05" w:rsidRPr="00321D31">
              <w:rPr>
                <w:sz w:val="24"/>
                <w:szCs w:val="24"/>
              </w:rPr>
              <w:fldChar w:fldCharType="separate"/>
            </w:r>
            <w:r w:rsidRPr="00321D31">
              <w:rPr>
                <w:noProof/>
                <w:sz w:val="24"/>
                <w:szCs w:val="24"/>
              </w:rPr>
              <w:t>60</w:t>
            </w:r>
            <w:r w:rsidR="00185C05" w:rsidRPr="00321D31">
              <w:rPr>
                <w:sz w:val="24"/>
                <w:szCs w:val="24"/>
              </w:rPr>
              <w:fldChar w:fldCharType="end"/>
            </w:r>
            <w:bookmarkEnd w:id="64"/>
            <w:r w:rsidRPr="00321D31">
              <w:rPr>
                <w:sz w:val="24"/>
                <w:szCs w:val="24"/>
              </w:rPr>
              <w:t xml:space="preserve">. </w:t>
            </w:r>
            <w:bookmarkEnd w:id="65"/>
            <w:r w:rsidRPr="00321D31">
              <w:rPr>
                <w:sz w:val="24"/>
                <w:szCs w:val="24"/>
              </w:rPr>
              <w:t>Unemployment Rate (Percent)</w:t>
            </w:r>
          </w:p>
        </w:tc>
      </w:tr>
      <w:tr w:rsidR="0060585A" w:rsidRPr="00321D31" w:rsidTr="000C50E8">
        <w:trPr>
          <w:trHeight w:val="3468"/>
        </w:trPr>
        <w:tc>
          <w:tcPr>
            <w:tcW w:w="4860" w:type="dxa"/>
          </w:tcPr>
          <w:p w:rsidR="0060585A" w:rsidRPr="00321D31" w:rsidRDefault="00A1042F" w:rsidP="004C7C14">
            <w:pPr>
              <w:spacing w:line="276" w:lineRule="auto"/>
              <w:rPr>
                <w:noProof/>
              </w:rPr>
            </w:pPr>
            <w:r>
              <w:rPr>
                <w:noProof/>
              </w:rPr>
              <w:drawing>
                <wp:inline distT="0" distB="0" distL="0" distR="0">
                  <wp:extent cx="2743200" cy="20193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a:srcRect/>
                          <a:stretch>
                            <a:fillRect/>
                          </a:stretch>
                        </pic:blipFill>
                        <pic:spPr bwMode="auto">
                          <a:xfrm>
                            <a:off x="0" y="0"/>
                            <a:ext cx="2743200" cy="2019300"/>
                          </a:xfrm>
                          <a:prstGeom prst="rect">
                            <a:avLst/>
                          </a:prstGeom>
                          <a:noFill/>
                          <a:ln w="9525">
                            <a:noFill/>
                            <a:miter lim="800000"/>
                            <a:headEnd/>
                            <a:tailEnd/>
                          </a:ln>
                        </pic:spPr>
                      </pic:pic>
                    </a:graphicData>
                  </a:graphic>
                </wp:inline>
              </w:drawing>
            </w:r>
          </w:p>
        </w:tc>
        <w:tc>
          <w:tcPr>
            <w:tcW w:w="4728" w:type="dxa"/>
          </w:tcPr>
          <w:p w:rsidR="0060585A" w:rsidRPr="00321D31" w:rsidRDefault="00A1042F" w:rsidP="004C7C14">
            <w:pPr>
              <w:spacing w:line="276" w:lineRule="auto"/>
            </w:pPr>
            <w:r>
              <w:rPr>
                <w:noProof/>
              </w:rPr>
              <w:drawing>
                <wp:inline distT="0" distB="0" distL="0" distR="0">
                  <wp:extent cx="2705100" cy="205740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1"/>
                          <a:srcRect/>
                          <a:stretch>
                            <a:fillRect/>
                          </a:stretch>
                        </pic:blipFill>
                        <pic:spPr bwMode="auto">
                          <a:xfrm>
                            <a:off x="0" y="0"/>
                            <a:ext cx="2705100" cy="2057400"/>
                          </a:xfrm>
                          <a:prstGeom prst="rect">
                            <a:avLst/>
                          </a:prstGeom>
                          <a:noFill/>
                          <a:ln w="9525">
                            <a:noFill/>
                            <a:miter lim="800000"/>
                            <a:headEnd/>
                            <a:tailEnd/>
                          </a:ln>
                        </pic:spPr>
                      </pic:pic>
                    </a:graphicData>
                  </a:graphic>
                </wp:inline>
              </w:drawing>
            </w:r>
          </w:p>
        </w:tc>
      </w:tr>
      <w:tr w:rsidR="0060585A" w:rsidRPr="00321D31" w:rsidTr="000C50E8">
        <w:tc>
          <w:tcPr>
            <w:tcW w:w="9588" w:type="dxa"/>
            <w:gridSpan w:val="2"/>
          </w:tcPr>
          <w:p w:rsidR="0060585A" w:rsidRPr="00321D31" w:rsidRDefault="0060585A" w:rsidP="004C7C14">
            <w:pPr>
              <w:spacing w:line="276" w:lineRule="auto"/>
              <w:rPr>
                <w:i/>
                <w:sz w:val="18"/>
              </w:rPr>
            </w:pPr>
            <w:r w:rsidRPr="00321D31">
              <w:rPr>
                <w:i/>
                <w:sz w:val="18"/>
              </w:rPr>
              <w:t>Source</w:t>
            </w:r>
            <w:r w:rsidRPr="00321D31">
              <w:rPr>
                <w:sz w:val="18"/>
              </w:rPr>
              <w:t>: EUROSTAT, World Economic Forum, World Bank staff calculations.</w:t>
            </w:r>
          </w:p>
        </w:tc>
      </w:tr>
    </w:tbl>
    <w:p w:rsidR="0060585A" w:rsidRDefault="0060585A" w:rsidP="007B4797">
      <w:pPr>
        <w:spacing w:line="276" w:lineRule="auto"/>
      </w:pPr>
    </w:p>
    <w:p w:rsidR="0060585A" w:rsidRDefault="0060585A" w:rsidP="007B4797">
      <w:pPr>
        <w:spacing w:line="276" w:lineRule="auto"/>
      </w:pPr>
      <w:r w:rsidRPr="007B4797">
        <w:t>Croatia’s labor market displays serious weaknesses. Labor market</w:t>
      </w:r>
      <w:r w:rsidRPr="0042302B">
        <w:t xml:space="preserve"> performance in Croatia remains weak. In 2011 the country’s 52.4 percent employment rate was among the lowest in the EU. The cause is a combination of high unemployment (13.9 percent) and low participation rates (about 61 percent). These results are outliers</w:t>
      </w:r>
      <w:r>
        <w:t xml:space="preserve"> among </w:t>
      </w:r>
      <w:r w:rsidRPr="00D93C2D">
        <w:t xml:space="preserve">EU10 </w:t>
      </w:r>
      <w:r>
        <w:t xml:space="preserve">as well as </w:t>
      </w:r>
      <w:r w:rsidRPr="00D93C2D">
        <w:t xml:space="preserve">EU15 countries. In 2011 </w:t>
      </w:r>
      <w:r>
        <w:t xml:space="preserve">unemployment in </w:t>
      </w:r>
      <w:r w:rsidRPr="00D93C2D">
        <w:t xml:space="preserve">Croatia </w:t>
      </w:r>
      <w:r>
        <w:t xml:space="preserve">was surpassed only by </w:t>
      </w:r>
      <w:r w:rsidRPr="00D93C2D">
        <w:t>Latvia and Lithuania among EU10 countries</w:t>
      </w:r>
      <w:r>
        <w:t>,</w:t>
      </w:r>
      <w:r w:rsidRPr="00D93C2D">
        <w:t xml:space="preserve"> and only Spain, Greece</w:t>
      </w:r>
      <w:r>
        <w:t>,</w:t>
      </w:r>
      <w:r w:rsidRPr="00D93C2D">
        <w:t xml:space="preserve"> and Ireland </w:t>
      </w:r>
      <w:r>
        <w:t xml:space="preserve">among EU15 countries </w:t>
      </w:r>
      <w:r w:rsidRPr="00D93C2D">
        <w:t xml:space="preserve">had higher rates. Labor participation is the lowest among all </w:t>
      </w:r>
      <w:r>
        <w:t xml:space="preserve">the </w:t>
      </w:r>
      <w:r w:rsidRPr="00D93C2D">
        <w:t xml:space="preserve">countries in </w:t>
      </w:r>
      <w:r>
        <w:t xml:space="preserve">the </w:t>
      </w:r>
      <w:r w:rsidRPr="00D93C2D">
        <w:t xml:space="preserve">EU. Taken together, these results </w:t>
      </w:r>
      <w:r>
        <w:t xml:space="preserve">suggest </w:t>
      </w:r>
      <w:r w:rsidRPr="00D93C2D">
        <w:t xml:space="preserve">that Croatia’s labor market is </w:t>
      </w:r>
      <w:r>
        <w:t xml:space="preserve">not well </w:t>
      </w:r>
      <w:r w:rsidRPr="00D93C2D">
        <w:t xml:space="preserve">equipped to contribute to higher and sustained economic growth. </w:t>
      </w:r>
      <w:r>
        <w:t>Moreover</w:t>
      </w:r>
      <w:r w:rsidRPr="00D93C2D">
        <w:t xml:space="preserve">, </w:t>
      </w:r>
      <w:r>
        <w:t xml:space="preserve">reducing </w:t>
      </w:r>
      <w:r w:rsidRPr="00D93C2D">
        <w:t>labor</w:t>
      </w:r>
      <w:r>
        <w:t xml:space="preserve"> legislation rigidities</w:t>
      </w:r>
      <w:r w:rsidRPr="00D93C2D">
        <w:t xml:space="preserve"> alone will not be enough to improve employment outcomes. The</w:t>
      </w:r>
      <w:r>
        <w:t xml:space="preserve"> social protection system also needs to </w:t>
      </w:r>
      <w:r w:rsidRPr="00D93C2D">
        <w:t>be reform</w:t>
      </w:r>
      <w:r>
        <w:t>ed</w:t>
      </w:r>
      <w:r w:rsidRPr="00D93C2D">
        <w:t xml:space="preserve"> to incentivize work</w:t>
      </w:r>
      <w:r>
        <w:t>,</w:t>
      </w:r>
      <w:r w:rsidRPr="00D93C2D">
        <w:t xml:space="preserve"> and the educational system </w:t>
      </w:r>
      <w:r>
        <w:t xml:space="preserve">must be made </w:t>
      </w:r>
      <w:r w:rsidRPr="00D93C2D">
        <w:t>more responsive to changing labor market demands.</w:t>
      </w:r>
    </w:p>
    <w:p w:rsidR="0060585A" w:rsidRPr="00D93C2D" w:rsidRDefault="0060585A" w:rsidP="007B4797">
      <w:pPr>
        <w:spacing w:line="276" w:lineRule="auto"/>
      </w:pPr>
    </w:p>
    <w:p w:rsidR="0060585A" w:rsidRDefault="0060585A" w:rsidP="007B4797">
      <w:pPr>
        <w:spacing w:line="276" w:lineRule="auto"/>
      </w:pPr>
      <w:r w:rsidRPr="001E7102">
        <w:lastRenderedPageBreak/>
        <w:t xml:space="preserve">The investment climate </w:t>
      </w:r>
      <w:r>
        <w:t>in Croatia remains complex and cumbersome</w:t>
      </w:r>
      <w:r w:rsidRPr="001E7102">
        <w:t>.</w:t>
      </w:r>
      <w:r>
        <w:t xml:space="preserve"> </w:t>
      </w:r>
      <w:r w:rsidRPr="00D93C2D">
        <w:t>Although starting a business in Croatia has become easier in recent years, the bankruptcy process is still long. Efficient closing procedures ensure that an inactive or insolvent business can be dissolved in a reasonable time while assuring creditors the highest possible recovery rate. In Croatia, the bankruptcy of a limited liability company takes three years, nearly twice the OECD average, mainly because of reliance on courts to resolve bankruptcy cases</w:t>
      </w:r>
      <w:r>
        <w:t>,</w:t>
      </w:r>
      <w:r w:rsidRPr="00D93C2D">
        <w:t xml:space="preserve"> and </w:t>
      </w:r>
      <w:r>
        <w:t xml:space="preserve">the courts have a </w:t>
      </w:r>
      <w:r w:rsidRPr="00D93C2D">
        <w:t xml:space="preserve">significant backlog of unresolved cases. Similarly, the cost of closing a business is high and the recovery rate for creditors is low. </w:t>
      </w:r>
      <w:r>
        <w:t>I</w:t>
      </w:r>
      <w:r w:rsidRPr="00D93C2D">
        <w:t xml:space="preserve">ncomplete corporate restructuring and the preeminence of the state in the economy </w:t>
      </w:r>
      <w:r>
        <w:t xml:space="preserve">are other reasons </w:t>
      </w:r>
      <w:r w:rsidRPr="00D93C2D">
        <w:t xml:space="preserve">why the firm turnover rate is lower than in comparable economies. </w:t>
      </w:r>
    </w:p>
    <w:p w:rsidR="0060585A" w:rsidRDefault="0060585A" w:rsidP="007B4797">
      <w:pPr>
        <w:spacing w:line="276" w:lineRule="auto"/>
      </w:pPr>
    </w:p>
    <w:tbl>
      <w:tblPr>
        <w:tblW w:w="9493" w:type="dxa"/>
        <w:tblLayout w:type="fixed"/>
        <w:tblLook w:val="00A0"/>
      </w:tblPr>
      <w:tblGrid>
        <w:gridCol w:w="9493"/>
      </w:tblGrid>
      <w:tr w:rsidR="0060585A" w:rsidRPr="00321D31" w:rsidTr="004C7C14">
        <w:trPr>
          <w:trHeight w:val="265"/>
        </w:trPr>
        <w:tc>
          <w:tcPr>
            <w:tcW w:w="9493" w:type="dxa"/>
          </w:tcPr>
          <w:p w:rsidR="0060585A" w:rsidRPr="00321D31" w:rsidRDefault="0060585A" w:rsidP="004D31F4">
            <w:pPr>
              <w:pStyle w:val="Caption"/>
              <w:keepNext/>
              <w:keepLines/>
              <w:spacing w:before="60" w:after="60" w:line="276" w:lineRule="auto"/>
              <w:jc w:val="left"/>
              <w:rPr>
                <w:sz w:val="24"/>
                <w:szCs w:val="24"/>
              </w:rPr>
            </w:pPr>
            <w:r w:rsidRPr="00321D31">
              <w:rPr>
                <w:sz w:val="24"/>
                <w:szCs w:val="24"/>
              </w:rPr>
              <w:t xml:space="preserve">Figure </w:t>
            </w:r>
            <w:r w:rsidR="00185C05" w:rsidRPr="00321D31">
              <w:rPr>
                <w:sz w:val="24"/>
                <w:szCs w:val="24"/>
              </w:rPr>
              <w:fldChar w:fldCharType="begin"/>
            </w:r>
            <w:r w:rsidRPr="00321D31">
              <w:rPr>
                <w:sz w:val="24"/>
                <w:szCs w:val="24"/>
              </w:rPr>
              <w:instrText xml:space="preserve"> SEQ Figure \* ARABIC </w:instrText>
            </w:r>
            <w:r w:rsidR="00185C05" w:rsidRPr="00321D31">
              <w:rPr>
                <w:sz w:val="24"/>
                <w:szCs w:val="24"/>
              </w:rPr>
              <w:fldChar w:fldCharType="separate"/>
            </w:r>
            <w:r w:rsidRPr="00321D31">
              <w:rPr>
                <w:noProof/>
                <w:sz w:val="24"/>
                <w:szCs w:val="24"/>
              </w:rPr>
              <w:t>61</w:t>
            </w:r>
            <w:r w:rsidR="00185C05" w:rsidRPr="00321D31">
              <w:rPr>
                <w:sz w:val="24"/>
                <w:szCs w:val="24"/>
              </w:rPr>
              <w:fldChar w:fldCharType="end"/>
            </w:r>
            <w:r w:rsidRPr="00321D31">
              <w:rPr>
                <w:sz w:val="24"/>
                <w:szCs w:val="24"/>
              </w:rPr>
              <w:t>. Difficulties in Doing Business</w:t>
            </w:r>
          </w:p>
          <w:p w:rsidR="0060585A" w:rsidRPr="00321D31" w:rsidRDefault="0060585A" w:rsidP="004C7C14">
            <w:pPr>
              <w:pStyle w:val="Caption"/>
              <w:keepNext/>
              <w:keepLines/>
              <w:spacing w:before="60" w:after="60" w:line="276" w:lineRule="auto"/>
              <w:rPr>
                <w:sz w:val="24"/>
                <w:szCs w:val="24"/>
              </w:rPr>
            </w:pPr>
          </w:p>
        </w:tc>
      </w:tr>
      <w:tr w:rsidR="0060585A" w:rsidRPr="00321D31" w:rsidTr="004C7C14">
        <w:trPr>
          <w:trHeight w:val="3826"/>
        </w:trPr>
        <w:tc>
          <w:tcPr>
            <w:tcW w:w="9493" w:type="dxa"/>
          </w:tcPr>
          <w:p w:rsidR="0060585A" w:rsidRPr="00321D31" w:rsidRDefault="00185C05" w:rsidP="004C7C14">
            <w:pPr>
              <w:spacing w:line="276" w:lineRule="auto"/>
            </w:pPr>
            <w:r w:rsidRPr="00185C05">
              <w:rPr>
                <w:noProof/>
              </w:rPr>
            </w:r>
            <w:r w:rsidRPr="00185C05">
              <w:rPr>
                <w:noProof/>
              </w:rPr>
              <w:pict>
                <v:group id="Group 38" o:spid="_x0000_s1027" style="width:457.5pt;height:196.5pt;mso-position-horizontal-relative:char;mso-position-vertical-relative:line" coordorigin="5524,18875" coordsize="84124,341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">
                  <v:group id="Group 8" o:spid="_x0000_s1028" style="position:absolute;left:5524;top:18875;width:84125;height:34119" coordorigin="5524,18875" coordsize="84124,34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5524;top:18875;width:84125;height:341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q3FHGAAAA2wAAAA8AAABkcnMvZG93bnJldi54bWxEj0trAkEQhO8B/8PQgpegs/EQZXUUEQIJ&#10;OfhI8HFrdjq7S3Z6lplRN/8+fRC8dVPVVV/Pl51r1JVCrD0beBlloIgLb2suDXx/vQ2noGJCtth4&#10;JgN/FGG56D3NMbf+xju67lOpJIRjjgaqlNpc61hU5DCOfEss2o8PDpOsodQ24E3CXaPHWfaqHdYs&#10;DRW2tK6o+N1fnIFJPLrN5nQIz+Gy2563NoTpx6cxg363moFK1KWH+X79bgVf6OUXGUA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SrcUcYAAADbAAAADwAAAAAAAAAAAAAA&#10;AACfAgAAZHJzL2Rvd25yZXYueG1sUEsFBgAAAAAEAAQA9wAAAJIDAAAAAA==&#10;">
                      <v:imagedata r:id="rId92" o:title=""/>
                    </v:shape>
                    <v:rect id="Rectangle 20" o:spid="_x0000_s1030" style="position:absolute;left:61055;top:23907;width:5334;height:277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rAMAA&#10;AADbAAAADwAAAGRycy9kb3ducmV2LnhtbERPTWsCMRC9C/0PYQq9abZ7ENkaZZEKXgS1FTxON9Nk&#10;6WayJFG3/npzEDw+3vd8ObhOXCjE1rOC90kBgrjxumWj4PtrPZ6BiAlZY+eZFPxThOXiZTTHSvsr&#10;7+lySEbkEI4VKrAp9ZWUsbHkME58T5y5Xx8cpgyDkTrgNYe7TpZFMZUOW84NFntaWWr+DmenYFvO&#10;drd9HXg3HVbm+Gnr0w8Zpd5eh/oDRKIhPcUP90YrKPP6/CX/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nrAMAAAADbAAAADwAAAAAAAAAAAAAAAACYAgAAZHJzL2Rvd25y&#10;ZXYueG1sUEsFBgAAAAAEAAQA9QAAAIUDAAAAAA==&#10;" fillcolor="#76923c" strokecolor="#76923c" strokeweight="1.25pt">
                      <v:fill opacity="9766f"/>
                      <v:shadow on="t" color="black" opacity="22937f" origin=",.5" offset="0,.63889mm"/>
                      <v:textbox style="mso-next-textbox:#Rectangle 20">
                        <w:txbxContent>
                          <w:p w:rsidR="00A24079" w:rsidRDefault="00A24079" w:rsidP="007B4797"/>
                        </w:txbxContent>
                      </v:textbox>
                    </v:rect>
                    <v:rect id="Rectangle 21" o:spid="_x0000_s1031" style="position:absolute;left:72580;top:23907;width:9811;height:277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CJcEA&#10;AADbAAAADwAAAGRycy9kb3ducmV2LnhtbERPTWsCMRC9F/wPYYTeutkKFdkaZRGFXgpqFXqcbqbJ&#10;0s1kSVLd+uuNIPQ2j/c58+XgOnGiEFvPCp6LEgRx43XLRsHhY/M0AxETssbOMyn4owjLxehhjpX2&#10;Z97RaZ+MyCEcK1RgU+orKWNjyWEsfE+cuW8fHKYMg5E64DmHu05OynIqHbacGyz2tLLU/Ox/nYL3&#10;yWx72dWBt9NhZY5rW39+kVHqcTzUryASDelffHe/6Tz/BW6/5APk4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SgiXBAAAA2wAAAA8AAAAAAAAAAAAAAAAAmAIAAGRycy9kb3du&#10;cmV2LnhtbFBLBQYAAAAABAAEAPUAAACGAwAAAAA=&#10;" fillcolor="#76923c" strokecolor="#76923c" strokeweight="1.25pt">
                      <v:fill opacity="9766f"/>
                      <v:shadow on="t" color="black" opacity="22937f" origin=",.5" offset="0,.63889mm"/>
                      <v:textbox style="mso-next-textbox:#Rectangle 21">
                        <w:txbxContent>
                          <w:p w:rsidR="00A24079" w:rsidRDefault="00A24079" w:rsidP="007B4797"/>
                        </w:txbxContent>
                      </v:textbox>
                    </v:rect>
                    <v:line id="Straight Connector 22" o:spid="_x0000_s1032" style="position:absolute;rotation:90;flip:x y;visibility:visible" from="57817,25145" to="62389,27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hbsEAAADbAAAADwAAAGRycy9kb3ducmV2LnhtbERP22rCQBB9L/Qflin4VjdVsDVmE4pt&#10;QBAKUT9gzI5JaHY2zW5i/Hu3UOjbHM51kmwyrRipd41lBS/zCARxaXXDlYLTMX9+A+E8ssbWMim4&#10;kYMsfXxIMNb2ygWNB1+JEMIuRgW1910spStrMujmtiMO3MX2Bn2AfSV1j9cQblq5iKKVNNhwaKix&#10;o21N5fdhMApyPRaGl/r8szcDfnxVbrn+dErNnqb3DQhPk/8X/7l3Osx/hd9fwgEyv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E+FuwQAAANsAAAAPAAAAAAAAAAAAAAAA&#10;AKECAABkcnMvZG93bnJldi54bWxQSwUGAAAAAAQABAD5AAAAjwMAAAAA&#10;" strokecolor="#76923c" strokeweight="1.25pt">
                      <v:shadow on="t" color="black" opacity="24903f" origin=",.5" offset="0,.55556mm"/>
                    </v:line>
                    <v:line id="Straight Connector 23" o:spid="_x0000_s1033" style="position:absolute;rotation:90;flip:x y;visibility:visible" from="69151,25432" to="74104,2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OOSMIAAADbAAAADwAAAGRycy9kb3ducmV2LnhtbESP3YrCMBSE7wXfIRxh7zRdBXGraVn8&#10;gQVBsO4DHJtjW2xOahNr9+03guDlMDPfMKu0N7XoqHWVZQWfkwgEcW51xYWC39NuvADhPLLG2jIp&#10;+CMHaTIcrDDW9sFH6jJfiABhF6OC0vsmltLlJRl0E9sQB+9iW4M+yLaQusVHgJtaTqNoLg1WHBZK&#10;bGhdUn7N7kbBTndHwzN9vu3NHTeHws2+tk6pj1H/vQThqffv8Kv9oxVM5/D8En6AT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OOSMIAAADbAAAADwAAAAAAAAAAAAAA&#10;AAChAgAAZHJzL2Rvd25yZXYueG1sUEsFBgAAAAAEAAQA+QAAAJADAAAAAA==&#10;" strokecolor="#76923c" strokeweight="1.25pt">
                      <v:shadow on="t" color="black" opacity="24903f" origin=",.5" offset="0,.55556mm"/>
                    </v:line>
                    <v:line id="Straight Connector 24" o:spid="_x0000_s1034" style="position:absolute;rotation:90;flip:x;visibility:visible" from="58864,49149" to="61245,50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r/TcIAAADbAAAADwAAAGRycy9kb3ducmV2LnhtbESPQWsCMRSE7wX/Q3hCbzXbPdTtapQi&#10;Sj0ptaXnx+Ztsrh5WTdRt//eCEKPw8x8w8yXg2vFhfrQeFbwOslAEFdeN2wU/HxvXgoQISJrbD2T&#10;gj8KsFyMnuZYan/lL7ocohEJwqFEBTbGrpQyVJYchonviJNX+95hTLI3Uvd4TXDXyjzL3qTDhtOC&#10;xY5Wlqrj4ewUZPVvXE2lKUyxPuX2c1vvNO2Veh4PHzMQkYb4H360t1pB/g73L+kH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r/TcIAAADbAAAADwAAAAAAAAAAAAAA&#10;AAChAgAAZHJzL2Rvd25yZXYueG1sUEsFBgAAAAAEAAQA+QAAAJADAAAAAA==&#10;" strokecolor="#76923c" strokeweight="1.25pt">
                      <v:shadow on="t" color="black" opacity="24903f" origin=",.5" offset="0,.55556mm"/>
                    </v:line>
                    <v:line id="Straight Connector 25" o:spid="_x0000_s1035" style="position:absolute;rotation:90;flip:x;visibility:visible" from="70247,49196" to="72819,5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VllsIAAADbAAAADwAAAGRycy9kb3ducmV2LnhtbESPQWsCMRSE7wX/Q3hCbzWrBbusRhFp&#10;0ZNSFc+PzdtkcfOybqJu/30jFHocZuYbZr7sXSPu1IXas4LxKANBXHpds1FwOn695SBCRNbYeCYF&#10;PxRguRi8zLHQ/sHfdD9EIxKEQ4EKbIxtIWUoLTkMI98SJ6/yncOYZGek7vCR4K6RkyybSoc1pwWL&#10;La0tlZfDzSnIqnNcf0iTm/zzOrGbbbXTtFfqddivZiAi9fE//NfeagXvY3h+ST9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VllsIAAADbAAAADwAAAAAAAAAAAAAA&#10;AAChAgAAZHJzL2Rvd25yZXYueG1sUEsFBgAAAAAEAAQA+QAAAJADAAAAAA==&#10;" strokecolor="#76923c" strokeweight="1.25pt">
                      <v:shadow on="t" color="black" opacity="24903f" origin=",.5" offset="0,.55556mm"/>
                    </v:line>
                  </v:group>
                  <v:rect id="Rectangle 9" o:spid="_x0000_s1036" style="position:absolute;left:29241;top:19812;width:15240;height:329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3rWcEA&#10;AADcAAAADwAAAGRycy9kb3ducmV2LnhtbESP0YrCMBRE34X9h3AX9k1TyyLaNcquIAo+Wf2AS3O3&#10;KTY3JYm1/r0RBB+HmTnDLNeDbUVPPjSOFUwnGQjiyumGawXn03Y8BxEissbWMSm4U4D16mO0xEK7&#10;Gx+pL2MtEoRDgQpMjF0hZagMWQwT1xEn7995izFJX0vt8ZbgtpV5ls2kxYbTgsGONoaqS3m1Ckq5&#10;O/Q7vzAXPJlpKbu/uhmOSn19Dr8/ICIN8R1+tfdaQZ5/w/NMO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d61nBAAAA3AAAAA8AAAAAAAAAAAAAAAAAmAIAAGRycy9kb3du&#10;cmV2LnhtbFBLBQYAAAAABAAEAPUAAACGAwAAAAA=&#10;" filled="f" fillcolor="#548dd4" strokecolor="#548dd4" strokeweight="1.25pt">
                    <v:fill opacity="13107f"/>
                    <v:shadow on="t" color="black" opacity="22937f" origin=",.5" offset="0,.63889mm"/>
                    <v:textbox style="mso-next-textbox:#Rectangle 9">
                      <w:txbxContent>
                        <w:p w:rsidR="00A24079" w:rsidRDefault="00A24079" w:rsidP="007B4797"/>
                      </w:txbxContent>
                    </v:textbox>
                  </v:rect>
                  <v:rect id="Rectangle 12" o:spid="_x0000_s1037" style="position:absolute;left:50577;top:19812;width:32766;height:329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OsMUA&#10;AADcAAAADwAAAGRycy9kb3ducmV2LnhtbESPQWvCQBSE7wX/w/IEb3VjwFJTV1GLoOCl6qW3R/aZ&#10;jcm+DdmtJv76bqHgcZiZb5j5srO1uFHrS8cKJuMEBHHudMmFgvNp+/oOwgdkjbVjUtCTh+Vi8DLH&#10;TLs7f9HtGAoRIewzVGBCaDIpfW7Ioh+7hjh6F9daDFG2hdQt3iPc1jJNkjdpseS4YLChjaG8Ov5Y&#10;BafDp572VV7O+m97uFa77rFfG6VGw271ASJQF57h//ZOK0jTK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c6wxQAAANwAAAAPAAAAAAAAAAAAAAAAAJgCAABkcnMv&#10;ZG93bnJldi54bWxQSwUGAAAAAAQABAD1AAAAigMAAAAA&#10;" filled="f" fillcolor="#d6e3bc" strokecolor="#d6e3bc" strokeweight="1.25pt">
                    <v:fill opacity="13107f"/>
                    <v:shadow on="t" color="black" opacity="22937f" origin=",.5" offset="0,.63889mm"/>
                    <v:textbox style="mso-next-textbox:#Rectangle 12">
                      <w:txbxContent>
                        <w:p w:rsidR="00A24079" w:rsidRDefault="00A24079" w:rsidP="007B4797"/>
                      </w:txbxContent>
                    </v:textbox>
                  </v:rect>
                  <v:line id="Straight Connector 15" o:spid="_x0000_s1038" style="position:absolute;rotation:90;flip:x y;visibility:visible" from="25384,22050" to="31575,2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jUqsUAAADcAAAADwAAAGRycy9kb3ducmV2LnhtbESPQWsCMRSE74X+h/AK3mq2i6hsjSJC&#10;qehFV0uvj83rbnDzsiSprv56Uyh4HGbmG2a26G0rzuSDcazgbZiBIK6cNlwrOB4+XqcgQkTW2Dom&#10;BVcKsJg/P82w0O7CezqXsRYJwqFABU2MXSFlqBqyGIauI07ej/MWY5K+ltrjJcFtK/MsG0uLhtNC&#10;gx2tGqpO5a9VYMvtcmNu/WlX+u/JyG5WX59Ho9TgpV++g4jUx0f4v73WCvJ8DH9n0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jUqsUAAADcAAAADwAAAAAAAAAA&#10;AAAAAAChAgAAZHJzL2Rvd25yZXYueG1sUEsFBgAAAAAEAAQA+QAAAJMDAAAAAA==&#10;" strokecolor="#548dd4" strokeweight="1.25pt">
                    <v:shadow on="t" color="black" opacity="24903f" origin=",.5" offset="0,.55556mm"/>
                  </v:line>
                  <v:line id="Straight Connector 16" o:spid="_x0000_s1039" style="position:absolute;rotation:90;flip:x;visibility:visible" from="26431,49768" to="30336,5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z028MAAADcAAAADwAAAGRycy9kb3ducmV2LnhtbESPzYvCMBTE7wv7P4Qn7GVZUwt+UI0i&#10;wkKvfhw8vjZvm2rz0m2i1v/eCILHYWZ+wyxWvW3ElTpfO1YwGiYgiEuna64UHPa/PzMQPiBrbByT&#10;gjt5WC0/PxaYaXfjLV13oRIRwj5DBSaENpPSl4Ys+qFriaP35zqLIcqukrrDW4TbRqZJMpEWa44L&#10;BlvaGCrPu4tVcJwd2Jz4f1zTMXf3Ylpw/l0o9TXo13MQgfrwDr/auVaQplN4no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M9NvDAAAA3AAAAA8AAAAAAAAAAAAA&#10;AAAAoQIAAGRycy9kb3ducmV2LnhtbFBLBQYAAAAABAAEAPkAAACRAwAAAAA=&#10;" strokecolor="#548dd4" strokeweight="1.25pt">
                    <v:shadow on="t" color="black" opacity="24903f" origin=",.5" offset="0,.55556mm"/>
                  </v:line>
                  <v:line id="Straight Connector 17" o:spid="_x0000_s1040" style="position:absolute;rotation:90;flip:x y;visibility:visible" from="45577,22812" to="53673,2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lLO78AAADcAAAADwAAAGRycy9kb3ducmV2LnhtbERPTYvCMBC9C/sfwix402RzWKRrFBEU&#10;D8KqlT0PzdiWNpNuE7X+e3MQPD7e93w5uFbcqA+1ZwNfUwWCuPC25tLAOd9MZiBCRLbYeiYDDwqw&#10;XHyM5phZf+cj3U6xFCmEQ4YGqhi7TMpQVOQwTH1HnLiL7x3GBPtS2h7vKdy1Uiv1LR3WnBoq7Ghd&#10;UdGcrs6AzBsV9LbRarvXB/r/2/3a3Bsz/hxWPyAiDfEtfrl31oDWaW06k46AXD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TlLO78AAADcAAAADwAAAAAAAAAAAAAAAACh&#10;AgAAZHJzL2Rvd25yZXYueG1sUEsFBgAAAAAEAAQA+QAAAI0DAAAAAA==&#10;" strokecolor="#d6e3bc" strokeweight="1.25pt">
                    <v:shadow on="t" color="black" opacity="24903f" origin=",.5" offset="0,.55556mm"/>
                  </v:line>
                  <v:line id="Straight Connector 18" o:spid="_x0000_s1041" style="position:absolute;rotation:90;flip:x;visibility:visible" from="47529,49625" to="51720,5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1xVsIAAADcAAAADwAAAGRycy9kb3ducmV2LnhtbERP3UrDMBS+F/YO4Qy8EZe6gkhdNmRj&#10;UBUV6x7g0BybYnMSmrjWt/dcCF5+fP+b3ewHdaYx9YEN3KwKUMRtsD13Bk4fx+s7UCkjWxwCk4Ef&#10;SrDbLi42WNkw8Tudm9wpCeFUoQGXc6y0Tq0jj2kVIrFwn2H0mAWOnbYjThLuB70uilvtsWdpcBhp&#10;76j9ar699HJ8fnKHx5cmHsv67TRddXX5aszlcn64B5Vpzv/iP3dtDaxLmS9n5Ajo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1xVsIAAADcAAAADwAAAAAAAAAAAAAA&#10;AAChAgAAZHJzL2Rvd25yZXYueG1sUEsFBgAAAAAEAAQA+QAAAJADAAAAAA==&#10;" strokecolor="#d6e3bc" strokeweight="1.25pt">
                    <v:shadow on="t" color="black" opacity="24903f" origin=",.5" offset="0,.55556mm"/>
                  </v:line>
                  <w10:wrap type="none"/>
                  <w10:anchorlock/>
                </v:group>
              </w:pict>
            </w:r>
          </w:p>
        </w:tc>
      </w:tr>
      <w:tr w:rsidR="0060585A" w:rsidRPr="00321D31" w:rsidTr="004C7C14">
        <w:trPr>
          <w:trHeight w:val="232"/>
        </w:trPr>
        <w:tc>
          <w:tcPr>
            <w:tcW w:w="9493" w:type="dxa"/>
          </w:tcPr>
          <w:p w:rsidR="0060585A" w:rsidRPr="00321D31" w:rsidRDefault="0060585A" w:rsidP="004C7C14">
            <w:pPr>
              <w:spacing w:line="276" w:lineRule="auto"/>
              <w:rPr>
                <w:sz w:val="18"/>
                <w:szCs w:val="18"/>
              </w:rPr>
            </w:pPr>
            <w:r w:rsidRPr="00321D31">
              <w:rPr>
                <w:i/>
                <w:sz w:val="18"/>
                <w:szCs w:val="18"/>
              </w:rPr>
              <w:t xml:space="preserve">Source: </w:t>
            </w:r>
            <w:r w:rsidRPr="00321D31">
              <w:rPr>
                <w:sz w:val="18"/>
                <w:szCs w:val="18"/>
              </w:rPr>
              <w:t>World Bank staff calculations, based on Doing Business.</w:t>
            </w:r>
          </w:p>
          <w:p w:rsidR="0060585A" w:rsidRPr="00321D31" w:rsidRDefault="0060585A" w:rsidP="004C7C14">
            <w:pPr>
              <w:spacing w:line="276" w:lineRule="auto"/>
              <w:rPr>
                <w:sz w:val="18"/>
                <w:szCs w:val="18"/>
              </w:rPr>
            </w:pPr>
            <w:r w:rsidRPr="00321D31">
              <w:rPr>
                <w:i/>
                <w:sz w:val="18"/>
                <w:szCs w:val="18"/>
              </w:rPr>
              <w:t>Note</w:t>
            </w:r>
            <w:r w:rsidRPr="00321D31">
              <w:rPr>
                <w:sz w:val="18"/>
                <w:szCs w:val="18"/>
              </w:rPr>
              <w:t>: Index of the principal components of the ease of doing business index in 2011, scaled from 0 [poor] to 100 [excellent]) Averages are computed using principal component analysis. EFTA here comprises Iceland, Norway, and Switzerland. The EU15 comprises Denmark, Finland, Ireland, Sweden, and the United Kingdom (North); Austria, Belgium, France, Germany, Luxembourg, and the Netherlands (Continental); and Greece, Italy, Portugal, and Spain (South). The EU12 comprises Estonia, Latvia, and Lithuania (North); the Czech Republic, Hungary, Poland, the Slovak Republic, and Slovenia (Continental); and Bulgaria, Cyprus, and Romania (South).</w:t>
            </w:r>
          </w:p>
          <w:p w:rsidR="0060585A" w:rsidRPr="00321D31" w:rsidRDefault="0060585A" w:rsidP="004C7C14">
            <w:pPr>
              <w:spacing w:line="276" w:lineRule="auto"/>
              <w:rPr>
                <w:i/>
                <w:sz w:val="18"/>
                <w:szCs w:val="18"/>
              </w:rPr>
            </w:pPr>
          </w:p>
        </w:tc>
      </w:tr>
    </w:tbl>
    <w:p w:rsidR="0060585A" w:rsidRDefault="0060585A" w:rsidP="007B4797">
      <w:pPr>
        <w:spacing w:line="276" w:lineRule="auto"/>
      </w:pPr>
      <w:r w:rsidRPr="00FE6CAF">
        <w:t>M</w:t>
      </w:r>
      <w:r>
        <w:t>ajor challenges remain in the area of m</w:t>
      </w:r>
      <w:r w:rsidRPr="00FE6CAF">
        <w:t>odernizing the public sector and ensuring the rule of law</w:t>
      </w:r>
      <w:r>
        <w:t>.</w:t>
      </w:r>
      <w:r w:rsidRPr="00FE6CAF">
        <w:t xml:space="preserve"> </w:t>
      </w:r>
      <w:r w:rsidRPr="002572DA">
        <w:t xml:space="preserve">Though Croatia spends more </w:t>
      </w:r>
      <w:r>
        <w:t xml:space="preserve">of its GDP </w:t>
      </w:r>
      <w:r w:rsidRPr="002572DA">
        <w:t xml:space="preserve">on public administration than EU10 countries, </w:t>
      </w:r>
      <w:r>
        <w:t>its effectiveness is lower than with Croatia’s peers, according to various governance indicators</w:t>
      </w:r>
      <w:r w:rsidRPr="002572DA">
        <w:t xml:space="preserve">. </w:t>
      </w:r>
      <w:r>
        <w:t>Th</w:t>
      </w:r>
      <w:r w:rsidRPr="002572DA">
        <w:t>e World Economic Forum Competitiveness Reports rank inefficient public administration first in the list of barriers to doing business in Croatia.</w:t>
      </w:r>
      <w:r>
        <w:t xml:space="preserve"> </w:t>
      </w:r>
      <w:r w:rsidRPr="002572DA">
        <w:t xml:space="preserve">The World Bank governance indicators </w:t>
      </w:r>
      <w:r>
        <w:t xml:space="preserve">also </w:t>
      </w:r>
      <w:r w:rsidRPr="002572DA">
        <w:t xml:space="preserve">suggest that the country must bridge a wide gap to catch up with EU10 and EU15 public administration effectiveness and rule of law indicators. </w:t>
      </w:r>
      <w:r>
        <w:t>B</w:t>
      </w:r>
      <w:r w:rsidRPr="00D304FC">
        <w:t xml:space="preserve">etween 2005 and 2011 </w:t>
      </w:r>
      <w:r>
        <w:t xml:space="preserve">Croatia pursued </w:t>
      </w:r>
      <w:r w:rsidRPr="00D304FC">
        <w:t xml:space="preserve">reforms to ensure a wide </w:t>
      </w:r>
      <w:r>
        <w:t xml:space="preserve">and effective </w:t>
      </w:r>
      <w:r w:rsidRPr="00D304FC">
        <w:lastRenderedPageBreak/>
        <w:t xml:space="preserve">access to justice as part of </w:t>
      </w:r>
      <w:r>
        <w:t xml:space="preserve">its </w:t>
      </w:r>
      <w:r w:rsidRPr="00D304FC">
        <w:t>effort</w:t>
      </w:r>
      <w:r>
        <w:t>s</w:t>
      </w:r>
      <w:r w:rsidRPr="00D304FC">
        <w:t xml:space="preserve"> to raise legislation and institutions to the modern standards of Europe</w:t>
      </w:r>
      <w:r>
        <w:t xml:space="preserve">. </w:t>
      </w:r>
      <w:r w:rsidRPr="00D304FC">
        <w:t>The</w:t>
      </w:r>
      <w:r>
        <w:t xml:space="preserve">se efforts did </w:t>
      </w:r>
      <w:r w:rsidRPr="00D304FC">
        <w:t>reduc</w:t>
      </w:r>
      <w:r>
        <w:t xml:space="preserve">e </w:t>
      </w:r>
      <w:r w:rsidRPr="00D304FC">
        <w:t>the backlog of cases through reforms in institutions and procedures</w:t>
      </w:r>
      <w:r>
        <w:t xml:space="preserve">; they also shortened </w:t>
      </w:r>
      <w:r w:rsidRPr="00D304FC">
        <w:t>the duration of court proceedings, moderniz</w:t>
      </w:r>
      <w:r>
        <w:t>ed</w:t>
      </w:r>
      <w:r w:rsidRPr="00D304FC">
        <w:t xml:space="preserve"> court administration</w:t>
      </w:r>
      <w:r>
        <w:t>,</w:t>
      </w:r>
      <w:r w:rsidRPr="00D304FC">
        <w:t xml:space="preserve"> rationaliz</w:t>
      </w:r>
      <w:r>
        <w:t>ed</w:t>
      </w:r>
      <w:r w:rsidRPr="00D304FC">
        <w:t xml:space="preserve"> the court network, and provid</w:t>
      </w:r>
      <w:r>
        <w:t>ed</w:t>
      </w:r>
      <w:r w:rsidRPr="00D304FC">
        <w:t xml:space="preserve"> education and profess</w:t>
      </w:r>
      <w:r>
        <w:t>ional training. These efforts need to be extended.</w:t>
      </w:r>
      <w:r w:rsidRPr="00D304FC">
        <w:t xml:space="preserve"> </w:t>
      </w:r>
    </w:p>
    <w:p w:rsidR="0060585A" w:rsidRPr="00D304FC" w:rsidRDefault="0060585A" w:rsidP="007B4797">
      <w:pPr>
        <w:spacing w:line="276" w:lineRule="auto"/>
      </w:pPr>
    </w:p>
    <w:p w:rsidR="0060585A" w:rsidRDefault="0060585A" w:rsidP="007B4797">
      <w:pPr>
        <w:spacing w:line="276" w:lineRule="auto"/>
      </w:pPr>
      <w:r>
        <w:t>EU m</w:t>
      </w:r>
      <w:r w:rsidRPr="00FE6CAF">
        <w:t xml:space="preserve">embership opens a </w:t>
      </w:r>
      <w:r>
        <w:t xml:space="preserve">wide horizon </w:t>
      </w:r>
      <w:r w:rsidRPr="00FE6CAF">
        <w:t xml:space="preserve">of opportunities, </w:t>
      </w:r>
      <w:r>
        <w:t xml:space="preserve">most notably </w:t>
      </w:r>
      <w:r w:rsidRPr="00FE6CAF">
        <w:t xml:space="preserve">access to generous EU funds. </w:t>
      </w:r>
      <w:r w:rsidRPr="004D35F0">
        <w:t>Once it joins the EU, Croatia will have access to EU grant fund</w:t>
      </w:r>
      <w:r>
        <w:t>ing</w:t>
      </w:r>
      <w:r w:rsidRPr="004D35F0">
        <w:t xml:space="preserve"> amounting to nearly 2.5 percent of GDP</w:t>
      </w:r>
      <w:r>
        <w:t>—</w:t>
      </w:r>
      <w:r w:rsidRPr="004D35F0">
        <w:t>six times the amount it currently has at its disposal</w:t>
      </w:r>
      <w:r>
        <w:t>.</w:t>
      </w:r>
      <w:r w:rsidRPr="004D35F0">
        <w:t xml:space="preserve"> </w:t>
      </w:r>
      <w:r>
        <w:t>Although so far its track record in this area is satisfactory, c</w:t>
      </w:r>
      <w:r w:rsidRPr="00D93C2D">
        <w:t xml:space="preserve">apacity constraints </w:t>
      </w:r>
      <w:r>
        <w:t xml:space="preserve">in </w:t>
      </w:r>
      <w:r w:rsidRPr="00D93C2D">
        <w:t xml:space="preserve">implementing agencies and local governments </w:t>
      </w:r>
      <w:r>
        <w:t xml:space="preserve">of Croatia </w:t>
      </w:r>
      <w:r w:rsidRPr="00D93C2D">
        <w:t>to absorb EU structural and cohesion grants</w:t>
      </w:r>
      <w:r>
        <w:t xml:space="preserve"> upon</w:t>
      </w:r>
      <w:r w:rsidRPr="00D93C2D">
        <w:t xml:space="preserve"> accession</w:t>
      </w:r>
      <w:r>
        <w:t xml:space="preserve"> are an area that requires a lot of attention if Croatia wants to maximize the benefits of the EU accession</w:t>
      </w:r>
      <w:r w:rsidRPr="00D93C2D">
        <w:t>.</w:t>
      </w:r>
      <w:r>
        <w:t xml:space="preserve"> </w:t>
      </w:r>
    </w:p>
    <w:p w:rsidR="0060585A" w:rsidRPr="00D93C2D" w:rsidRDefault="0060585A" w:rsidP="007B4797">
      <w:pPr>
        <w:spacing w:line="276" w:lineRule="auto"/>
      </w:pPr>
    </w:p>
    <w:p w:rsidR="0060585A" w:rsidRPr="00D93C2D" w:rsidRDefault="0060585A" w:rsidP="007B4797">
      <w:pPr>
        <w:spacing w:line="276" w:lineRule="auto"/>
      </w:pPr>
      <w:r w:rsidRPr="00D93C2D">
        <w:rPr>
          <w:bCs/>
        </w:rPr>
        <w:t xml:space="preserve">A principal dilemma for policymaking over the coming years will be how to reconcile the need to consolidate macroeconomic stability with the need to </w:t>
      </w:r>
      <w:r>
        <w:rPr>
          <w:bCs/>
        </w:rPr>
        <w:t xml:space="preserve">meet the </w:t>
      </w:r>
      <w:r w:rsidRPr="00D93C2D">
        <w:rPr>
          <w:bCs/>
        </w:rPr>
        <w:t xml:space="preserve">substantial </w:t>
      </w:r>
      <w:r w:rsidRPr="00D93C2D">
        <w:rPr>
          <w:bCs/>
          <w:i/>
        </w:rPr>
        <w:t>acquis</w:t>
      </w:r>
      <w:r w:rsidRPr="00D93C2D">
        <w:rPr>
          <w:bCs/>
        </w:rPr>
        <w:t xml:space="preserve"> commitments, especially in infrastructure and environment. </w:t>
      </w:r>
      <w:r w:rsidRPr="001B54D5">
        <w:rPr>
          <w:bCs/>
        </w:rPr>
        <w:t>Upon accession, the EU Structural and Cohesion funds available to Croatia will exceed €1.5 billion a year.  At the same time, Croatia will also be obliged to contribute about €680 million annually to the EU budget. On the other side, there are costs associated with the negotiated transition periods for harmonizing Croatian laws with the EU directives. Only in the case of water sector, the total cost through 2023 of harmonizing Croatian law with EU water utility directives is estimated at EUR12.6 billion.</w:t>
      </w:r>
      <w:r>
        <w:rPr>
          <w:bCs/>
        </w:rPr>
        <w:t xml:space="preserve"> </w:t>
      </w:r>
      <w:r w:rsidRPr="00D93C2D">
        <w:t xml:space="preserve">The significant costs associated with the </w:t>
      </w:r>
      <w:r w:rsidRPr="00D93C2D">
        <w:rPr>
          <w:i/>
        </w:rPr>
        <w:t>acquis</w:t>
      </w:r>
      <w:r w:rsidRPr="00D93C2D">
        <w:t xml:space="preserve"> are expected to put </w:t>
      </w:r>
      <w:r>
        <w:t xml:space="preserve">heavy </w:t>
      </w:r>
      <w:r w:rsidRPr="00D93C2D">
        <w:t xml:space="preserve">pressure on spending and deficits and </w:t>
      </w:r>
      <w:r>
        <w:t xml:space="preserve">there is a </w:t>
      </w:r>
      <w:r w:rsidRPr="00D93C2D">
        <w:t xml:space="preserve">risk </w:t>
      </w:r>
      <w:r>
        <w:t xml:space="preserve">that they will </w:t>
      </w:r>
      <w:r w:rsidRPr="00D93C2D">
        <w:t>accelerat</w:t>
      </w:r>
      <w:r>
        <w:t>e</w:t>
      </w:r>
      <w:r w:rsidRPr="00D93C2D">
        <w:t xml:space="preserve"> public expenditure to unsustainable levels. To prevent this, tight expenditure management and mechanisms, restructuring of current expenditure</w:t>
      </w:r>
      <w:r>
        <w:t>,</w:t>
      </w:r>
      <w:r w:rsidRPr="00D93C2D">
        <w:t xml:space="preserve"> and a strong revenue base are </w:t>
      </w:r>
      <w:r>
        <w:t>necessary</w:t>
      </w:r>
      <w:r w:rsidRPr="00D93C2D">
        <w:t xml:space="preserve">. Identifying ways to effectively bring in the private sector to share the </w:t>
      </w:r>
      <w:r>
        <w:t xml:space="preserve">costs of </w:t>
      </w:r>
      <w:r w:rsidRPr="00D93C2D">
        <w:t>integration will be vital.</w:t>
      </w:r>
      <w:r w:rsidRPr="001E7102">
        <w:t xml:space="preserve"> </w:t>
      </w:r>
    </w:p>
    <w:p w:rsidR="0060585A" w:rsidRPr="00D93C2D" w:rsidRDefault="0060585A" w:rsidP="007B4797">
      <w:pPr>
        <w:spacing w:before="120" w:line="276" w:lineRule="auto"/>
        <w:rPr>
          <w:rFonts w:ascii="Trebuchet MS" w:hAnsi="Trebuchet MS"/>
          <w:sz w:val="20"/>
          <w:szCs w:val="20"/>
        </w:rPr>
      </w:pPr>
    </w:p>
    <w:p w:rsidR="0060585A" w:rsidRPr="00D93C2D" w:rsidRDefault="0060585A" w:rsidP="007B4797">
      <w:pPr>
        <w:spacing w:line="276" w:lineRule="auto"/>
      </w:pPr>
    </w:p>
    <w:p w:rsidR="0060585A" w:rsidRDefault="0060585A" w:rsidP="00E41045">
      <w:pPr>
        <w:spacing w:after="200" w:line="276" w:lineRule="auto"/>
      </w:pPr>
    </w:p>
    <w:p w:rsidR="0060585A" w:rsidRDefault="0060585A" w:rsidP="00E41045">
      <w:pPr>
        <w:spacing w:after="200" w:line="276" w:lineRule="auto"/>
      </w:pPr>
    </w:p>
    <w:p w:rsidR="0060585A" w:rsidRDefault="0060585A" w:rsidP="00E41045">
      <w:pPr>
        <w:spacing w:after="200" w:line="276" w:lineRule="auto"/>
      </w:pPr>
      <w:r>
        <w:br w:type="page"/>
      </w:r>
    </w:p>
    <w:p w:rsidR="0060585A" w:rsidRPr="00CE56D4" w:rsidRDefault="0060585A" w:rsidP="00D40FDC">
      <w:pPr>
        <w:pStyle w:val="ChapterTitle"/>
      </w:pPr>
      <w:bookmarkStart w:id="66" w:name="_Toc328295595"/>
      <w:r w:rsidRPr="00CE56D4">
        <w:lastRenderedPageBreak/>
        <w:t>Annex </w:t>
      </w:r>
      <w:r>
        <w:t>2</w:t>
      </w:r>
      <w:bookmarkEnd w:id="66"/>
      <w:r w:rsidRPr="00CE56D4">
        <w:t xml:space="preserve"> </w:t>
      </w:r>
    </w:p>
    <w:p w:rsidR="0060585A" w:rsidRDefault="0060585A" w:rsidP="007C638E">
      <w:pPr>
        <w:pStyle w:val="IntenseQuote"/>
      </w:pPr>
      <w:r w:rsidRPr="00EE5C71">
        <w:t xml:space="preserve">The </w:t>
      </w:r>
      <w:r>
        <w:t xml:space="preserve">EU </w:t>
      </w:r>
      <w:r w:rsidRPr="00EE5C71">
        <w:t>Macroeconomic Imbalance Procedure</w:t>
      </w:r>
      <w:r>
        <w:rPr>
          <w:rStyle w:val="FootnoteReference"/>
        </w:rPr>
        <w:footnoteReference w:id="8"/>
      </w:r>
    </w:p>
    <w:p w:rsidR="0060585A" w:rsidRDefault="0060585A" w:rsidP="00E41045">
      <w:pPr>
        <w:spacing w:line="276" w:lineRule="auto"/>
        <w:rPr>
          <w:sz w:val="22"/>
          <w:szCs w:val="22"/>
        </w:rPr>
      </w:pPr>
    </w:p>
    <w:p w:rsidR="0060585A" w:rsidRDefault="0060585A" w:rsidP="00E41045">
      <w:pPr>
        <w:spacing w:line="276" w:lineRule="auto"/>
        <w:rPr>
          <w:sz w:val="22"/>
          <w:szCs w:val="22"/>
        </w:rPr>
      </w:pPr>
      <w:r w:rsidRPr="00697947">
        <w:rPr>
          <w:sz w:val="22"/>
          <w:szCs w:val="22"/>
        </w:rPr>
        <w:t xml:space="preserve">The Macroeconomic Imbalance Procedure (MIP) was introduced in early 2012 as part of enhanced economic governance in the EU. </w:t>
      </w:r>
      <w:r>
        <w:rPr>
          <w:sz w:val="22"/>
          <w:szCs w:val="22"/>
        </w:rPr>
        <w:t xml:space="preserve">Its </w:t>
      </w:r>
      <w:r w:rsidRPr="00697947">
        <w:rPr>
          <w:sz w:val="22"/>
          <w:szCs w:val="22"/>
        </w:rPr>
        <w:t xml:space="preserve">aim is to identify </w:t>
      </w:r>
      <w:r>
        <w:rPr>
          <w:sz w:val="22"/>
          <w:szCs w:val="22"/>
        </w:rPr>
        <w:t xml:space="preserve">early </w:t>
      </w:r>
      <w:r w:rsidRPr="00697947">
        <w:rPr>
          <w:sz w:val="22"/>
          <w:szCs w:val="22"/>
        </w:rPr>
        <w:t xml:space="preserve">and </w:t>
      </w:r>
      <w:r>
        <w:rPr>
          <w:sz w:val="22"/>
          <w:szCs w:val="22"/>
        </w:rPr>
        <w:t xml:space="preserve">to </w:t>
      </w:r>
      <w:r w:rsidRPr="00697947">
        <w:rPr>
          <w:sz w:val="22"/>
          <w:szCs w:val="22"/>
        </w:rPr>
        <w:t xml:space="preserve">correct </w:t>
      </w:r>
      <w:r>
        <w:rPr>
          <w:sz w:val="22"/>
          <w:szCs w:val="22"/>
        </w:rPr>
        <w:t xml:space="preserve">in a timely manner </w:t>
      </w:r>
      <w:r w:rsidRPr="00697947">
        <w:rPr>
          <w:sz w:val="22"/>
          <w:szCs w:val="22"/>
        </w:rPr>
        <w:t xml:space="preserve">macroeconomic imbalances </w:t>
      </w:r>
      <w:r>
        <w:rPr>
          <w:sz w:val="22"/>
          <w:szCs w:val="22"/>
        </w:rPr>
        <w:t xml:space="preserve">to </w:t>
      </w:r>
      <w:r w:rsidRPr="00697947">
        <w:rPr>
          <w:sz w:val="22"/>
          <w:szCs w:val="22"/>
        </w:rPr>
        <w:t xml:space="preserve">reduce </w:t>
      </w:r>
      <w:r>
        <w:rPr>
          <w:sz w:val="22"/>
          <w:szCs w:val="22"/>
        </w:rPr>
        <w:t xml:space="preserve">their </w:t>
      </w:r>
      <w:r w:rsidRPr="00697947">
        <w:rPr>
          <w:sz w:val="22"/>
          <w:szCs w:val="22"/>
        </w:rPr>
        <w:t xml:space="preserve">spillover effects </w:t>
      </w:r>
      <w:r>
        <w:rPr>
          <w:sz w:val="22"/>
          <w:szCs w:val="22"/>
        </w:rPr>
        <w:t xml:space="preserve">among </w:t>
      </w:r>
      <w:r w:rsidRPr="00697947">
        <w:rPr>
          <w:sz w:val="22"/>
          <w:szCs w:val="22"/>
        </w:rPr>
        <w:t xml:space="preserve">EU member states. </w:t>
      </w:r>
      <w:r>
        <w:rPr>
          <w:sz w:val="22"/>
          <w:szCs w:val="22"/>
        </w:rPr>
        <w:t>The fi</w:t>
      </w:r>
      <w:r w:rsidRPr="00C76DAA">
        <w:rPr>
          <w:sz w:val="22"/>
          <w:szCs w:val="22"/>
        </w:rPr>
        <w:t>rst step in this procedure is an</w:t>
      </w:r>
      <w:r>
        <w:rPr>
          <w:sz w:val="22"/>
          <w:szCs w:val="22"/>
        </w:rPr>
        <w:t xml:space="preserve"> </w:t>
      </w:r>
      <w:r w:rsidRPr="00C76DAA">
        <w:rPr>
          <w:sz w:val="22"/>
          <w:szCs w:val="22"/>
        </w:rPr>
        <w:t>Alert Mechanism Report prepared by the European Commission for the early detection of possible imbalances. This is followed by an in depth-review</w:t>
      </w:r>
      <w:r>
        <w:rPr>
          <w:sz w:val="22"/>
          <w:szCs w:val="22"/>
        </w:rPr>
        <w:t xml:space="preserve"> </w:t>
      </w:r>
      <w:r w:rsidRPr="00C76DAA">
        <w:rPr>
          <w:sz w:val="22"/>
          <w:szCs w:val="22"/>
        </w:rPr>
        <w:t>which the Commission undertakes for each Member State that it considers may be affected</w:t>
      </w:r>
      <w:r>
        <w:rPr>
          <w:sz w:val="22"/>
          <w:szCs w:val="22"/>
        </w:rPr>
        <w:t xml:space="preserve"> </w:t>
      </w:r>
      <w:r w:rsidRPr="00C76DAA">
        <w:rPr>
          <w:sz w:val="22"/>
          <w:szCs w:val="22"/>
        </w:rPr>
        <w:t xml:space="preserve">by, or may be at risk of being affected by, imbalances. </w:t>
      </w:r>
      <w:r w:rsidRPr="00697947">
        <w:rPr>
          <w:sz w:val="22"/>
          <w:szCs w:val="22"/>
        </w:rPr>
        <w:t xml:space="preserve">In its first Alert Mechanism Report (AMR) released in February </w:t>
      </w:r>
      <w:r>
        <w:rPr>
          <w:sz w:val="22"/>
          <w:szCs w:val="22"/>
        </w:rPr>
        <w:t>2012</w:t>
      </w:r>
      <w:r w:rsidRPr="00697947">
        <w:rPr>
          <w:sz w:val="22"/>
          <w:szCs w:val="22"/>
        </w:rPr>
        <w:t xml:space="preserve">, the European Commission (EC) assessed the external and internal imbalances of EU member states </w:t>
      </w:r>
      <w:r>
        <w:rPr>
          <w:sz w:val="22"/>
          <w:szCs w:val="22"/>
        </w:rPr>
        <w:t xml:space="preserve">using 10 </w:t>
      </w:r>
      <w:r w:rsidRPr="00697947">
        <w:rPr>
          <w:sz w:val="22"/>
          <w:szCs w:val="22"/>
        </w:rPr>
        <w:t xml:space="preserve">indicators </w:t>
      </w:r>
      <w:r>
        <w:rPr>
          <w:sz w:val="22"/>
          <w:szCs w:val="22"/>
        </w:rPr>
        <w:t xml:space="preserve">and </w:t>
      </w:r>
      <w:r w:rsidRPr="00697947">
        <w:rPr>
          <w:sz w:val="22"/>
          <w:szCs w:val="22"/>
        </w:rPr>
        <w:t xml:space="preserve">taking </w:t>
      </w:r>
      <w:r>
        <w:rPr>
          <w:sz w:val="22"/>
          <w:szCs w:val="22"/>
        </w:rPr>
        <w:t xml:space="preserve">into </w:t>
      </w:r>
      <w:r w:rsidRPr="00697947">
        <w:rPr>
          <w:sz w:val="22"/>
          <w:szCs w:val="22"/>
        </w:rPr>
        <w:t xml:space="preserve">account economic developments over a three-or </w:t>
      </w:r>
      <w:r>
        <w:rPr>
          <w:sz w:val="22"/>
          <w:szCs w:val="22"/>
        </w:rPr>
        <w:t xml:space="preserve">a </w:t>
      </w:r>
      <w:r w:rsidRPr="00697947">
        <w:rPr>
          <w:sz w:val="22"/>
          <w:szCs w:val="22"/>
        </w:rPr>
        <w:t>five-year period</w:t>
      </w:r>
      <w:r>
        <w:rPr>
          <w:sz w:val="22"/>
          <w:szCs w:val="22"/>
        </w:rPr>
        <w:t xml:space="preserve"> (</w:t>
      </w:r>
      <w:r w:rsidR="00185C05">
        <w:rPr>
          <w:sz w:val="22"/>
          <w:szCs w:val="22"/>
        </w:rPr>
        <w:fldChar w:fldCharType="begin"/>
      </w:r>
      <w:r>
        <w:rPr>
          <w:sz w:val="22"/>
          <w:szCs w:val="22"/>
        </w:rPr>
        <w:instrText xml:space="preserve"> REF _Ref328146291 \h </w:instrText>
      </w:r>
      <w:r w:rsidR="00185C05">
        <w:rPr>
          <w:sz w:val="22"/>
          <w:szCs w:val="22"/>
        </w:rPr>
      </w:r>
      <w:r w:rsidR="00185C05">
        <w:rPr>
          <w:sz w:val="22"/>
          <w:szCs w:val="22"/>
        </w:rPr>
        <w:fldChar w:fldCharType="separate"/>
      </w:r>
      <w:r w:rsidRPr="00D7170A">
        <w:t xml:space="preserve">Table </w:t>
      </w:r>
      <w:r>
        <w:rPr>
          <w:noProof/>
        </w:rPr>
        <w:t>4</w:t>
      </w:r>
      <w:r w:rsidR="00185C05">
        <w:rPr>
          <w:sz w:val="22"/>
          <w:szCs w:val="22"/>
        </w:rPr>
        <w:fldChar w:fldCharType="end"/>
      </w:r>
      <w:r>
        <w:rPr>
          <w:sz w:val="22"/>
          <w:szCs w:val="22"/>
        </w:rPr>
        <w:t>)</w:t>
      </w:r>
      <w:r w:rsidRPr="00697947">
        <w:rPr>
          <w:sz w:val="22"/>
          <w:szCs w:val="22"/>
        </w:rPr>
        <w:t xml:space="preserve">. The EC concluded that </w:t>
      </w:r>
      <w:r>
        <w:rPr>
          <w:sz w:val="22"/>
          <w:szCs w:val="22"/>
        </w:rPr>
        <w:t xml:space="preserve">12 </w:t>
      </w:r>
      <w:r w:rsidRPr="00697947">
        <w:rPr>
          <w:sz w:val="22"/>
          <w:szCs w:val="22"/>
        </w:rPr>
        <w:t xml:space="preserve">countries needed </w:t>
      </w:r>
      <w:r>
        <w:rPr>
          <w:sz w:val="22"/>
          <w:szCs w:val="22"/>
        </w:rPr>
        <w:t xml:space="preserve">intensified </w:t>
      </w:r>
      <w:r w:rsidRPr="00697947">
        <w:rPr>
          <w:sz w:val="22"/>
          <w:szCs w:val="22"/>
        </w:rPr>
        <w:t xml:space="preserve">review to assess the degree of imbalances and </w:t>
      </w:r>
      <w:r>
        <w:rPr>
          <w:sz w:val="22"/>
          <w:szCs w:val="22"/>
        </w:rPr>
        <w:t xml:space="preserve">identify </w:t>
      </w:r>
      <w:r w:rsidRPr="00697947">
        <w:rPr>
          <w:sz w:val="22"/>
          <w:szCs w:val="22"/>
        </w:rPr>
        <w:t xml:space="preserve">policy measures to correct them. Three </w:t>
      </w:r>
      <w:r>
        <w:rPr>
          <w:sz w:val="22"/>
          <w:szCs w:val="22"/>
        </w:rPr>
        <w:t xml:space="preserve">EU11 </w:t>
      </w:r>
      <w:r w:rsidRPr="00697947">
        <w:rPr>
          <w:sz w:val="22"/>
          <w:szCs w:val="22"/>
        </w:rPr>
        <w:t xml:space="preserve">countries—Bulgaria, Hungary, and Slovenia—were </w:t>
      </w:r>
      <w:r>
        <w:rPr>
          <w:sz w:val="22"/>
          <w:szCs w:val="22"/>
        </w:rPr>
        <w:t xml:space="preserve">among them </w:t>
      </w:r>
      <w:r w:rsidRPr="00697947">
        <w:rPr>
          <w:sz w:val="22"/>
          <w:szCs w:val="22"/>
        </w:rPr>
        <w:t xml:space="preserve">based on large, </w:t>
      </w:r>
      <w:r>
        <w:rPr>
          <w:sz w:val="22"/>
          <w:szCs w:val="22"/>
        </w:rPr>
        <w:t xml:space="preserve">although </w:t>
      </w:r>
      <w:r w:rsidRPr="00697947">
        <w:rPr>
          <w:sz w:val="22"/>
          <w:szCs w:val="22"/>
        </w:rPr>
        <w:t>rapidly adjusting, external imbalances</w:t>
      </w:r>
      <w:r>
        <w:rPr>
          <w:sz w:val="22"/>
          <w:szCs w:val="22"/>
        </w:rPr>
        <w:t xml:space="preserve"> related to the </w:t>
      </w:r>
      <w:r w:rsidRPr="00697947">
        <w:rPr>
          <w:sz w:val="22"/>
          <w:szCs w:val="22"/>
        </w:rPr>
        <w:t>current account deficit (Bulgaria)</w:t>
      </w:r>
      <w:r>
        <w:rPr>
          <w:sz w:val="22"/>
          <w:szCs w:val="22"/>
        </w:rPr>
        <w:t>;</w:t>
      </w:r>
      <w:r w:rsidRPr="00697947">
        <w:rPr>
          <w:sz w:val="22"/>
          <w:szCs w:val="22"/>
        </w:rPr>
        <w:t xml:space="preserve"> net investment positions (Bulgaria and Hungary) and </w:t>
      </w:r>
      <w:r>
        <w:rPr>
          <w:sz w:val="22"/>
          <w:szCs w:val="22"/>
        </w:rPr>
        <w:t xml:space="preserve">the </w:t>
      </w:r>
      <w:r w:rsidRPr="00697947">
        <w:rPr>
          <w:sz w:val="22"/>
          <w:szCs w:val="22"/>
        </w:rPr>
        <w:t>rapid accumulation of internal imbalances</w:t>
      </w:r>
      <w:r>
        <w:rPr>
          <w:sz w:val="22"/>
          <w:szCs w:val="22"/>
        </w:rPr>
        <w:t xml:space="preserve">; </w:t>
      </w:r>
      <w:r w:rsidRPr="00697947">
        <w:rPr>
          <w:sz w:val="22"/>
          <w:szCs w:val="22"/>
        </w:rPr>
        <w:t>private sector debt (Bulgaria, Hungary</w:t>
      </w:r>
      <w:r>
        <w:rPr>
          <w:sz w:val="22"/>
          <w:szCs w:val="22"/>
        </w:rPr>
        <w:t>,</w:t>
      </w:r>
      <w:r w:rsidRPr="00697947">
        <w:rPr>
          <w:sz w:val="22"/>
          <w:szCs w:val="22"/>
        </w:rPr>
        <w:t xml:space="preserve"> and Slovenia)</w:t>
      </w:r>
      <w:r>
        <w:rPr>
          <w:sz w:val="22"/>
          <w:szCs w:val="22"/>
        </w:rPr>
        <w:t>;</w:t>
      </w:r>
      <w:r w:rsidRPr="00697947">
        <w:rPr>
          <w:sz w:val="22"/>
          <w:szCs w:val="22"/>
        </w:rPr>
        <w:t xml:space="preserve"> and general government debt (Hungary). </w:t>
      </w:r>
      <w:r>
        <w:rPr>
          <w:sz w:val="22"/>
          <w:szCs w:val="22"/>
        </w:rPr>
        <w:t xml:space="preserve">The AMR did not assess </w:t>
      </w:r>
      <w:r w:rsidRPr="00697947">
        <w:rPr>
          <w:sz w:val="22"/>
          <w:szCs w:val="22"/>
        </w:rPr>
        <w:t>Romania or the other countries with EU financial assistance programs (Greece, Ireland, and Portugal).</w:t>
      </w:r>
    </w:p>
    <w:p w:rsidR="0060585A" w:rsidRDefault="0060585A" w:rsidP="00C76DAA">
      <w:pPr>
        <w:spacing w:before="120" w:line="276" w:lineRule="auto"/>
        <w:rPr>
          <w:sz w:val="22"/>
        </w:rPr>
      </w:pPr>
      <w:r>
        <w:rPr>
          <w:sz w:val="22"/>
        </w:rPr>
        <w:t>Late i</w:t>
      </w:r>
      <w:r w:rsidRPr="00880954">
        <w:rPr>
          <w:sz w:val="22"/>
        </w:rPr>
        <w:t>n May</w:t>
      </w:r>
      <w:r w:rsidRPr="009E680D">
        <w:rPr>
          <w:sz w:val="22"/>
        </w:rPr>
        <w:t xml:space="preserve"> 2012</w:t>
      </w:r>
      <w:r w:rsidRPr="00880954">
        <w:rPr>
          <w:sz w:val="22"/>
        </w:rPr>
        <w:t xml:space="preserve"> the EC released the results of </w:t>
      </w:r>
      <w:r>
        <w:rPr>
          <w:sz w:val="22"/>
        </w:rPr>
        <w:t xml:space="preserve">its intensive </w:t>
      </w:r>
      <w:r w:rsidRPr="00880954">
        <w:rPr>
          <w:sz w:val="22"/>
        </w:rPr>
        <w:t xml:space="preserve">reviews and concluded that while the imbalances were not excessive, </w:t>
      </w:r>
      <w:r>
        <w:rPr>
          <w:sz w:val="22"/>
        </w:rPr>
        <w:t xml:space="preserve">in Cyprus and Spain </w:t>
      </w:r>
      <w:r w:rsidRPr="00880954">
        <w:rPr>
          <w:sz w:val="22"/>
        </w:rPr>
        <w:t>they need</w:t>
      </w:r>
      <w:r>
        <w:rPr>
          <w:sz w:val="22"/>
        </w:rPr>
        <w:t>ed</w:t>
      </w:r>
      <w:r w:rsidRPr="00880954">
        <w:rPr>
          <w:sz w:val="22"/>
        </w:rPr>
        <w:t xml:space="preserve"> to be addressed with urgency</w:t>
      </w:r>
      <w:r w:rsidRPr="009E680D">
        <w:rPr>
          <w:sz w:val="22"/>
        </w:rPr>
        <w:t>. T</w:t>
      </w:r>
      <w:r w:rsidRPr="00880954">
        <w:rPr>
          <w:sz w:val="22"/>
        </w:rPr>
        <w:t xml:space="preserve">he next </w:t>
      </w:r>
      <w:r>
        <w:rPr>
          <w:sz w:val="22"/>
        </w:rPr>
        <w:t xml:space="preserve">most </w:t>
      </w:r>
      <w:r w:rsidRPr="00880954">
        <w:rPr>
          <w:sz w:val="22"/>
        </w:rPr>
        <w:t>significant imbalances were identified in Hungary and Slovenia</w:t>
      </w:r>
      <w:r w:rsidRPr="009E680D">
        <w:rPr>
          <w:sz w:val="22"/>
        </w:rPr>
        <w:t>. Country-specific recommendations, proposed by the EC and to be adopted soon by the Council</w:t>
      </w:r>
      <w:r>
        <w:rPr>
          <w:sz w:val="22"/>
        </w:rPr>
        <w:t xml:space="preserve"> were: </w:t>
      </w:r>
    </w:p>
    <w:p w:rsidR="0060585A" w:rsidRDefault="0060585A" w:rsidP="00C76DAA">
      <w:pPr>
        <w:pStyle w:val="ListParagraph"/>
        <w:numPr>
          <w:ilvl w:val="0"/>
          <w:numId w:val="41"/>
        </w:numPr>
        <w:spacing w:before="120" w:line="276" w:lineRule="auto"/>
        <w:rPr>
          <w:sz w:val="22"/>
        </w:rPr>
      </w:pPr>
      <w:r w:rsidRPr="00697947">
        <w:rPr>
          <w:sz w:val="22"/>
        </w:rPr>
        <w:t>Bulgaria—reducing skills and regional labor market mismatches; reviewing minimum thresholds for</w:t>
      </w:r>
      <w:r>
        <w:rPr>
          <w:sz w:val="22"/>
        </w:rPr>
        <w:t xml:space="preserve"> </w:t>
      </w:r>
      <w:r w:rsidRPr="00697947">
        <w:rPr>
          <w:sz w:val="22"/>
        </w:rPr>
        <w:t xml:space="preserve">social security contributions; boosting total factor productivity; and reducing </w:t>
      </w:r>
      <w:r>
        <w:rPr>
          <w:sz w:val="22"/>
        </w:rPr>
        <w:t xml:space="preserve">the </w:t>
      </w:r>
      <w:r w:rsidRPr="00697947">
        <w:rPr>
          <w:sz w:val="22"/>
        </w:rPr>
        <w:t>risks of repeating boom-cycles</w:t>
      </w:r>
    </w:p>
    <w:p w:rsidR="0060585A" w:rsidRDefault="0060585A" w:rsidP="00C76DAA">
      <w:pPr>
        <w:pStyle w:val="ListParagraph"/>
        <w:numPr>
          <w:ilvl w:val="0"/>
          <w:numId w:val="41"/>
        </w:numPr>
        <w:spacing w:before="120" w:line="276" w:lineRule="auto"/>
        <w:rPr>
          <w:sz w:val="22"/>
        </w:rPr>
      </w:pPr>
      <w:r w:rsidRPr="00697947">
        <w:rPr>
          <w:sz w:val="22"/>
        </w:rPr>
        <w:t>Hungary—creating condition</w:t>
      </w:r>
      <w:r>
        <w:rPr>
          <w:sz w:val="22"/>
        </w:rPr>
        <w:t>s</w:t>
      </w:r>
      <w:r w:rsidRPr="00697947">
        <w:rPr>
          <w:sz w:val="22"/>
        </w:rPr>
        <w:t xml:space="preserve"> for </w:t>
      </w:r>
      <w:r>
        <w:rPr>
          <w:sz w:val="22"/>
        </w:rPr>
        <w:t xml:space="preserve">a </w:t>
      </w:r>
      <w:r w:rsidRPr="00697947">
        <w:rPr>
          <w:sz w:val="22"/>
        </w:rPr>
        <w:t xml:space="preserve">stable policy environment and </w:t>
      </w:r>
      <w:r>
        <w:rPr>
          <w:sz w:val="22"/>
        </w:rPr>
        <w:t xml:space="preserve">a </w:t>
      </w:r>
      <w:r w:rsidRPr="00697947">
        <w:rPr>
          <w:sz w:val="22"/>
        </w:rPr>
        <w:t>well-functioning institutional system; reducing public debt and external exposure; and raising growth potential through labor and product market reforms</w:t>
      </w:r>
    </w:p>
    <w:p w:rsidR="0060585A" w:rsidRDefault="0060585A" w:rsidP="00C76DAA">
      <w:pPr>
        <w:pStyle w:val="ListParagraph"/>
        <w:numPr>
          <w:ilvl w:val="0"/>
          <w:numId w:val="41"/>
        </w:numPr>
        <w:spacing w:before="120" w:line="276" w:lineRule="auto"/>
        <w:rPr>
          <w:sz w:val="22"/>
        </w:rPr>
      </w:pPr>
      <w:r w:rsidRPr="00697947">
        <w:rPr>
          <w:sz w:val="22"/>
        </w:rPr>
        <w:t>Slovenia—tighte</w:t>
      </w:r>
      <w:r>
        <w:rPr>
          <w:sz w:val="22"/>
        </w:rPr>
        <w:t>ning</w:t>
      </w:r>
      <w:r w:rsidRPr="00697947">
        <w:rPr>
          <w:sz w:val="22"/>
        </w:rPr>
        <w:t xml:space="preserve"> prudential standards and improv</w:t>
      </w:r>
      <w:r>
        <w:rPr>
          <w:sz w:val="22"/>
        </w:rPr>
        <w:t>ing</w:t>
      </w:r>
      <w:r w:rsidRPr="00697947">
        <w:rPr>
          <w:sz w:val="22"/>
        </w:rPr>
        <w:t xml:space="preserve"> corporate governance; creating a good investment climate</w:t>
      </w:r>
      <w:r>
        <w:rPr>
          <w:sz w:val="22"/>
        </w:rPr>
        <w:t xml:space="preserve">, especially </w:t>
      </w:r>
      <w:r w:rsidRPr="00697947">
        <w:rPr>
          <w:sz w:val="22"/>
        </w:rPr>
        <w:t xml:space="preserve">for FDI in productive sectors; </w:t>
      </w:r>
      <w:r>
        <w:rPr>
          <w:sz w:val="22"/>
        </w:rPr>
        <w:t xml:space="preserve">and </w:t>
      </w:r>
      <w:r w:rsidRPr="00697947">
        <w:rPr>
          <w:sz w:val="22"/>
        </w:rPr>
        <w:t>containing growth</w:t>
      </w:r>
      <w:r>
        <w:rPr>
          <w:sz w:val="22"/>
        </w:rPr>
        <w:t xml:space="preserve"> in wages.</w:t>
      </w:r>
    </w:p>
    <w:p w:rsidR="0060585A" w:rsidRPr="00D16709" w:rsidRDefault="0060585A" w:rsidP="00C76DAA">
      <w:pPr>
        <w:spacing w:after="200" w:line="276" w:lineRule="auto"/>
        <w:rPr>
          <w:i/>
          <w:sz w:val="18"/>
          <w:szCs w:val="22"/>
        </w:rPr>
      </w:pPr>
    </w:p>
    <w:p w:rsidR="0060585A" w:rsidRPr="00D7170A" w:rsidRDefault="0060585A" w:rsidP="004D31F4">
      <w:pPr>
        <w:pStyle w:val="Caption"/>
        <w:keepNext/>
        <w:keepLines/>
        <w:spacing w:before="60" w:after="60" w:line="276" w:lineRule="auto"/>
        <w:jc w:val="left"/>
        <w:rPr>
          <w:sz w:val="24"/>
          <w:szCs w:val="24"/>
        </w:rPr>
      </w:pPr>
      <w:bookmarkStart w:id="67" w:name="_Ref328146291"/>
      <w:r w:rsidRPr="00D7170A">
        <w:rPr>
          <w:sz w:val="24"/>
          <w:szCs w:val="24"/>
        </w:rPr>
        <w:lastRenderedPageBreak/>
        <w:t xml:space="preserve">Table </w:t>
      </w:r>
      <w:r w:rsidR="00185C05" w:rsidRPr="00D7170A">
        <w:rPr>
          <w:sz w:val="24"/>
          <w:szCs w:val="24"/>
        </w:rPr>
        <w:fldChar w:fldCharType="begin"/>
      </w:r>
      <w:r w:rsidRPr="00D7170A">
        <w:rPr>
          <w:sz w:val="24"/>
          <w:szCs w:val="24"/>
        </w:rPr>
        <w:instrText xml:space="preserve"> SEQ Table \* ARABIC </w:instrText>
      </w:r>
      <w:r w:rsidR="00185C05" w:rsidRPr="00D7170A">
        <w:rPr>
          <w:sz w:val="24"/>
          <w:szCs w:val="24"/>
        </w:rPr>
        <w:fldChar w:fldCharType="separate"/>
      </w:r>
      <w:r>
        <w:rPr>
          <w:noProof/>
          <w:sz w:val="24"/>
          <w:szCs w:val="24"/>
        </w:rPr>
        <w:t>4</w:t>
      </w:r>
      <w:r w:rsidR="00185C05" w:rsidRPr="00D7170A">
        <w:rPr>
          <w:sz w:val="24"/>
          <w:szCs w:val="24"/>
        </w:rPr>
        <w:fldChar w:fldCharType="end"/>
      </w:r>
      <w:bookmarkEnd w:id="67"/>
      <w:r w:rsidRPr="00D7170A">
        <w:rPr>
          <w:sz w:val="24"/>
          <w:szCs w:val="24"/>
        </w:rPr>
        <w:t>: EC Internal and External Imbalances Assessment, selected EU11</w:t>
      </w:r>
      <w:r>
        <w:rPr>
          <w:sz w:val="24"/>
          <w:szCs w:val="24"/>
        </w:rPr>
        <w:t>, 2010</w:t>
      </w:r>
    </w:p>
    <w:p w:rsidR="0060585A" w:rsidRDefault="00A1042F" w:rsidP="00E41045">
      <w:pPr>
        <w:spacing w:line="276" w:lineRule="auto"/>
        <w:rPr>
          <w:sz w:val="22"/>
          <w:szCs w:val="22"/>
        </w:rPr>
      </w:pPr>
      <w:r>
        <w:rPr>
          <w:noProof/>
          <w:sz w:val="22"/>
          <w:szCs w:val="22"/>
        </w:rPr>
        <w:drawing>
          <wp:inline distT="0" distB="0" distL="0" distR="0">
            <wp:extent cx="6286500" cy="2457450"/>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a:srcRect/>
                    <a:stretch>
                      <a:fillRect/>
                    </a:stretch>
                  </pic:blipFill>
                  <pic:spPr bwMode="auto">
                    <a:xfrm>
                      <a:off x="0" y="0"/>
                      <a:ext cx="6286500" cy="2457450"/>
                    </a:xfrm>
                    <a:prstGeom prst="rect">
                      <a:avLst/>
                    </a:prstGeom>
                    <a:noFill/>
                    <a:ln w="9525">
                      <a:noFill/>
                      <a:miter lim="800000"/>
                      <a:headEnd/>
                      <a:tailEnd/>
                    </a:ln>
                  </pic:spPr>
                </pic:pic>
              </a:graphicData>
            </a:graphic>
          </wp:inline>
        </w:drawing>
      </w:r>
    </w:p>
    <w:p w:rsidR="0060585A" w:rsidRPr="00D7170A" w:rsidRDefault="0060585A" w:rsidP="00E41045">
      <w:pPr>
        <w:spacing w:line="276" w:lineRule="auto"/>
        <w:rPr>
          <w:sz w:val="22"/>
          <w:szCs w:val="22"/>
        </w:rPr>
      </w:pPr>
      <w:r w:rsidRPr="001E7102">
        <w:rPr>
          <w:i/>
          <w:sz w:val="18"/>
          <w:szCs w:val="18"/>
        </w:rPr>
        <w:t>Source:</w:t>
      </w:r>
      <w:r>
        <w:rPr>
          <w:i/>
          <w:sz w:val="18"/>
          <w:szCs w:val="18"/>
        </w:rPr>
        <w:t xml:space="preserve"> </w:t>
      </w:r>
      <w:r>
        <w:rPr>
          <w:sz w:val="18"/>
          <w:szCs w:val="18"/>
        </w:rPr>
        <w:t>EC</w:t>
      </w:r>
    </w:p>
    <w:p w:rsidR="0060585A" w:rsidRDefault="0060585A" w:rsidP="00E41045">
      <w:pPr>
        <w:spacing w:before="120" w:line="276" w:lineRule="auto"/>
        <w:rPr>
          <w:sz w:val="22"/>
        </w:rPr>
      </w:pPr>
    </w:p>
    <w:p w:rsidR="0060585A" w:rsidRDefault="0060585A" w:rsidP="00A666F8">
      <w:pPr>
        <w:pStyle w:val="Title"/>
        <w:sectPr w:rsidR="0060585A" w:rsidSect="00555E45">
          <w:pgSz w:w="12240" w:h="15840"/>
          <w:pgMar w:top="1440" w:right="1440" w:bottom="1440" w:left="1440" w:header="720" w:footer="720" w:gutter="0"/>
          <w:pgNumType w:start="1"/>
          <w:cols w:space="720"/>
          <w:titlePg/>
          <w:docGrid w:linePitch="360"/>
        </w:sectPr>
      </w:pPr>
    </w:p>
    <w:p w:rsidR="0060585A" w:rsidRDefault="0060585A" w:rsidP="00A666F8">
      <w:pPr>
        <w:pStyle w:val="Title"/>
      </w:pPr>
    </w:p>
    <w:p w:rsidR="0060585A" w:rsidRDefault="0060585A" w:rsidP="00A666F8">
      <w:pPr>
        <w:pStyle w:val="Title"/>
      </w:pPr>
    </w:p>
    <w:p w:rsidR="0060585A" w:rsidRDefault="0060585A" w:rsidP="00A666F8">
      <w:pPr>
        <w:pStyle w:val="Title"/>
      </w:pPr>
    </w:p>
    <w:p w:rsidR="0060585A" w:rsidRDefault="0060585A" w:rsidP="00A666F8">
      <w:pPr>
        <w:pStyle w:val="Title"/>
      </w:pPr>
    </w:p>
    <w:p w:rsidR="0060585A" w:rsidRDefault="0060585A" w:rsidP="00A666F8">
      <w:pPr>
        <w:pStyle w:val="Title"/>
      </w:pPr>
    </w:p>
    <w:p w:rsidR="0060585A" w:rsidRDefault="0060585A" w:rsidP="00A666F8">
      <w:pPr>
        <w:pStyle w:val="Title"/>
      </w:pPr>
    </w:p>
    <w:p w:rsidR="0060585A" w:rsidRDefault="0060585A" w:rsidP="00A666F8">
      <w:pPr>
        <w:pStyle w:val="Title"/>
      </w:pPr>
    </w:p>
    <w:p w:rsidR="0060585A" w:rsidRDefault="0060585A" w:rsidP="00A666F8">
      <w:pPr>
        <w:pStyle w:val="Title"/>
      </w:pPr>
    </w:p>
    <w:p w:rsidR="0060585A" w:rsidRPr="00C922C7" w:rsidRDefault="0060585A" w:rsidP="00A666F8">
      <w:pPr>
        <w:pStyle w:val="Title"/>
        <w:jc w:val="right"/>
        <w:rPr>
          <w:smallCaps/>
          <w:shadow/>
          <w:color w:val="FFC000"/>
        </w:rPr>
      </w:pPr>
      <w:bookmarkStart w:id="68" w:name="_Toc328295596"/>
      <w:r w:rsidRPr="00A666F8">
        <w:rPr>
          <w:smallCaps/>
          <w:shadow/>
          <w:sz w:val="96"/>
        </w:rPr>
        <w:t>Special Topic</w:t>
      </w:r>
      <w:r>
        <w:rPr>
          <w:smallCaps/>
          <w:shadow/>
          <w:sz w:val="96"/>
        </w:rPr>
        <w:t xml:space="preserve">: </w:t>
      </w:r>
      <w:r w:rsidR="00C922C7">
        <w:rPr>
          <w:smallCaps/>
          <w:shadow/>
          <w:sz w:val="96"/>
        </w:rPr>
        <w:t xml:space="preserve">   </w:t>
      </w:r>
      <w:r w:rsidRPr="00C922C7">
        <w:rPr>
          <w:smallCaps/>
          <w:shadow/>
          <w:color w:val="FFC000"/>
          <w:sz w:val="96"/>
        </w:rPr>
        <w:t>Drivers of Convergence in EU11</w:t>
      </w:r>
      <w:bookmarkEnd w:id="68"/>
    </w:p>
    <w:p w:rsidR="0060585A" w:rsidRDefault="0060585A">
      <w:pPr>
        <w:spacing w:after="200" w:line="276" w:lineRule="auto"/>
        <w:jc w:val="left"/>
        <w:rPr>
          <w:rFonts w:ascii="ITCFranklinGothic LT Com MdCn" w:hAnsi="ITCFranklinGothic LT Com MdCn"/>
          <w:color w:val="005BAB"/>
          <w:sz w:val="48"/>
        </w:rPr>
      </w:pPr>
      <w:r>
        <w:rPr>
          <w:rFonts w:ascii="ITCFranklinGothic LT Com MdCn" w:hAnsi="ITCFranklinGothic LT Com MdCn"/>
          <w:color w:val="005BAB"/>
          <w:sz w:val="48"/>
        </w:rPr>
        <w:br w:type="page"/>
      </w:r>
    </w:p>
    <w:p w:rsidR="0060585A" w:rsidRPr="00EB1728" w:rsidRDefault="0060585A" w:rsidP="00861DDB">
      <w:pPr>
        <w:pStyle w:val="ChapterTitle"/>
      </w:pPr>
      <w:bookmarkStart w:id="69" w:name="_Toc328295597"/>
      <w:r>
        <w:lastRenderedPageBreak/>
        <w:t>I</w:t>
      </w:r>
      <w:r w:rsidRPr="00EB1728">
        <w:t>ntroduction</w:t>
      </w:r>
      <w:bookmarkEnd w:id="69"/>
    </w:p>
    <w:p w:rsidR="0060585A" w:rsidRPr="00C922C7" w:rsidRDefault="0060585A" w:rsidP="007C6E13">
      <w:pPr>
        <w:rPr>
          <w:szCs w:val="22"/>
        </w:rPr>
      </w:pPr>
      <w:r w:rsidRPr="00C922C7">
        <w:rPr>
          <w:b/>
          <w:szCs w:val="22"/>
        </w:rPr>
        <w:t>The European economic growth model has delivered unprecedented welfare to the continent over the last half century.</w:t>
      </w:r>
      <w:r w:rsidRPr="00C922C7">
        <w:rPr>
          <w:szCs w:val="22"/>
        </w:rPr>
        <w:t xml:space="preserve"> The model’s blend of enterprise and social inclusion is unique. The resultant continuous process of economic integration in Europe over the last half century boosted economic growth and facilitated income convergence throughout the region, often driven by trade and financial linkages. European enterprises not only profited immensely from integration but are significantly more socially responsible than in other parts of the world. European states invest heavily in education and research and development (R&amp;D) activities and offer social protection to workers both during and after their participation in the labor market. In the last two decades, the virtues of the European growth model have now materialized in the income convergence being experienced by EU11.</w:t>
      </w:r>
      <w:r w:rsidRPr="00C922C7">
        <w:rPr>
          <w:rStyle w:val="FootnoteReference"/>
          <w:szCs w:val="22"/>
        </w:rPr>
        <w:footnoteReference w:id="9"/>
      </w:r>
    </w:p>
    <w:p w:rsidR="0060585A" w:rsidRPr="00C922C7" w:rsidRDefault="0060585A" w:rsidP="007C6E13">
      <w:pPr>
        <w:rPr>
          <w:b/>
          <w:szCs w:val="22"/>
        </w:rPr>
      </w:pPr>
    </w:p>
    <w:p w:rsidR="0060585A" w:rsidRPr="00C922C7" w:rsidRDefault="0060585A" w:rsidP="007C6E13">
      <w:pPr>
        <w:rPr>
          <w:szCs w:val="22"/>
        </w:rPr>
      </w:pPr>
      <w:r w:rsidRPr="00C922C7">
        <w:rPr>
          <w:b/>
          <w:szCs w:val="22"/>
        </w:rPr>
        <w:t>In spite of its remarkable success, several aspects of the European economic growth model require reform to ensure that it is sustainable.</w:t>
      </w:r>
      <w:r w:rsidRPr="00C922C7">
        <w:rPr>
          <w:szCs w:val="22"/>
        </w:rPr>
        <w:t xml:space="preserve"> Among the priorities for many European states today are providing incentives for labor mobility, making public finances more sustainable, and adapting social security systems to demographic developments, and harmonizing regulation across borders. </w:t>
      </w:r>
    </w:p>
    <w:p w:rsidR="0060585A" w:rsidRPr="00C922C7" w:rsidRDefault="0060585A" w:rsidP="007C6E13">
      <w:pPr>
        <w:rPr>
          <w:szCs w:val="22"/>
        </w:rPr>
      </w:pPr>
    </w:p>
    <w:p w:rsidR="0060585A" w:rsidRPr="00C922C7" w:rsidRDefault="0060585A" w:rsidP="007C6E13">
      <w:pPr>
        <w:rPr>
          <w:szCs w:val="22"/>
        </w:rPr>
      </w:pPr>
      <w:r w:rsidRPr="00C922C7">
        <w:rPr>
          <w:b/>
          <w:szCs w:val="22"/>
        </w:rPr>
        <w:t>This note zeroes in on the EU11 region to explore what is driving their prosperity and growth.</w:t>
      </w:r>
      <w:r w:rsidRPr="00C922C7">
        <w:rPr>
          <w:rStyle w:val="FootnoteReference"/>
          <w:szCs w:val="22"/>
        </w:rPr>
        <w:footnoteReference w:id="10"/>
      </w:r>
      <w:r w:rsidRPr="00C922C7">
        <w:rPr>
          <w:b/>
          <w:szCs w:val="22"/>
        </w:rPr>
        <w:t xml:space="preserve"> </w:t>
      </w:r>
      <w:r w:rsidRPr="00C922C7">
        <w:rPr>
          <w:szCs w:val="22"/>
        </w:rPr>
        <w:t xml:space="preserve">Since they began the transformation process, this group of emerging countries has made impressive strides as developing market economies and is anchoring development in EU institutions. The speed at which economic integration has taken place and its healthy returns in terms of income growth and convergence make the EU11 countries particularly interesting economies to study. </w:t>
      </w:r>
    </w:p>
    <w:p w:rsidR="0060585A" w:rsidRPr="00C922C7" w:rsidRDefault="0060585A" w:rsidP="007C6E13">
      <w:pPr>
        <w:rPr>
          <w:szCs w:val="22"/>
        </w:rPr>
      </w:pPr>
    </w:p>
    <w:p w:rsidR="0060585A" w:rsidRPr="00C922C7" w:rsidRDefault="0060585A" w:rsidP="007C6E13">
      <w:pPr>
        <w:rPr>
          <w:b/>
          <w:szCs w:val="22"/>
        </w:rPr>
      </w:pPr>
      <w:r w:rsidRPr="00C922C7">
        <w:rPr>
          <w:b/>
          <w:szCs w:val="22"/>
        </w:rPr>
        <w:t>The main messages related to the drivers of growth and prosperity in EU11 are as follows:</w:t>
      </w:r>
    </w:p>
    <w:p w:rsidR="0060585A" w:rsidRPr="00C922C7" w:rsidRDefault="0060585A" w:rsidP="007C6E13">
      <w:pPr>
        <w:pStyle w:val="ListParagraph"/>
        <w:numPr>
          <w:ilvl w:val="0"/>
          <w:numId w:val="43"/>
        </w:numPr>
        <w:rPr>
          <w:szCs w:val="22"/>
        </w:rPr>
      </w:pPr>
      <w:r w:rsidRPr="00C922C7">
        <w:rPr>
          <w:b/>
          <w:szCs w:val="22"/>
        </w:rPr>
        <w:t>Convergence:</w:t>
      </w:r>
      <w:r w:rsidRPr="00C922C7">
        <w:rPr>
          <w:szCs w:val="22"/>
        </w:rPr>
        <w:t xml:space="preserve"> The financial crisis had a significant effect on income growth in the region; as a result, the extraordinary income convergence process that took place in the last decade has decelerated. The EU11 region does have good prospects for further convergence dynamics although the speed of income convergence may differ significantly across economies. Largest gains in income convergence in EU11 will come from closing the gap in human capital investment with EU15.</w:t>
      </w:r>
    </w:p>
    <w:p w:rsidR="0060585A" w:rsidRPr="00C922C7" w:rsidRDefault="0060585A" w:rsidP="007C6E13">
      <w:pPr>
        <w:pStyle w:val="ListParagraph"/>
        <w:numPr>
          <w:ilvl w:val="0"/>
          <w:numId w:val="43"/>
        </w:numPr>
        <w:rPr>
          <w:szCs w:val="22"/>
        </w:rPr>
      </w:pPr>
      <w:r w:rsidRPr="00C922C7">
        <w:rPr>
          <w:b/>
          <w:szCs w:val="22"/>
        </w:rPr>
        <w:t>Trade and finance:</w:t>
      </w:r>
      <w:r w:rsidRPr="00C922C7">
        <w:rPr>
          <w:szCs w:val="22"/>
        </w:rPr>
        <w:t xml:space="preserve"> Although trade and finance have fueled convergence in incomes and living standards, trade in modern services has not increased concomitantly. Trade will remain pivotal for sustaining economic growth in EU11. Financial </w:t>
      </w:r>
      <w:r w:rsidRPr="00C922C7">
        <w:rPr>
          <w:szCs w:val="22"/>
        </w:rPr>
        <w:lastRenderedPageBreak/>
        <w:t>integration within EU11 and between EU11 and EU15 will continue, but with a focus on strengthening stability in cross-border banking.</w:t>
      </w:r>
    </w:p>
    <w:p w:rsidR="0060585A" w:rsidRPr="00C922C7" w:rsidRDefault="0060585A" w:rsidP="007C6E13">
      <w:pPr>
        <w:pStyle w:val="ListParagraph"/>
        <w:numPr>
          <w:ilvl w:val="0"/>
          <w:numId w:val="43"/>
        </w:numPr>
        <w:rPr>
          <w:szCs w:val="22"/>
        </w:rPr>
      </w:pPr>
      <w:r w:rsidRPr="00C922C7">
        <w:rPr>
          <w:b/>
          <w:szCs w:val="22"/>
        </w:rPr>
        <w:t>Enterprise and innovation</w:t>
      </w:r>
      <w:r w:rsidRPr="00C922C7">
        <w:rPr>
          <w:szCs w:val="22"/>
        </w:rPr>
        <w:t>: Firms in EU11 have been successful at creating jobs, raising productivity, and competing in international markets. Innovation indicators, however, suggest that EU11 countries as a group lag behind other EU member states.</w:t>
      </w:r>
    </w:p>
    <w:p w:rsidR="0060585A" w:rsidRPr="00C922C7" w:rsidRDefault="0060585A" w:rsidP="007C6E13">
      <w:pPr>
        <w:pStyle w:val="ListParagraph"/>
        <w:numPr>
          <w:ilvl w:val="0"/>
          <w:numId w:val="43"/>
        </w:numPr>
        <w:rPr>
          <w:szCs w:val="22"/>
        </w:rPr>
      </w:pPr>
      <w:r w:rsidRPr="00C922C7">
        <w:rPr>
          <w:b/>
          <w:szCs w:val="22"/>
        </w:rPr>
        <w:t>Labor</w:t>
      </w:r>
      <w:r w:rsidRPr="00C922C7">
        <w:rPr>
          <w:szCs w:val="22"/>
        </w:rPr>
        <w:t>: Recent demographic developments in Europe are raising questions about the sustainability of the European growth model. Because of demographics, policies to close the educational attainment gap and create incentives for labor market participation and the return of skilled workers who have migrated will gain in importance.</w:t>
      </w:r>
    </w:p>
    <w:p w:rsidR="0060585A" w:rsidRPr="00C922C7" w:rsidRDefault="0060585A" w:rsidP="007C6E13">
      <w:pPr>
        <w:pStyle w:val="ListParagraph"/>
        <w:numPr>
          <w:ilvl w:val="0"/>
          <w:numId w:val="43"/>
        </w:numPr>
        <w:rPr>
          <w:szCs w:val="22"/>
        </w:rPr>
      </w:pPr>
      <w:r w:rsidRPr="00C922C7">
        <w:rPr>
          <w:b/>
          <w:szCs w:val="22"/>
        </w:rPr>
        <w:t>Government</w:t>
      </w:r>
      <w:r w:rsidRPr="00C922C7">
        <w:rPr>
          <w:szCs w:val="22"/>
        </w:rPr>
        <w:t>: EU integration has helped enhance the quality of government by strengthening the rule of law, facilitating economic openness, and promoting voice and accountability. This was achieved mainly through high outlays for social benefits. E11 governments are still larger than in other emerging countries with similar income levels. This differential and shortcomings in government effectiveness are holding back growth. Moreover, pressures for more social spending are likely to rise as the demographics worsen.</w:t>
      </w:r>
    </w:p>
    <w:p w:rsidR="0060585A" w:rsidRPr="00075D89" w:rsidRDefault="0060585A" w:rsidP="007C6E13">
      <w:pPr>
        <w:pStyle w:val="IntenseQuote"/>
        <w:rPr>
          <w:rFonts w:ascii="Cambria" w:hAnsi="Cambria"/>
          <w:sz w:val="22"/>
          <w:szCs w:val="22"/>
        </w:rPr>
      </w:pPr>
    </w:p>
    <w:p w:rsidR="0060585A" w:rsidRPr="00EB1728" w:rsidRDefault="0060585A" w:rsidP="00861DDB">
      <w:pPr>
        <w:pStyle w:val="ChapterTitle"/>
      </w:pPr>
      <w:bookmarkStart w:id="70" w:name="_Toc328295598"/>
      <w:r w:rsidRPr="00EB1728">
        <w:t>Income Convergence and Post-Crisis Prospects for EU11</w:t>
      </w:r>
      <w:bookmarkEnd w:id="70"/>
    </w:p>
    <w:p w:rsidR="0060585A" w:rsidRPr="00C922C7" w:rsidRDefault="0060585A" w:rsidP="007C6E13">
      <w:pPr>
        <w:rPr>
          <w:szCs w:val="22"/>
        </w:rPr>
      </w:pPr>
      <w:r w:rsidRPr="00C922C7">
        <w:rPr>
          <w:b/>
          <w:szCs w:val="22"/>
        </w:rPr>
        <w:t>Europe’s economic growth in the last half century has noticeably narrowed income differentials between countries.</w:t>
      </w:r>
      <w:r w:rsidRPr="00C922C7">
        <w:rPr>
          <w:szCs w:val="22"/>
        </w:rPr>
        <w:t xml:space="preserve"> From 1950 through 1973, Western European incomes converged quickly toward those in the United States. Then, by the early 1990s, the incomes of more than 100 million people in the poor south—Greece, southern Italy, Portugal, and Spain—grew closer to those of advanced Europe. The European convergence in consumption levels in the last four decades is unmatched. Annual per capita consumption in the southern periphery of the EU grew by 4 percent, while the 2 percent increase in the wealthier EU members was still impressive.  Except for East Asia, the rest of the world has seen little or no convergence. </w:t>
      </w:r>
    </w:p>
    <w:p w:rsidR="0060585A" w:rsidRPr="00C922C7" w:rsidRDefault="0060585A" w:rsidP="007C6E13">
      <w:pPr>
        <w:rPr>
          <w:szCs w:val="22"/>
        </w:rPr>
      </w:pPr>
    </w:p>
    <w:p w:rsidR="0060585A" w:rsidRPr="00C922C7" w:rsidRDefault="0060585A" w:rsidP="007C6E13">
      <w:pPr>
        <w:rPr>
          <w:szCs w:val="22"/>
        </w:rPr>
      </w:pPr>
      <w:r w:rsidRPr="00C922C7">
        <w:rPr>
          <w:b/>
          <w:szCs w:val="22"/>
        </w:rPr>
        <w:t>Starting with the EU association process of the Czech Republic, Hungary, Poland, Slovakia, Slovenia and the Baltic countries in the mid-1990, another 100 million people were gradually absorbed into the EU, and their incomes also increased quickly.</w:t>
      </w:r>
      <w:r w:rsidRPr="00C922C7">
        <w:rPr>
          <w:szCs w:val="22"/>
        </w:rPr>
        <w:t xml:space="preserve"> In 2010 income per capita in Hungary was roughly 47 percent higher than in 1994, and Poland’s income per capita had more than doubled. Income per capita in the EU11 grew 5 percent annually between 1994 and 2010, narrowing the income gap between EU11 and EU15 by more than 6.5 percentage points. The income convergence dynamics for the period were mirrored in similar cross-country labor productivity growth, with the EU11 region moving toward (though still far from) the other EU economies. From </w:t>
      </w:r>
      <w:r w:rsidRPr="00C922C7">
        <w:rPr>
          <w:szCs w:val="22"/>
        </w:rPr>
        <w:lastRenderedPageBreak/>
        <w:t xml:space="preserve">an institutional point of view, the EU’s Structural Funds played a particular role for equalizing fiscal capacity across European regions, so as to foster income convergence.   </w:t>
      </w:r>
    </w:p>
    <w:p w:rsidR="0060585A" w:rsidRPr="00C922C7" w:rsidRDefault="0060585A" w:rsidP="007C6E13">
      <w:pPr>
        <w:rPr>
          <w:szCs w:val="22"/>
        </w:rPr>
      </w:pPr>
    </w:p>
    <w:p w:rsidR="0060585A" w:rsidRPr="00C922C7" w:rsidRDefault="0060585A" w:rsidP="007C6E13">
      <w:pPr>
        <w:rPr>
          <w:szCs w:val="22"/>
        </w:rPr>
      </w:pPr>
      <w:r w:rsidRPr="00C922C7">
        <w:rPr>
          <w:b/>
          <w:szCs w:val="22"/>
        </w:rPr>
        <w:t xml:space="preserve">The global financial crisis and the economic recession in Europe have slowed the pace of income convergence for the EU11 region.  </w:t>
      </w:r>
      <w:r w:rsidRPr="00C922C7">
        <w:rPr>
          <w:szCs w:val="22"/>
        </w:rPr>
        <w:t>GDP losses in the region hide very marked country differences.  For some EU11 countries, the crisis brought major cumulative GDP losses (Latvia and Estonia), but others were affected only minimally (Poland and Slovakia). From 2005 through 2010 there was considerable income convergence in Poland and Slovakia, but in others (notably Estonia, Hungary, and Latvia) income convergence stagnated relative to the rest of the EU. The speed at which the gap in average income per capita between EU11 and the rest of the EU closes provides a measure of convergence. That fell from 0.70 percent a year for 2000–2004 to 0.42 percent for 2005–2010, but for the latter period the effects of the crisis on income convergence dynamics become abundantly clear. The average gap-closing speed for 2005–2007 was 16 times faster than the 0.06 percent a year recorded for 2008–2010.The link between the initial level of income per capita and subsequent growth is much stronger in the period 2000-2004 than in 2005-2010.</w:t>
      </w:r>
      <w:r w:rsidRPr="00C922C7">
        <w:rPr>
          <w:rStyle w:val="FootnoteReference"/>
          <w:szCs w:val="22"/>
        </w:rPr>
        <w:footnoteReference w:id="11"/>
      </w:r>
      <w:r w:rsidRPr="00C922C7">
        <w:rPr>
          <w:szCs w:val="22"/>
        </w:rPr>
        <w:t xml:space="preserve"> To sum up, while the period 2000-2010 was characterized by a generalized income convergence trend in the region, the “boom-bust” dynamics in several economies of EU11 made the within-decade developments very heterogeneous.</w:t>
      </w:r>
    </w:p>
    <w:p w:rsidR="0060585A" w:rsidRPr="00075D89" w:rsidRDefault="0060585A" w:rsidP="007C6E13">
      <w:pPr>
        <w:rPr>
          <w:b/>
          <w:sz w:val="22"/>
          <w:szCs w:val="22"/>
        </w:rPr>
      </w:pPr>
    </w:p>
    <w:p w:rsidR="0060585A" w:rsidRPr="00EB1728" w:rsidRDefault="0060585A" w:rsidP="002A4C0C">
      <w:pPr>
        <w:pStyle w:val="Caption"/>
        <w:keepNext/>
        <w:keepLines/>
        <w:spacing w:before="60" w:after="60"/>
        <w:jc w:val="left"/>
        <w:rPr>
          <w:sz w:val="22"/>
          <w:szCs w:val="22"/>
        </w:rPr>
      </w:pPr>
      <w:r w:rsidRPr="00EB1728">
        <w:rPr>
          <w:sz w:val="22"/>
          <w:szCs w:val="22"/>
        </w:rPr>
        <w:t>Figure 1. Average Annual Real GDP Growth (Percent)</w:t>
      </w:r>
    </w:p>
    <w:p w:rsidR="0060585A" w:rsidRPr="00982556" w:rsidRDefault="00A1042F" w:rsidP="002A4C0C">
      <w:pPr>
        <w:keepNext/>
        <w:keepLines/>
        <w:jc w:val="left"/>
        <w:rPr>
          <w:rFonts w:ascii="Times New Roman" w:hAnsi="Times New Roman"/>
        </w:rPr>
      </w:pPr>
      <w:r>
        <w:rPr>
          <w:rFonts w:ascii="Times New Roman" w:hAnsi="Times New Roman"/>
          <w:noProof/>
        </w:rPr>
        <w:drawing>
          <wp:inline distT="0" distB="0" distL="0" distR="0">
            <wp:extent cx="3181350" cy="1600200"/>
            <wp:effectExtent l="19050" t="0" r="0" b="0"/>
            <wp:docPr id="8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4"/>
                    <a:srcRect/>
                    <a:stretch>
                      <a:fillRect/>
                    </a:stretch>
                  </pic:blipFill>
                  <pic:spPr bwMode="auto">
                    <a:xfrm>
                      <a:off x="0" y="0"/>
                      <a:ext cx="3181350" cy="1600200"/>
                    </a:xfrm>
                    <a:prstGeom prst="rect">
                      <a:avLst/>
                    </a:prstGeom>
                    <a:noFill/>
                    <a:ln w="9525">
                      <a:noFill/>
                      <a:miter lim="800000"/>
                      <a:headEnd/>
                      <a:tailEnd/>
                    </a:ln>
                  </pic:spPr>
                </pic:pic>
              </a:graphicData>
            </a:graphic>
          </wp:inline>
        </w:drawing>
      </w:r>
    </w:p>
    <w:p w:rsidR="0060585A" w:rsidRDefault="0060585A" w:rsidP="002A4C0C">
      <w:pPr>
        <w:jc w:val="left"/>
        <w:rPr>
          <w:i/>
          <w:sz w:val="18"/>
          <w:szCs w:val="18"/>
        </w:rPr>
      </w:pPr>
      <w:r w:rsidRPr="00EB1728">
        <w:rPr>
          <w:i/>
          <w:sz w:val="18"/>
          <w:szCs w:val="18"/>
        </w:rPr>
        <w:t xml:space="preserve">Source: </w:t>
      </w:r>
      <w:r w:rsidRPr="00FC0D33">
        <w:rPr>
          <w:sz w:val="18"/>
          <w:szCs w:val="18"/>
        </w:rPr>
        <w:t>For EU11: World Bank ECACE regional tables; for Western Europe, IMF World Economic Outlook</w:t>
      </w:r>
      <w:r w:rsidRPr="00FC0D33">
        <w:rPr>
          <w:rStyle w:val="FootnoteReference"/>
          <w:rFonts w:ascii="Times New Roman" w:hAnsi="Times New Roman"/>
        </w:rPr>
        <w:footnoteReference w:id="12"/>
      </w:r>
    </w:p>
    <w:p w:rsidR="0060585A" w:rsidRPr="00982556" w:rsidRDefault="0060585A" w:rsidP="007C6E13">
      <w:pPr>
        <w:rPr>
          <w:rFonts w:ascii="Times New Roman" w:hAnsi="Times New Roman"/>
        </w:rPr>
      </w:pPr>
    </w:p>
    <w:tbl>
      <w:tblPr>
        <w:tblW w:w="0" w:type="auto"/>
        <w:tblLayout w:type="fixed"/>
        <w:tblLook w:val="00A0"/>
      </w:tblPr>
      <w:tblGrid>
        <w:gridCol w:w="4236"/>
        <w:gridCol w:w="5232"/>
      </w:tblGrid>
      <w:tr w:rsidR="0060585A" w:rsidRPr="00321D31" w:rsidTr="000C50E8">
        <w:trPr>
          <w:trHeight w:val="451"/>
        </w:trPr>
        <w:tc>
          <w:tcPr>
            <w:tcW w:w="4236" w:type="dxa"/>
          </w:tcPr>
          <w:p w:rsidR="0060585A" w:rsidRPr="00321D31" w:rsidRDefault="0060585A" w:rsidP="00321D31">
            <w:pPr>
              <w:pStyle w:val="Caption"/>
              <w:keepNext/>
              <w:keepLines/>
              <w:spacing w:before="60" w:after="60"/>
              <w:rPr>
                <w:sz w:val="22"/>
                <w:szCs w:val="22"/>
              </w:rPr>
            </w:pPr>
            <w:r w:rsidRPr="00321D31">
              <w:rPr>
                <w:sz w:val="22"/>
                <w:szCs w:val="22"/>
              </w:rPr>
              <w:lastRenderedPageBreak/>
              <w:t>Figure 2. GDP per Capita, PPS Percent of EU15 Average</w:t>
            </w:r>
          </w:p>
        </w:tc>
        <w:tc>
          <w:tcPr>
            <w:tcW w:w="5232" w:type="dxa"/>
          </w:tcPr>
          <w:p w:rsidR="0060585A" w:rsidRPr="00321D31" w:rsidRDefault="0060585A" w:rsidP="00321D31">
            <w:pPr>
              <w:pStyle w:val="Caption"/>
              <w:keepNext/>
              <w:keepLines/>
              <w:spacing w:before="60" w:after="60"/>
              <w:rPr>
                <w:sz w:val="22"/>
                <w:szCs w:val="22"/>
              </w:rPr>
            </w:pPr>
            <w:r w:rsidRPr="00321D31">
              <w:rPr>
                <w:sz w:val="22"/>
                <w:szCs w:val="22"/>
              </w:rPr>
              <w:t>Table 1. Income Gap Change, EU15 Average and EU11 Economies</w:t>
            </w:r>
          </w:p>
        </w:tc>
      </w:tr>
      <w:tr w:rsidR="0060585A" w:rsidRPr="00321D31" w:rsidTr="000C50E8">
        <w:trPr>
          <w:trHeight w:val="2789"/>
        </w:trPr>
        <w:tc>
          <w:tcPr>
            <w:tcW w:w="4236" w:type="dxa"/>
          </w:tcPr>
          <w:p w:rsidR="0060585A" w:rsidRPr="00321D31" w:rsidRDefault="00A1042F" w:rsidP="00321D31">
            <w:pPr>
              <w:keepNext/>
              <w:keepLines/>
              <w:spacing w:line="276" w:lineRule="auto"/>
              <w:rPr>
                <w:rFonts w:ascii="Times New Roman" w:hAnsi="Times New Roman"/>
              </w:rPr>
            </w:pPr>
            <w:r>
              <w:rPr>
                <w:rFonts w:ascii="Times New Roman" w:hAnsi="Times New Roman"/>
                <w:noProof/>
              </w:rPr>
              <w:drawing>
                <wp:inline distT="0" distB="0" distL="0" distR="0">
                  <wp:extent cx="2190750" cy="1771650"/>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5"/>
                          <a:srcRect/>
                          <a:stretch>
                            <a:fillRect/>
                          </a:stretch>
                        </pic:blipFill>
                        <pic:spPr bwMode="auto">
                          <a:xfrm>
                            <a:off x="0" y="0"/>
                            <a:ext cx="2190750" cy="1771650"/>
                          </a:xfrm>
                          <a:prstGeom prst="rect">
                            <a:avLst/>
                          </a:prstGeom>
                          <a:noFill/>
                          <a:ln w="9525">
                            <a:noFill/>
                            <a:miter lim="800000"/>
                            <a:headEnd/>
                            <a:tailEnd/>
                          </a:ln>
                        </pic:spPr>
                      </pic:pic>
                    </a:graphicData>
                  </a:graphic>
                </wp:inline>
              </w:drawing>
            </w:r>
          </w:p>
        </w:tc>
        <w:tc>
          <w:tcPr>
            <w:tcW w:w="5232" w:type="dxa"/>
          </w:tcPr>
          <w:tbl>
            <w:tblPr>
              <w:tblW w:w="4759" w:type="dxa"/>
              <w:tblLayout w:type="fixed"/>
              <w:tblCellMar>
                <w:left w:w="70" w:type="dxa"/>
                <w:right w:w="70" w:type="dxa"/>
              </w:tblCellMar>
              <w:tblLook w:val="00A0"/>
            </w:tblPr>
            <w:tblGrid>
              <w:gridCol w:w="915"/>
              <w:gridCol w:w="964"/>
              <w:gridCol w:w="960"/>
              <w:gridCol w:w="960"/>
              <w:gridCol w:w="960"/>
            </w:tblGrid>
            <w:tr w:rsidR="0060585A" w:rsidRPr="00321D31" w:rsidTr="004D31F4">
              <w:trPr>
                <w:trHeight w:val="75"/>
              </w:trPr>
              <w:tc>
                <w:tcPr>
                  <w:tcW w:w="915" w:type="dxa"/>
                  <w:tcBorders>
                    <w:top w:val="single" w:sz="4" w:space="0" w:color="4F81BD"/>
                    <w:left w:val="single" w:sz="4" w:space="0" w:color="4F81BD"/>
                    <w:bottom w:val="nil"/>
                    <w:right w:val="nil"/>
                  </w:tcBorders>
                  <w:shd w:val="clear" w:color="4F81BD" w:fill="4F81BD"/>
                  <w:noWrap/>
                  <w:vAlign w:val="bottom"/>
                </w:tcPr>
                <w:p w:rsidR="0060585A" w:rsidRPr="00321D31" w:rsidRDefault="0060585A" w:rsidP="007C6E13">
                  <w:pPr>
                    <w:keepNext/>
                    <w:keepLines/>
                    <w:rPr>
                      <w:rFonts w:cs="Calibri"/>
                      <w:b/>
                      <w:bCs/>
                      <w:color w:val="FFFFFF"/>
                      <w:sz w:val="16"/>
                      <w:szCs w:val="16"/>
                      <w:lang w:eastAsia="de-AT"/>
                    </w:rPr>
                  </w:pPr>
                </w:p>
              </w:tc>
              <w:tc>
                <w:tcPr>
                  <w:tcW w:w="964" w:type="dxa"/>
                  <w:tcBorders>
                    <w:top w:val="single" w:sz="4" w:space="0" w:color="4F81BD"/>
                    <w:left w:val="nil"/>
                    <w:bottom w:val="nil"/>
                    <w:right w:val="nil"/>
                  </w:tcBorders>
                  <w:shd w:val="clear" w:color="4F81BD" w:fill="4F81BD"/>
                  <w:noWrap/>
                  <w:vAlign w:val="bottom"/>
                </w:tcPr>
                <w:p w:rsidR="0060585A" w:rsidRPr="00321D31" w:rsidRDefault="0060585A" w:rsidP="007C6E13">
                  <w:pPr>
                    <w:keepNext/>
                    <w:keepLines/>
                    <w:rPr>
                      <w:rFonts w:cs="Calibri"/>
                      <w:b/>
                      <w:bCs/>
                      <w:color w:val="FFFFFF"/>
                      <w:sz w:val="16"/>
                      <w:szCs w:val="16"/>
                      <w:lang w:eastAsia="de-AT"/>
                    </w:rPr>
                  </w:pPr>
                  <w:r w:rsidRPr="00321D31">
                    <w:rPr>
                      <w:rFonts w:cs="Calibri"/>
                      <w:b/>
                      <w:bCs/>
                      <w:color w:val="FFFFFF"/>
                      <w:sz w:val="16"/>
                      <w:szCs w:val="16"/>
                      <w:lang w:eastAsia="de-AT"/>
                    </w:rPr>
                    <w:t>1990-1994</w:t>
                  </w:r>
                </w:p>
              </w:tc>
              <w:tc>
                <w:tcPr>
                  <w:tcW w:w="960" w:type="dxa"/>
                  <w:tcBorders>
                    <w:top w:val="single" w:sz="4" w:space="0" w:color="4F81BD"/>
                    <w:left w:val="nil"/>
                    <w:bottom w:val="nil"/>
                    <w:right w:val="nil"/>
                  </w:tcBorders>
                  <w:shd w:val="clear" w:color="4F81BD" w:fill="4F81BD"/>
                  <w:noWrap/>
                  <w:vAlign w:val="bottom"/>
                </w:tcPr>
                <w:p w:rsidR="0060585A" w:rsidRPr="00321D31" w:rsidRDefault="0060585A" w:rsidP="007C6E13">
                  <w:pPr>
                    <w:keepNext/>
                    <w:keepLines/>
                    <w:rPr>
                      <w:rFonts w:cs="Calibri"/>
                      <w:b/>
                      <w:bCs/>
                      <w:color w:val="FFFFFF"/>
                      <w:sz w:val="16"/>
                      <w:szCs w:val="16"/>
                      <w:lang w:eastAsia="de-AT"/>
                    </w:rPr>
                  </w:pPr>
                  <w:r w:rsidRPr="00321D31">
                    <w:rPr>
                      <w:rFonts w:cs="Calibri"/>
                      <w:b/>
                      <w:bCs/>
                      <w:color w:val="FFFFFF"/>
                      <w:sz w:val="16"/>
                      <w:szCs w:val="16"/>
                      <w:lang w:eastAsia="de-AT"/>
                    </w:rPr>
                    <w:t>1995-1999</w:t>
                  </w:r>
                </w:p>
              </w:tc>
              <w:tc>
                <w:tcPr>
                  <w:tcW w:w="960" w:type="dxa"/>
                  <w:tcBorders>
                    <w:top w:val="single" w:sz="4" w:space="0" w:color="4F81BD"/>
                    <w:left w:val="nil"/>
                    <w:bottom w:val="nil"/>
                    <w:right w:val="nil"/>
                  </w:tcBorders>
                  <w:shd w:val="clear" w:color="4F81BD" w:fill="4F81BD"/>
                  <w:noWrap/>
                  <w:vAlign w:val="bottom"/>
                </w:tcPr>
                <w:p w:rsidR="0060585A" w:rsidRPr="00321D31" w:rsidRDefault="0060585A" w:rsidP="007C6E13">
                  <w:pPr>
                    <w:keepNext/>
                    <w:keepLines/>
                    <w:rPr>
                      <w:rFonts w:cs="Calibri"/>
                      <w:b/>
                      <w:bCs/>
                      <w:color w:val="FFFFFF"/>
                      <w:sz w:val="16"/>
                      <w:szCs w:val="16"/>
                      <w:lang w:eastAsia="de-AT"/>
                    </w:rPr>
                  </w:pPr>
                  <w:r w:rsidRPr="00321D31">
                    <w:rPr>
                      <w:rFonts w:cs="Calibri"/>
                      <w:b/>
                      <w:bCs/>
                      <w:color w:val="FFFFFF"/>
                      <w:sz w:val="16"/>
                      <w:szCs w:val="16"/>
                      <w:lang w:eastAsia="de-AT"/>
                    </w:rPr>
                    <w:t>2000-2004</w:t>
                  </w:r>
                </w:p>
              </w:tc>
              <w:tc>
                <w:tcPr>
                  <w:tcW w:w="960" w:type="dxa"/>
                  <w:tcBorders>
                    <w:top w:val="single" w:sz="4" w:space="0" w:color="4F81BD"/>
                    <w:left w:val="nil"/>
                    <w:bottom w:val="nil"/>
                    <w:right w:val="single" w:sz="4" w:space="0" w:color="4F81BD"/>
                  </w:tcBorders>
                  <w:shd w:val="clear" w:color="4F81BD" w:fill="4F81BD"/>
                  <w:noWrap/>
                  <w:vAlign w:val="bottom"/>
                </w:tcPr>
                <w:p w:rsidR="0060585A" w:rsidRPr="00321D31" w:rsidRDefault="0060585A" w:rsidP="007C6E13">
                  <w:pPr>
                    <w:keepNext/>
                    <w:keepLines/>
                    <w:rPr>
                      <w:rFonts w:cs="Calibri"/>
                      <w:b/>
                      <w:bCs/>
                      <w:color w:val="FFFFFF"/>
                      <w:sz w:val="16"/>
                      <w:szCs w:val="16"/>
                      <w:lang w:eastAsia="de-AT"/>
                    </w:rPr>
                  </w:pPr>
                  <w:r w:rsidRPr="00321D31">
                    <w:rPr>
                      <w:rFonts w:cs="Calibri"/>
                      <w:b/>
                      <w:bCs/>
                      <w:color w:val="FFFFFF"/>
                      <w:sz w:val="16"/>
                      <w:szCs w:val="16"/>
                      <w:lang w:eastAsia="de-AT"/>
                    </w:rPr>
                    <w:t>2005-2010</w:t>
                  </w:r>
                </w:p>
              </w:tc>
            </w:tr>
            <w:tr w:rsidR="0060585A" w:rsidRPr="00321D31" w:rsidTr="004D31F4">
              <w:trPr>
                <w:trHeight w:val="75"/>
              </w:trPr>
              <w:tc>
                <w:tcPr>
                  <w:tcW w:w="915" w:type="dxa"/>
                  <w:tcBorders>
                    <w:top w:val="single" w:sz="4" w:space="0" w:color="4F81BD"/>
                    <w:left w:val="single" w:sz="4" w:space="0" w:color="4F81BD"/>
                    <w:bottom w:val="nil"/>
                    <w:right w:val="nil"/>
                  </w:tcBorders>
                  <w:noWrap/>
                  <w:vAlign w:val="bottom"/>
                </w:tcPr>
                <w:p w:rsidR="0060585A" w:rsidRPr="00321D31" w:rsidRDefault="0060585A" w:rsidP="007C6E13">
                  <w:pPr>
                    <w:keepNext/>
                    <w:keepLines/>
                    <w:rPr>
                      <w:rFonts w:cs="Calibri"/>
                      <w:b/>
                      <w:color w:val="000000"/>
                      <w:sz w:val="16"/>
                      <w:szCs w:val="16"/>
                      <w:lang w:eastAsia="de-AT"/>
                    </w:rPr>
                  </w:pPr>
                  <w:r w:rsidRPr="00321D31">
                    <w:rPr>
                      <w:rFonts w:cs="Calibri"/>
                      <w:b/>
                      <w:color w:val="000000"/>
                      <w:sz w:val="16"/>
                      <w:szCs w:val="16"/>
                      <w:lang w:eastAsia="de-AT"/>
                    </w:rPr>
                    <w:t>EU11</w:t>
                  </w:r>
                </w:p>
              </w:tc>
              <w:tc>
                <w:tcPr>
                  <w:tcW w:w="964" w:type="dxa"/>
                  <w:tcBorders>
                    <w:top w:val="single" w:sz="4" w:space="0" w:color="4F81BD"/>
                    <w:left w:val="nil"/>
                    <w:bottom w:val="nil"/>
                    <w:right w:val="nil"/>
                  </w:tcBorders>
                  <w:noWrap/>
                  <w:vAlign w:val="bottom"/>
                </w:tcPr>
                <w:p w:rsidR="0060585A" w:rsidRPr="00321D31" w:rsidRDefault="0060585A" w:rsidP="007C6E13">
                  <w:pPr>
                    <w:keepNext/>
                    <w:keepLines/>
                    <w:rPr>
                      <w:rFonts w:cs="Calibri"/>
                      <w:b/>
                      <w:color w:val="000000"/>
                      <w:sz w:val="16"/>
                      <w:szCs w:val="16"/>
                      <w:lang w:eastAsia="de-AT"/>
                    </w:rPr>
                  </w:pPr>
                  <w:r w:rsidRPr="007C6E13">
                    <w:rPr>
                      <w:rFonts w:ascii="Times New Roman" w:hAnsi="Times New Roman"/>
                      <w:sz w:val="16"/>
                      <w:szCs w:val="16"/>
                    </w:rPr>
                    <w:t>–</w:t>
                  </w:r>
                  <w:r w:rsidRPr="00321D31">
                    <w:rPr>
                      <w:rFonts w:cs="Calibri"/>
                      <w:b/>
                      <w:color w:val="000000"/>
                      <w:sz w:val="16"/>
                      <w:szCs w:val="16"/>
                      <w:lang w:eastAsia="de-AT"/>
                    </w:rPr>
                    <w:t>1.36%</w:t>
                  </w:r>
                </w:p>
              </w:tc>
              <w:tc>
                <w:tcPr>
                  <w:tcW w:w="960" w:type="dxa"/>
                  <w:tcBorders>
                    <w:top w:val="single" w:sz="4" w:space="0" w:color="4F81BD"/>
                    <w:left w:val="nil"/>
                    <w:bottom w:val="nil"/>
                    <w:right w:val="nil"/>
                  </w:tcBorders>
                  <w:noWrap/>
                  <w:vAlign w:val="bottom"/>
                </w:tcPr>
                <w:p w:rsidR="0060585A" w:rsidRPr="00321D31" w:rsidRDefault="0060585A" w:rsidP="007C6E13">
                  <w:pPr>
                    <w:keepNext/>
                    <w:keepLines/>
                    <w:rPr>
                      <w:rFonts w:cs="Calibri"/>
                      <w:b/>
                      <w:color w:val="000000"/>
                      <w:sz w:val="16"/>
                      <w:szCs w:val="16"/>
                      <w:lang w:eastAsia="de-AT"/>
                    </w:rPr>
                  </w:pPr>
                  <w:r w:rsidRPr="00321D31">
                    <w:rPr>
                      <w:rFonts w:cs="Calibri"/>
                      <w:b/>
                      <w:color w:val="000000"/>
                      <w:sz w:val="16"/>
                      <w:szCs w:val="16"/>
                      <w:lang w:eastAsia="de-AT"/>
                    </w:rPr>
                    <w:t>0.08%</w:t>
                  </w:r>
                </w:p>
              </w:tc>
              <w:tc>
                <w:tcPr>
                  <w:tcW w:w="960" w:type="dxa"/>
                  <w:tcBorders>
                    <w:top w:val="single" w:sz="4" w:space="0" w:color="4F81BD"/>
                    <w:left w:val="nil"/>
                    <w:bottom w:val="nil"/>
                    <w:right w:val="nil"/>
                  </w:tcBorders>
                  <w:noWrap/>
                  <w:vAlign w:val="bottom"/>
                </w:tcPr>
                <w:p w:rsidR="0060585A" w:rsidRPr="00321D31" w:rsidRDefault="0060585A" w:rsidP="007C6E13">
                  <w:pPr>
                    <w:keepNext/>
                    <w:keepLines/>
                    <w:rPr>
                      <w:rFonts w:cs="Calibri"/>
                      <w:b/>
                      <w:color w:val="000000"/>
                      <w:sz w:val="16"/>
                      <w:szCs w:val="16"/>
                      <w:lang w:eastAsia="de-AT"/>
                    </w:rPr>
                  </w:pPr>
                  <w:r w:rsidRPr="00321D31">
                    <w:rPr>
                      <w:rFonts w:cs="Calibri"/>
                      <w:b/>
                      <w:color w:val="000000"/>
                      <w:sz w:val="16"/>
                      <w:szCs w:val="16"/>
                      <w:lang w:eastAsia="de-AT"/>
                    </w:rPr>
                    <w:t>0.70%</w:t>
                  </w:r>
                </w:p>
              </w:tc>
              <w:tc>
                <w:tcPr>
                  <w:tcW w:w="960" w:type="dxa"/>
                  <w:tcBorders>
                    <w:top w:val="single" w:sz="4" w:space="0" w:color="4F81BD"/>
                    <w:left w:val="nil"/>
                    <w:bottom w:val="nil"/>
                    <w:right w:val="single" w:sz="4" w:space="0" w:color="4F81BD"/>
                  </w:tcBorders>
                  <w:noWrap/>
                  <w:vAlign w:val="bottom"/>
                </w:tcPr>
                <w:p w:rsidR="0060585A" w:rsidRPr="00321D31" w:rsidRDefault="0060585A" w:rsidP="007C6E13">
                  <w:pPr>
                    <w:keepNext/>
                    <w:keepLines/>
                    <w:rPr>
                      <w:rFonts w:cs="Calibri"/>
                      <w:b/>
                      <w:color w:val="000000"/>
                      <w:sz w:val="16"/>
                      <w:szCs w:val="16"/>
                      <w:lang w:eastAsia="de-AT"/>
                    </w:rPr>
                  </w:pPr>
                  <w:r w:rsidRPr="00321D31">
                    <w:rPr>
                      <w:rFonts w:cs="Calibri"/>
                      <w:b/>
                      <w:color w:val="000000"/>
                      <w:sz w:val="16"/>
                      <w:szCs w:val="16"/>
                      <w:lang w:eastAsia="de-AT"/>
                    </w:rPr>
                    <w:t>0.42%</w:t>
                  </w:r>
                </w:p>
              </w:tc>
            </w:tr>
            <w:tr w:rsidR="0060585A" w:rsidRPr="00321D31" w:rsidTr="004D31F4">
              <w:trPr>
                <w:trHeight w:val="75"/>
              </w:trPr>
              <w:tc>
                <w:tcPr>
                  <w:tcW w:w="915" w:type="dxa"/>
                  <w:tcBorders>
                    <w:top w:val="single" w:sz="4" w:space="0" w:color="4F81BD"/>
                    <w:left w:val="single" w:sz="4" w:space="0" w:color="4F81BD"/>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Bulgaria</w:t>
                  </w:r>
                </w:p>
              </w:tc>
              <w:tc>
                <w:tcPr>
                  <w:tcW w:w="964" w:type="dxa"/>
                  <w:tcBorders>
                    <w:top w:val="single" w:sz="4" w:space="0" w:color="4F81BD"/>
                    <w:left w:val="nil"/>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7C6E13">
                    <w:rPr>
                      <w:rFonts w:ascii="Times New Roman" w:hAnsi="Times New Roman"/>
                      <w:sz w:val="16"/>
                      <w:szCs w:val="16"/>
                    </w:rPr>
                    <w:t>–</w:t>
                  </w:r>
                  <w:r w:rsidRPr="00321D31">
                    <w:rPr>
                      <w:rFonts w:cs="Calibri"/>
                      <w:color w:val="000000"/>
                      <w:sz w:val="16"/>
                      <w:szCs w:val="16"/>
                      <w:lang w:eastAsia="de-AT"/>
                    </w:rPr>
                    <w:t>0.36%</w:t>
                  </w:r>
                </w:p>
              </w:tc>
              <w:tc>
                <w:tcPr>
                  <w:tcW w:w="960" w:type="dxa"/>
                  <w:tcBorders>
                    <w:top w:val="single" w:sz="4" w:space="0" w:color="4F81BD"/>
                    <w:left w:val="nil"/>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-0.29%</w:t>
                  </w:r>
                </w:p>
              </w:tc>
              <w:tc>
                <w:tcPr>
                  <w:tcW w:w="960" w:type="dxa"/>
                  <w:tcBorders>
                    <w:top w:val="single" w:sz="4" w:space="0" w:color="4F81BD"/>
                    <w:left w:val="nil"/>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0.34%</w:t>
                  </w:r>
                </w:p>
              </w:tc>
              <w:tc>
                <w:tcPr>
                  <w:tcW w:w="960" w:type="dxa"/>
                  <w:tcBorders>
                    <w:top w:val="single" w:sz="4" w:space="0" w:color="4F81BD"/>
                    <w:left w:val="nil"/>
                    <w:bottom w:val="nil"/>
                    <w:right w:val="single" w:sz="4" w:space="0" w:color="4F81BD"/>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0.29%</w:t>
                  </w:r>
                </w:p>
              </w:tc>
            </w:tr>
            <w:tr w:rsidR="0060585A" w:rsidRPr="00321D31" w:rsidTr="004D31F4">
              <w:trPr>
                <w:trHeight w:val="75"/>
              </w:trPr>
              <w:tc>
                <w:tcPr>
                  <w:tcW w:w="915" w:type="dxa"/>
                  <w:tcBorders>
                    <w:top w:val="single" w:sz="4" w:space="0" w:color="4F81BD"/>
                    <w:left w:val="single" w:sz="4" w:space="0" w:color="4F81BD"/>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Croatia</w:t>
                  </w:r>
                </w:p>
              </w:tc>
              <w:tc>
                <w:tcPr>
                  <w:tcW w:w="964" w:type="dxa"/>
                  <w:tcBorders>
                    <w:top w:val="single" w:sz="4" w:space="0" w:color="4F81BD"/>
                    <w:left w:val="nil"/>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7C6E13">
                    <w:rPr>
                      <w:rFonts w:ascii="Times New Roman" w:hAnsi="Times New Roman"/>
                      <w:sz w:val="16"/>
                      <w:szCs w:val="16"/>
                    </w:rPr>
                    <w:t>–</w:t>
                  </w:r>
                  <w:r w:rsidRPr="00321D31">
                    <w:rPr>
                      <w:rFonts w:cs="Calibri"/>
                      <w:color w:val="000000"/>
                      <w:sz w:val="16"/>
                      <w:szCs w:val="16"/>
                      <w:lang w:eastAsia="de-AT"/>
                    </w:rPr>
                    <w:t>2.45%</w:t>
                  </w:r>
                </w:p>
              </w:tc>
              <w:tc>
                <w:tcPr>
                  <w:tcW w:w="960" w:type="dxa"/>
                  <w:tcBorders>
                    <w:top w:val="single" w:sz="4" w:space="0" w:color="4F81BD"/>
                    <w:left w:val="nil"/>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0.12%</w:t>
                  </w:r>
                </w:p>
              </w:tc>
              <w:tc>
                <w:tcPr>
                  <w:tcW w:w="960" w:type="dxa"/>
                  <w:tcBorders>
                    <w:top w:val="single" w:sz="4" w:space="0" w:color="4F81BD"/>
                    <w:left w:val="nil"/>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0.63%</w:t>
                  </w:r>
                </w:p>
              </w:tc>
              <w:tc>
                <w:tcPr>
                  <w:tcW w:w="960" w:type="dxa"/>
                  <w:tcBorders>
                    <w:top w:val="single" w:sz="4" w:space="0" w:color="4F81BD"/>
                    <w:left w:val="nil"/>
                    <w:bottom w:val="nil"/>
                    <w:right w:val="single" w:sz="4" w:space="0" w:color="4F81BD"/>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0.23%</w:t>
                  </w:r>
                </w:p>
              </w:tc>
            </w:tr>
            <w:tr w:rsidR="0060585A" w:rsidRPr="00321D31" w:rsidTr="004D31F4">
              <w:trPr>
                <w:trHeight w:val="75"/>
              </w:trPr>
              <w:tc>
                <w:tcPr>
                  <w:tcW w:w="915" w:type="dxa"/>
                  <w:tcBorders>
                    <w:top w:val="single" w:sz="4" w:space="0" w:color="4F81BD"/>
                    <w:left w:val="single" w:sz="4" w:space="0" w:color="4F81BD"/>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Czech Republic</w:t>
                  </w:r>
                </w:p>
              </w:tc>
              <w:tc>
                <w:tcPr>
                  <w:tcW w:w="964" w:type="dxa"/>
                  <w:tcBorders>
                    <w:top w:val="single" w:sz="4" w:space="0" w:color="4F81BD"/>
                    <w:left w:val="nil"/>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7C6E13">
                    <w:rPr>
                      <w:rFonts w:ascii="Times New Roman" w:hAnsi="Times New Roman"/>
                      <w:sz w:val="16"/>
                      <w:szCs w:val="16"/>
                    </w:rPr>
                    <w:t>–</w:t>
                  </w:r>
                  <w:r w:rsidRPr="00321D31">
                    <w:rPr>
                      <w:rFonts w:cs="Calibri"/>
                      <w:color w:val="000000"/>
                      <w:sz w:val="16"/>
                      <w:szCs w:val="16"/>
                      <w:lang w:eastAsia="de-AT"/>
                    </w:rPr>
                    <w:t>1.03%</w:t>
                  </w:r>
                </w:p>
              </w:tc>
              <w:tc>
                <w:tcPr>
                  <w:tcW w:w="960" w:type="dxa"/>
                  <w:tcBorders>
                    <w:top w:val="single" w:sz="4" w:space="0" w:color="4F81BD"/>
                    <w:left w:val="nil"/>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-0.59%</w:t>
                  </w:r>
                </w:p>
              </w:tc>
              <w:tc>
                <w:tcPr>
                  <w:tcW w:w="960" w:type="dxa"/>
                  <w:tcBorders>
                    <w:top w:val="single" w:sz="4" w:space="0" w:color="4F81BD"/>
                    <w:left w:val="nil"/>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0.41%</w:t>
                  </w:r>
                </w:p>
              </w:tc>
              <w:tc>
                <w:tcPr>
                  <w:tcW w:w="960" w:type="dxa"/>
                  <w:tcBorders>
                    <w:top w:val="single" w:sz="4" w:space="0" w:color="4F81BD"/>
                    <w:left w:val="nil"/>
                    <w:bottom w:val="nil"/>
                    <w:right w:val="single" w:sz="4" w:space="0" w:color="4F81BD"/>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0.57%</w:t>
                  </w:r>
                </w:p>
              </w:tc>
            </w:tr>
            <w:tr w:rsidR="0060585A" w:rsidRPr="00321D31" w:rsidTr="004D31F4">
              <w:trPr>
                <w:trHeight w:val="75"/>
              </w:trPr>
              <w:tc>
                <w:tcPr>
                  <w:tcW w:w="915" w:type="dxa"/>
                  <w:tcBorders>
                    <w:top w:val="single" w:sz="4" w:space="0" w:color="4F81BD"/>
                    <w:left w:val="single" w:sz="4" w:space="0" w:color="4F81BD"/>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Estonia</w:t>
                  </w:r>
                </w:p>
              </w:tc>
              <w:tc>
                <w:tcPr>
                  <w:tcW w:w="964" w:type="dxa"/>
                  <w:tcBorders>
                    <w:top w:val="single" w:sz="4" w:space="0" w:color="4F81BD"/>
                    <w:left w:val="nil"/>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7C6E13">
                    <w:rPr>
                      <w:rFonts w:ascii="Times New Roman" w:hAnsi="Times New Roman"/>
                      <w:sz w:val="16"/>
                      <w:szCs w:val="16"/>
                    </w:rPr>
                    <w:t>–</w:t>
                  </w:r>
                  <w:r w:rsidRPr="00321D31">
                    <w:rPr>
                      <w:rFonts w:cs="Calibri"/>
                      <w:color w:val="000000"/>
                      <w:sz w:val="16"/>
                      <w:szCs w:val="16"/>
                      <w:lang w:eastAsia="de-AT"/>
                    </w:rPr>
                    <w:t>1.66%</w:t>
                  </w:r>
                </w:p>
              </w:tc>
              <w:tc>
                <w:tcPr>
                  <w:tcW w:w="960" w:type="dxa"/>
                  <w:tcBorders>
                    <w:top w:val="single" w:sz="4" w:space="0" w:color="4F81BD"/>
                    <w:left w:val="nil"/>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0.46%</w:t>
                  </w:r>
                </w:p>
              </w:tc>
              <w:tc>
                <w:tcPr>
                  <w:tcW w:w="960" w:type="dxa"/>
                  <w:tcBorders>
                    <w:top w:val="single" w:sz="4" w:space="0" w:color="4F81BD"/>
                    <w:left w:val="nil"/>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1.32%</w:t>
                  </w:r>
                </w:p>
              </w:tc>
              <w:tc>
                <w:tcPr>
                  <w:tcW w:w="960" w:type="dxa"/>
                  <w:tcBorders>
                    <w:top w:val="single" w:sz="4" w:space="0" w:color="4F81BD"/>
                    <w:left w:val="nil"/>
                    <w:bottom w:val="nil"/>
                    <w:right w:val="single" w:sz="4" w:space="0" w:color="4F81BD"/>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-0.02%</w:t>
                  </w:r>
                </w:p>
              </w:tc>
            </w:tr>
            <w:tr w:rsidR="0060585A" w:rsidRPr="00321D31" w:rsidTr="004D31F4">
              <w:trPr>
                <w:trHeight w:val="75"/>
              </w:trPr>
              <w:tc>
                <w:tcPr>
                  <w:tcW w:w="915" w:type="dxa"/>
                  <w:tcBorders>
                    <w:top w:val="single" w:sz="4" w:space="0" w:color="4F81BD"/>
                    <w:left w:val="single" w:sz="4" w:space="0" w:color="4F81BD"/>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Hungary</w:t>
                  </w:r>
                </w:p>
              </w:tc>
              <w:tc>
                <w:tcPr>
                  <w:tcW w:w="964" w:type="dxa"/>
                  <w:tcBorders>
                    <w:top w:val="single" w:sz="4" w:space="0" w:color="4F81BD"/>
                    <w:left w:val="nil"/>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7C6E13">
                    <w:rPr>
                      <w:rFonts w:ascii="Times New Roman" w:hAnsi="Times New Roman"/>
                      <w:sz w:val="16"/>
                      <w:szCs w:val="16"/>
                    </w:rPr>
                    <w:t>–</w:t>
                  </w:r>
                  <w:r w:rsidRPr="00321D31">
                    <w:rPr>
                      <w:rFonts w:cs="Calibri"/>
                      <w:color w:val="000000"/>
                      <w:sz w:val="16"/>
                      <w:szCs w:val="16"/>
                      <w:lang w:eastAsia="de-AT"/>
                    </w:rPr>
                    <w:t>0.97%</w:t>
                  </w:r>
                </w:p>
              </w:tc>
              <w:tc>
                <w:tcPr>
                  <w:tcW w:w="960" w:type="dxa"/>
                  <w:tcBorders>
                    <w:top w:val="single" w:sz="4" w:space="0" w:color="4F81BD"/>
                    <w:left w:val="nil"/>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-0.10%</w:t>
                  </w:r>
                </w:p>
              </w:tc>
              <w:tc>
                <w:tcPr>
                  <w:tcW w:w="960" w:type="dxa"/>
                  <w:tcBorders>
                    <w:top w:val="single" w:sz="4" w:space="0" w:color="4F81BD"/>
                    <w:left w:val="nil"/>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0.60%</w:t>
                  </w:r>
                </w:p>
              </w:tc>
              <w:tc>
                <w:tcPr>
                  <w:tcW w:w="960" w:type="dxa"/>
                  <w:tcBorders>
                    <w:top w:val="single" w:sz="4" w:space="0" w:color="4F81BD"/>
                    <w:left w:val="nil"/>
                    <w:bottom w:val="nil"/>
                    <w:right w:val="single" w:sz="4" w:space="0" w:color="4F81BD"/>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-0.02</w:t>
                  </w:r>
                </w:p>
              </w:tc>
            </w:tr>
            <w:tr w:rsidR="0060585A" w:rsidRPr="00321D31" w:rsidTr="004D31F4">
              <w:trPr>
                <w:trHeight w:val="75"/>
              </w:trPr>
              <w:tc>
                <w:tcPr>
                  <w:tcW w:w="915" w:type="dxa"/>
                  <w:tcBorders>
                    <w:top w:val="single" w:sz="4" w:space="0" w:color="4F81BD"/>
                    <w:left w:val="single" w:sz="4" w:space="0" w:color="4F81BD"/>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Latvia</w:t>
                  </w:r>
                </w:p>
              </w:tc>
              <w:tc>
                <w:tcPr>
                  <w:tcW w:w="964" w:type="dxa"/>
                  <w:tcBorders>
                    <w:top w:val="single" w:sz="4" w:space="0" w:color="4F81BD"/>
                    <w:left w:val="nil"/>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7C6E13">
                    <w:rPr>
                      <w:rFonts w:ascii="Times New Roman" w:hAnsi="Times New Roman"/>
                      <w:sz w:val="16"/>
                      <w:szCs w:val="16"/>
                    </w:rPr>
                    <w:t>–</w:t>
                  </w:r>
                  <w:r w:rsidRPr="00321D31">
                    <w:rPr>
                      <w:rFonts w:cs="Calibri"/>
                      <w:color w:val="000000"/>
                      <w:sz w:val="16"/>
                      <w:szCs w:val="16"/>
                      <w:lang w:eastAsia="de-AT"/>
                    </w:rPr>
                    <w:t>2.31%</w:t>
                  </w:r>
                </w:p>
              </w:tc>
              <w:tc>
                <w:tcPr>
                  <w:tcW w:w="960" w:type="dxa"/>
                  <w:tcBorders>
                    <w:top w:val="single" w:sz="4" w:space="0" w:color="4F81BD"/>
                    <w:left w:val="nil"/>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0.42%</w:t>
                  </w:r>
                </w:p>
              </w:tc>
              <w:tc>
                <w:tcPr>
                  <w:tcW w:w="960" w:type="dxa"/>
                  <w:tcBorders>
                    <w:top w:val="single" w:sz="4" w:space="0" w:color="4F81BD"/>
                    <w:left w:val="nil"/>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1.06%</w:t>
                  </w:r>
                </w:p>
              </w:tc>
              <w:tc>
                <w:tcPr>
                  <w:tcW w:w="960" w:type="dxa"/>
                  <w:tcBorders>
                    <w:top w:val="single" w:sz="4" w:space="0" w:color="4F81BD"/>
                    <w:left w:val="nil"/>
                    <w:bottom w:val="nil"/>
                    <w:right w:val="single" w:sz="4" w:space="0" w:color="4F81BD"/>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-0.05%</w:t>
                  </w:r>
                </w:p>
              </w:tc>
            </w:tr>
            <w:tr w:rsidR="0060585A" w:rsidRPr="00321D31" w:rsidTr="004D31F4">
              <w:trPr>
                <w:trHeight w:val="75"/>
              </w:trPr>
              <w:tc>
                <w:tcPr>
                  <w:tcW w:w="915" w:type="dxa"/>
                  <w:tcBorders>
                    <w:top w:val="single" w:sz="4" w:space="0" w:color="4F81BD"/>
                    <w:left w:val="single" w:sz="4" w:space="0" w:color="4F81BD"/>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Lithuania</w:t>
                  </w:r>
                </w:p>
              </w:tc>
              <w:tc>
                <w:tcPr>
                  <w:tcW w:w="964" w:type="dxa"/>
                  <w:tcBorders>
                    <w:top w:val="single" w:sz="4" w:space="0" w:color="4F81BD"/>
                    <w:left w:val="nil"/>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7C6E13">
                    <w:rPr>
                      <w:rFonts w:ascii="Times New Roman" w:hAnsi="Times New Roman"/>
                      <w:sz w:val="16"/>
                      <w:szCs w:val="16"/>
                    </w:rPr>
                    <w:t>–</w:t>
                  </w:r>
                  <w:r w:rsidRPr="00321D31">
                    <w:rPr>
                      <w:rFonts w:cs="Calibri"/>
                      <w:color w:val="000000"/>
                      <w:sz w:val="16"/>
                      <w:szCs w:val="16"/>
                      <w:lang w:eastAsia="de-AT"/>
                    </w:rPr>
                    <w:t>2.76%</w:t>
                  </w:r>
                </w:p>
              </w:tc>
              <w:tc>
                <w:tcPr>
                  <w:tcW w:w="960" w:type="dxa"/>
                  <w:tcBorders>
                    <w:top w:val="single" w:sz="4" w:space="0" w:color="4F81BD"/>
                    <w:left w:val="nil"/>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0.28%</w:t>
                  </w:r>
                </w:p>
              </w:tc>
              <w:tc>
                <w:tcPr>
                  <w:tcW w:w="960" w:type="dxa"/>
                  <w:tcBorders>
                    <w:top w:val="single" w:sz="4" w:space="0" w:color="4F81BD"/>
                    <w:left w:val="nil"/>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1.05%</w:t>
                  </w:r>
                </w:p>
              </w:tc>
              <w:tc>
                <w:tcPr>
                  <w:tcW w:w="960" w:type="dxa"/>
                  <w:tcBorders>
                    <w:top w:val="single" w:sz="4" w:space="0" w:color="4F81BD"/>
                    <w:left w:val="nil"/>
                    <w:bottom w:val="nil"/>
                    <w:right w:val="single" w:sz="4" w:space="0" w:color="4F81BD"/>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0.31%</w:t>
                  </w:r>
                </w:p>
              </w:tc>
            </w:tr>
            <w:tr w:rsidR="0060585A" w:rsidRPr="00321D31" w:rsidTr="004D31F4">
              <w:trPr>
                <w:trHeight w:val="75"/>
              </w:trPr>
              <w:tc>
                <w:tcPr>
                  <w:tcW w:w="915" w:type="dxa"/>
                  <w:tcBorders>
                    <w:top w:val="single" w:sz="4" w:space="0" w:color="4F81BD"/>
                    <w:left w:val="single" w:sz="4" w:space="0" w:color="4F81BD"/>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Poland</w:t>
                  </w:r>
                </w:p>
              </w:tc>
              <w:tc>
                <w:tcPr>
                  <w:tcW w:w="964" w:type="dxa"/>
                  <w:tcBorders>
                    <w:top w:val="single" w:sz="4" w:space="0" w:color="4F81BD"/>
                    <w:left w:val="nil"/>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-0.05%</w:t>
                  </w:r>
                </w:p>
              </w:tc>
              <w:tc>
                <w:tcPr>
                  <w:tcW w:w="960" w:type="dxa"/>
                  <w:tcBorders>
                    <w:top w:val="single" w:sz="4" w:space="0" w:color="4F81BD"/>
                    <w:left w:val="nil"/>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0.41%</w:t>
                  </w:r>
                </w:p>
              </w:tc>
              <w:tc>
                <w:tcPr>
                  <w:tcW w:w="960" w:type="dxa"/>
                  <w:tcBorders>
                    <w:top w:val="single" w:sz="4" w:space="0" w:color="4F81BD"/>
                    <w:left w:val="nil"/>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0.31%</w:t>
                  </w:r>
                </w:p>
              </w:tc>
              <w:tc>
                <w:tcPr>
                  <w:tcW w:w="960" w:type="dxa"/>
                  <w:tcBorders>
                    <w:top w:val="single" w:sz="4" w:space="0" w:color="4F81BD"/>
                    <w:left w:val="nil"/>
                    <w:bottom w:val="nil"/>
                    <w:right w:val="single" w:sz="4" w:space="0" w:color="4F81BD"/>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1.08%</w:t>
                  </w:r>
                </w:p>
              </w:tc>
            </w:tr>
            <w:tr w:rsidR="0060585A" w:rsidRPr="00321D31" w:rsidTr="004D31F4">
              <w:trPr>
                <w:trHeight w:val="75"/>
              </w:trPr>
              <w:tc>
                <w:tcPr>
                  <w:tcW w:w="915" w:type="dxa"/>
                  <w:tcBorders>
                    <w:top w:val="single" w:sz="4" w:space="0" w:color="4F81BD"/>
                    <w:left w:val="single" w:sz="4" w:space="0" w:color="4F81BD"/>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Romania</w:t>
                  </w:r>
                </w:p>
              </w:tc>
              <w:tc>
                <w:tcPr>
                  <w:tcW w:w="964" w:type="dxa"/>
                  <w:tcBorders>
                    <w:top w:val="single" w:sz="4" w:space="0" w:color="4F81BD"/>
                    <w:left w:val="nil"/>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-0.48%</w:t>
                  </w:r>
                </w:p>
              </w:tc>
              <w:tc>
                <w:tcPr>
                  <w:tcW w:w="960" w:type="dxa"/>
                  <w:tcBorders>
                    <w:top w:val="single" w:sz="4" w:space="0" w:color="4F81BD"/>
                    <w:left w:val="nil"/>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-0.43%</w:t>
                  </w:r>
                </w:p>
              </w:tc>
              <w:tc>
                <w:tcPr>
                  <w:tcW w:w="960" w:type="dxa"/>
                  <w:tcBorders>
                    <w:top w:val="single" w:sz="4" w:space="0" w:color="4F81BD"/>
                    <w:left w:val="nil"/>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0.42%</w:t>
                  </w:r>
                </w:p>
              </w:tc>
              <w:tc>
                <w:tcPr>
                  <w:tcW w:w="960" w:type="dxa"/>
                  <w:tcBorders>
                    <w:top w:val="single" w:sz="4" w:space="0" w:color="4F81BD"/>
                    <w:left w:val="nil"/>
                    <w:bottom w:val="nil"/>
                    <w:right w:val="single" w:sz="4" w:space="0" w:color="4F81BD"/>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0.30%</w:t>
                  </w:r>
                </w:p>
              </w:tc>
            </w:tr>
            <w:tr w:rsidR="0060585A" w:rsidRPr="00321D31" w:rsidTr="004D31F4">
              <w:trPr>
                <w:trHeight w:val="75"/>
              </w:trPr>
              <w:tc>
                <w:tcPr>
                  <w:tcW w:w="915" w:type="dxa"/>
                  <w:tcBorders>
                    <w:top w:val="single" w:sz="4" w:space="0" w:color="4F81BD"/>
                    <w:left w:val="single" w:sz="4" w:space="0" w:color="4F81BD"/>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Slovakia</w:t>
                  </w:r>
                </w:p>
              </w:tc>
              <w:tc>
                <w:tcPr>
                  <w:tcW w:w="964" w:type="dxa"/>
                  <w:tcBorders>
                    <w:top w:val="single" w:sz="4" w:space="0" w:color="4F81BD"/>
                    <w:left w:val="nil"/>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-1.68%</w:t>
                  </w:r>
                </w:p>
              </w:tc>
              <w:tc>
                <w:tcPr>
                  <w:tcW w:w="960" w:type="dxa"/>
                  <w:tcBorders>
                    <w:top w:val="single" w:sz="4" w:space="0" w:color="4F81BD"/>
                    <w:left w:val="nil"/>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0.09%</w:t>
                  </w:r>
                </w:p>
              </w:tc>
              <w:tc>
                <w:tcPr>
                  <w:tcW w:w="960" w:type="dxa"/>
                  <w:tcBorders>
                    <w:top w:val="single" w:sz="4" w:space="0" w:color="4F81BD"/>
                    <w:left w:val="nil"/>
                    <w:bottom w:val="nil"/>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0.71%</w:t>
                  </w:r>
                </w:p>
              </w:tc>
              <w:tc>
                <w:tcPr>
                  <w:tcW w:w="960" w:type="dxa"/>
                  <w:tcBorders>
                    <w:top w:val="single" w:sz="4" w:space="0" w:color="4F81BD"/>
                    <w:left w:val="nil"/>
                    <w:bottom w:val="nil"/>
                    <w:right w:val="single" w:sz="4" w:space="0" w:color="4F81BD"/>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1.34%</w:t>
                  </w:r>
                </w:p>
              </w:tc>
            </w:tr>
            <w:tr w:rsidR="0060585A" w:rsidRPr="00321D31" w:rsidTr="004D31F4">
              <w:trPr>
                <w:trHeight w:val="75"/>
              </w:trPr>
              <w:tc>
                <w:tcPr>
                  <w:tcW w:w="915" w:type="dxa"/>
                  <w:tcBorders>
                    <w:top w:val="single" w:sz="4" w:space="0" w:color="4F81BD"/>
                    <w:left w:val="single" w:sz="4" w:space="0" w:color="4F81BD"/>
                    <w:bottom w:val="single" w:sz="4" w:space="0" w:color="4F81BD"/>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Slovenia</w:t>
                  </w:r>
                </w:p>
              </w:tc>
              <w:tc>
                <w:tcPr>
                  <w:tcW w:w="964" w:type="dxa"/>
                  <w:tcBorders>
                    <w:top w:val="single" w:sz="4" w:space="0" w:color="4F81BD"/>
                    <w:left w:val="nil"/>
                    <w:bottom w:val="single" w:sz="4" w:space="0" w:color="4F81BD"/>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-1.18%</w:t>
                  </w:r>
                </w:p>
              </w:tc>
              <w:tc>
                <w:tcPr>
                  <w:tcW w:w="960" w:type="dxa"/>
                  <w:tcBorders>
                    <w:top w:val="single" w:sz="4" w:space="0" w:color="4F81BD"/>
                    <w:left w:val="nil"/>
                    <w:bottom w:val="single" w:sz="4" w:space="0" w:color="4F81BD"/>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0.45%</w:t>
                  </w:r>
                </w:p>
              </w:tc>
              <w:tc>
                <w:tcPr>
                  <w:tcW w:w="960" w:type="dxa"/>
                  <w:tcBorders>
                    <w:top w:val="single" w:sz="4" w:space="0" w:color="4F81BD"/>
                    <w:left w:val="nil"/>
                    <w:bottom w:val="single" w:sz="4" w:space="0" w:color="4F81BD"/>
                    <w:right w:val="nil"/>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0.82%</w:t>
                  </w:r>
                </w:p>
              </w:tc>
              <w:tc>
                <w:tcPr>
                  <w:tcW w:w="960" w:type="dxa"/>
                  <w:tcBorders>
                    <w:top w:val="single" w:sz="4" w:space="0" w:color="4F81BD"/>
                    <w:left w:val="nil"/>
                    <w:bottom w:val="single" w:sz="4" w:space="0" w:color="4F81BD"/>
                    <w:right w:val="single" w:sz="4" w:space="0" w:color="4F81BD"/>
                  </w:tcBorders>
                  <w:noWrap/>
                  <w:vAlign w:val="bottom"/>
                </w:tcPr>
                <w:p w:rsidR="0060585A" w:rsidRPr="00321D31" w:rsidRDefault="0060585A" w:rsidP="007C6E13">
                  <w:pPr>
                    <w:keepNext/>
                    <w:keepLines/>
                    <w:rPr>
                      <w:rFonts w:cs="Calibri"/>
                      <w:color w:val="000000"/>
                      <w:sz w:val="16"/>
                      <w:szCs w:val="16"/>
                      <w:lang w:eastAsia="de-AT"/>
                    </w:rPr>
                  </w:pPr>
                  <w:r w:rsidRPr="00321D31">
                    <w:rPr>
                      <w:rFonts w:cs="Calibri"/>
                      <w:color w:val="000000"/>
                      <w:sz w:val="16"/>
                      <w:szCs w:val="16"/>
                      <w:lang w:eastAsia="de-AT"/>
                    </w:rPr>
                    <w:t>0.61%</w:t>
                  </w:r>
                </w:p>
              </w:tc>
            </w:tr>
          </w:tbl>
          <w:p w:rsidR="0060585A" w:rsidRPr="00321D31" w:rsidRDefault="0060585A" w:rsidP="00321D31">
            <w:pPr>
              <w:keepNext/>
              <w:keepLines/>
              <w:spacing w:line="276" w:lineRule="auto"/>
              <w:rPr>
                <w:rFonts w:cs="Calibri"/>
                <w:sz w:val="20"/>
              </w:rPr>
            </w:pPr>
          </w:p>
        </w:tc>
      </w:tr>
      <w:tr w:rsidR="0060585A" w:rsidRPr="00321D31" w:rsidTr="000C50E8">
        <w:trPr>
          <w:trHeight w:val="566"/>
        </w:trPr>
        <w:tc>
          <w:tcPr>
            <w:tcW w:w="4236" w:type="dxa"/>
          </w:tcPr>
          <w:p w:rsidR="0060585A" w:rsidRPr="00321D31" w:rsidRDefault="0060585A" w:rsidP="00321D31">
            <w:pPr>
              <w:keepNext/>
              <w:keepLines/>
              <w:spacing w:before="60" w:after="40"/>
              <w:rPr>
                <w:sz w:val="18"/>
                <w:szCs w:val="18"/>
              </w:rPr>
            </w:pPr>
            <w:r w:rsidRPr="00321D31">
              <w:rPr>
                <w:i/>
                <w:sz w:val="18"/>
                <w:szCs w:val="18"/>
              </w:rPr>
              <w:t xml:space="preserve">Source: </w:t>
            </w:r>
            <w:r w:rsidRPr="00321D31">
              <w:rPr>
                <w:sz w:val="18"/>
                <w:szCs w:val="18"/>
              </w:rPr>
              <w:t xml:space="preserve">World Bank ECACE regional tables and IMF WEO </w:t>
            </w:r>
          </w:p>
          <w:p w:rsidR="0060585A" w:rsidRPr="00321D31" w:rsidRDefault="0060585A" w:rsidP="00321D31">
            <w:pPr>
              <w:keepNext/>
              <w:keepLines/>
              <w:spacing w:before="60" w:after="40"/>
              <w:rPr>
                <w:i/>
                <w:sz w:val="18"/>
                <w:szCs w:val="18"/>
              </w:rPr>
            </w:pPr>
            <w:r w:rsidRPr="00321D31">
              <w:rPr>
                <w:i/>
                <w:sz w:val="18"/>
                <w:szCs w:val="18"/>
              </w:rPr>
              <w:t xml:space="preserve">Note: </w:t>
            </w:r>
            <w:r w:rsidRPr="00321D31">
              <w:rPr>
                <w:sz w:val="18"/>
                <w:szCs w:val="18"/>
              </w:rPr>
              <w:t>Purchasing Power Standard (PPS)</w:t>
            </w:r>
          </w:p>
        </w:tc>
        <w:tc>
          <w:tcPr>
            <w:tcW w:w="5232" w:type="dxa"/>
          </w:tcPr>
          <w:p w:rsidR="0060585A" w:rsidRPr="00321D31" w:rsidRDefault="0060585A" w:rsidP="00321D31">
            <w:pPr>
              <w:keepNext/>
              <w:keepLines/>
              <w:spacing w:before="60" w:after="40"/>
              <w:rPr>
                <w:sz w:val="18"/>
                <w:szCs w:val="18"/>
              </w:rPr>
            </w:pPr>
            <w:r w:rsidRPr="00321D31">
              <w:rPr>
                <w:i/>
                <w:sz w:val="18"/>
                <w:szCs w:val="18"/>
              </w:rPr>
              <w:t xml:space="preserve">Source: </w:t>
            </w:r>
            <w:r w:rsidRPr="00321D31">
              <w:rPr>
                <w:sz w:val="18"/>
                <w:szCs w:val="18"/>
              </w:rPr>
              <w:t>World Bank ECACE regional tables and IMF WEO</w:t>
            </w:r>
          </w:p>
          <w:p w:rsidR="0060585A" w:rsidRPr="00321D31" w:rsidRDefault="0060585A" w:rsidP="00321D31">
            <w:pPr>
              <w:keepNext/>
              <w:keepLines/>
              <w:spacing w:before="60" w:after="40"/>
              <w:rPr>
                <w:sz w:val="18"/>
                <w:szCs w:val="18"/>
              </w:rPr>
            </w:pPr>
            <w:r w:rsidRPr="00321D31">
              <w:rPr>
                <w:i/>
                <w:sz w:val="18"/>
                <w:szCs w:val="18"/>
              </w:rPr>
              <w:t xml:space="preserve">Note: </w:t>
            </w:r>
            <w:r w:rsidRPr="00321D31">
              <w:rPr>
                <w:sz w:val="18"/>
                <w:szCs w:val="18"/>
              </w:rPr>
              <w:t>Positive values indicate that the gap decreases, negative values indicate that the gap increases</w:t>
            </w:r>
          </w:p>
          <w:p w:rsidR="0060585A" w:rsidRPr="00321D31" w:rsidRDefault="0060585A" w:rsidP="00321D31">
            <w:pPr>
              <w:keepNext/>
              <w:keepLines/>
              <w:spacing w:before="60" w:after="40"/>
              <w:rPr>
                <w:i/>
                <w:sz w:val="18"/>
                <w:szCs w:val="18"/>
              </w:rPr>
            </w:pPr>
          </w:p>
        </w:tc>
      </w:tr>
    </w:tbl>
    <w:p w:rsidR="0060585A" w:rsidRPr="00C922C7" w:rsidRDefault="0060585A" w:rsidP="007C6E13">
      <w:pPr>
        <w:rPr>
          <w:rFonts w:ascii="Times New Roman" w:hAnsi="Times New Roman"/>
          <w:b/>
          <w:sz w:val="28"/>
        </w:rPr>
      </w:pPr>
    </w:p>
    <w:p w:rsidR="0060585A" w:rsidRPr="00C922C7" w:rsidRDefault="0060585A" w:rsidP="007C6E13">
      <w:pPr>
        <w:rPr>
          <w:szCs w:val="22"/>
        </w:rPr>
      </w:pPr>
      <w:r w:rsidRPr="00C922C7">
        <w:rPr>
          <w:b/>
          <w:szCs w:val="22"/>
        </w:rPr>
        <w:t xml:space="preserve">While in the last decade income growth differentials have substantially reduced the income gap between EU11 and the rest of the EU, the poor performance of EU15-South was also an important factor to explain such a development. </w:t>
      </w:r>
      <w:r w:rsidRPr="00C922C7">
        <w:rPr>
          <w:szCs w:val="22"/>
        </w:rPr>
        <w:t>Between 2007 and 2010 the gap between EU11 and EU15 South closed by 0.17 percent annually but the gap between EU11 and EU15-Continental group widened by 0.09 percent.</w:t>
      </w:r>
    </w:p>
    <w:p w:rsidR="0060585A" w:rsidRPr="00C922C7" w:rsidRDefault="0060585A" w:rsidP="007C6E13">
      <w:pPr>
        <w:rPr>
          <w:b/>
          <w:szCs w:val="22"/>
        </w:rPr>
      </w:pPr>
    </w:p>
    <w:p w:rsidR="0060585A" w:rsidRPr="00C922C7" w:rsidRDefault="0060585A" w:rsidP="007C6E13">
      <w:pPr>
        <w:rPr>
          <w:szCs w:val="22"/>
        </w:rPr>
      </w:pPr>
      <w:r w:rsidRPr="00C922C7">
        <w:rPr>
          <w:b/>
          <w:szCs w:val="22"/>
        </w:rPr>
        <w:t xml:space="preserve">How can EU11 countries re-accelerate income convergence with the rest of the EU? </w:t>
      </w:r>
      <w:r w:rsidRPr="00C922C7">
        <w:rPr>
          <w:szCs w:val="22"/>
        </w:rPr>
        <w:t>Having identified several plausible scenarios about changes in technology and the accumulation of human and physical capital in EU11, it is possible to project the likelihood of income convergence.</w:t>
      </w:r>
      <w:r w:rsidRPr="00C922C7">
        <w:rPr>
          <w:rStyle w:val="FootnoteReference"/>
          <w:szCs w:val="22"/>
        </w:rPr>
        <w:footnoteReference w:id="13"/>
      </w:r>
      <w:r w:rsidRPr="00C922C7">
        <w:rPr>
          <w:szCs w:val="22"/>
        </w:rPr>
        <w:t xml:space="preserve"> From the analysis it appears that the likelihood of EU11 income convergence with EU15 in the long-term is very high, but fully converging will take time. The distribution of relative income per capita in EU11 with respect to EU15 obtained from projection exercises for 2020, 2030, 2040, and 2050 indicate that the income convergence process will continue, and eventually the distribution of relative income per capita will become more concentrated around values that imply full, or close to full, convergence of incomes in EU11 and EU15 (Figure 3).</w:t>
      </w:r>
      <w:r w:rsidRPr="00C922C7">
        <w:rPr>
          <w:rStyle w:val="FootnoteReference"/>
          <w:szCs w:val="22"/>
        </w:rPr>
        <w:t xml:space="preserve"> </w:t>
      </w:r>
      <w:r w:rsidRPr="00C922C7">
        <w:rPr>
          <w:rStyle w:val="FootnoteReference"/>
          <w:szCs w:val="22"/>
        </w:rPr>
        <w:footnoteReference w:id="14"/>
      </w:r>
      <w:r w:rsidRPr="00C922C7">
        <w:rPr>
          <w:szCs w:val="22"/>
        </w:rPr>
        <w:t xml:space="preserve"> </w:t>
      </w:r>
    </w:p>
    <w:p w:rsidR="0060585A" w:rsidRPr="00EB1728" w:rsidRDefault="0060585A" w:rsidP="007C6E13">
      <w:pPr>
        <w:pStyle w:val="Caption"/>
        <w:keepNext/>
        <w:keepLines/>
        <w:spacing w:before="60" w:after="60"/>
        <w:rPr>
          <w:sz w:val="22"/>
          <w:szCs w:val="22"/>
        </w:rPr>
      </w:pPr>
      <w:r w:rsidRPr="00EB1728">
        <w:rPr>
          <w:sz w:val="22"/>
          <w:szCs w:val="22"/>
        </w:rPr>
        <w:lastRenderedPageBreak/>
        <w:t xml:space="preserve">Figure 3. Projections of Income per Capita, EU11 and EU15, Smoothed Distribution </w:t>
      </w:r>
    </w:p>
    <w:p w:rsidR="0060585A" w:rsidRPr="00982556" w:rsidRDefault="00A1042F" w:rsidP="002A4C0C">
      <w:pPr>
        <w:jc w:val="left"/>
        <w:rPr>
          <w:rFonts w:ascii="Times New Roman" w:hAnsi="Times New Roman"/>
        </w:rPr>
      </w:pPr>
      <w:r>
        <w:rPr>
          <w:rFonts w:ascii="Times New Roman" w:hAnsi="Times New Roman"/>
          <w:noProof/>
        </w:rPr>
        <w:drawing>
          <wp:inline distT="0" distB="0" distL="0" distR="0">
            <wp:extent cx="3695700" cy="2381250"/>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6"/>
                    <a:srcRect/>
                    <a:stretch>
                      <a:fillRect/>
                    </a:stretch>
                  </pic:blipFill>
                  <pic:spPr bwMode="auto">
                    <a:xfrm>
                      <a:off x="0" y="0"/>
                      <a:ext cx="3695700" cy="2381250"/>
                    </a:xfrm>
                    <a:prstGeom prst="rect">
                      <a:avLst/>
                    </a:prstGeom>
                    <a:noFill/>
                    <a:ln w="9525">
                      <a:noFill/>
                      <a:miter lim="800000"/>
                      <a:headEnd/>
                      <a:tailEnd/>
                    </a:ln>
                  </pic:spPr>
                </pic:pic>
              </a:graphicData>
            </a:graphic>
          </wp:inline>
        </w:drawing>
      </w:r>
    </w:p>
    <w:p w:rsidR="0060585A" w:rsidRPr="00FC0D33" w:rsidRDefault="0060585A" w:rsidP="007C6E13">
      <w:pPr>
        <w:keepNext/>
        <w:spacing w:before="60" w:after="40"/>
        <w:rPr>
          <w:sz w:val="18"/>
          <w:szCs w:val="18"/>
        </w:rPr>
      </w:pPr>
      <w:r w:rsidRPr="00EB1728">
        <w:rPr>
          <w:i/>
          <w:sz w:val="18"/>
          <w:szCs w:val="18"/>
        </w:rPr>
        <w:t xml:space="preserve">Source: </w:t>
      </w:r>
      <w:r w:rsidRPr="00FC0D33">
        <w:rPr>
          <w:sz w:val="18"/>
          <w:szCs w:val="18"/>
        </w:rPr>
        <w:t>Authors’ calculations based on Crespo Cuaresma, Havettová and Lábaj (2012)</w:t>
      </w:r>
    </w:p>
    <w:p w:rsidR="0060585A" w:rsidRPr="00EB1728" w:rsidRDefault="0060585A" w:rsidP="007C6E13">
      <w:pPr>
        <w:keepNext/>
        <w:spacing w:before="60" w:after="40"/>
        <w:rPr>
          <w:i/>
          <w:sz w:val="18"/>
          <w:szCs w:val="18"/>
        </w:rPr>
      </w:pPr>
      <w:r w:rsidRPr="00EB1728">
        <w:rPr>
          <w:i/>
          <w:sz w:val="18"/>
          <w:szCs w:val="18"/>
        </w:rPr>
        <w:t xml:space="preserve">Note: </w:t>
      </w:r>
      <w:r w:rsidRPr="00FC0D33">
        <w:rPr>
          <w:sz w:val="18"/>
          <w:szCs w:val="18"/>
        </w:rPr>
        <w:t>The figure plots the (smoothed) histogram of the 144 projections for 2020, 2030, 2040, and  2050. It shows average income in EU11 as a share of EU15 income. As the projection horizon increases, the histograms become "fatter" because of uncertainty about the long-term development of income per capita. As time progresses, the center of the smoothed histogram moves to the right, with a larger share of observations around 0.8–1, which suggests close to full convergence.</w:t>
      </w:r>
    </w:p>
    <w:p w:rsidR="0060585A" w:rsidRPr="00075D89" w:rsidRDefault="0060585A" w:rsidP="00075D89">
      <w:pPr>
        <w:rPr>
          <w:b/>
          <w:sz w:val="22"/>
          <w:szCs w:val="22"/>
        </w:rPr>
      </w:pPr>
    </w:p>
    <w:p w:rsidR="0060585A" w:rsidRPr="00C922C7" w:rsidRDefault="0060585A" w:rsidP="00075D89">
      <w:pPr>
        <w:rPr>
          <w:szCs w:val="22"/>
        </w:rPr>
      </w:pPr>
      <w:r w:rsidRPr="00C922C7">
        <w:rPr>
          <w:b/>
          <w:szCs w:val="22"/>
        </w:rPr>
        <w:t>Human capital accumulation dynamics are the key factor in explaining why some EU11 countries are more likely to be successful in closing the income gap with EU15 in the long term.</w:t>
      </w:r>
      <w:r w:rsidRPr="00C922C7">
        <w:rPr>
          <w:rStyle w:val="FootnoteReference"/>
          <w:szCs w:val="22"/>
        </w:rPr>
        <w:footnoteReference w:id="15"/>
      </w:r>
      <w:r w:rsidRPr="00C922C7">
        <w:rPr>
          <w:szCs w:val="22"/>
        </w:rPr>
        <w:t xml:space="preserve"> Differences in income convergence speed within EU11 can be attributed to the sizable gap with EU15 regarding human capital accumulation. To close these differences, further investment in human capital could significantly accelerate income convergence. Investment in human capital can even pay off where educational attainment is already relatively high if demand is rising for skilled workers and employers are running into specific skills shortages (see World Bank 2012). To the extent that human capital investments (in terms of both quantity and quality) affect an economy’s ability to innovate, the benefits for income convergence from policies directed to improving skills may be particularly important.</w:t>
      </w:r>
    </w:p>
    <w:p w:rsidR="0060585A" w:rsidRPr="00C922C7" w:rsidRDefault="0060585A" w:rsidP="00075D89">
      <w:pPr>
        <w:rPr>
          <w:szCs w:val="22"/>
        </w:rPr>
      </w:pPr>
    </w:p>
    <w:p w:rsidR="0060585A" w:rsidRPr="00C922C7" w:rsidRDefault="0060585A" w:rsidP="00075D89">
      <w:pPr>
        <w:rPr>
          <w:szCs w:val="22"/>
        </w:rPr>
      </w:pPr>
      <w:r w:rsidRPr="00C922C7">
        <w:rPr>
          <w:b/>
          <w:szCs w:val="22"/>
        </w:rPr>
        <w:t>In terms of accumulation of production factors, the growth rate of physical capital in the EU11 region has been systematically above that in EU15.</w:t>
      </w:r>
      <w:r w:rsidRPr="00C922C7">
        <w:rPr>
          <w:szCs w:val="22"/>
        </w:rPr>
        <w:t xml:space="preserve"> Redirecting investments to more productive sectors seems to be an income convergence priority in the region. The recent crisis has also had a negative effect on innovation policies in EU11, which diverge in innovative capabilities from the rest of the region (Archibugi and Filippetti 2011). Such a development, through its effect on growth in total factor productivity (TFP), poses risks to progress in EU11 income convergence with EU15. </w:t>
      </w:r>
    </w:p>
    <w:p w:rsidR="0060585A" w:rsidRPr="00C922C7" w:rsidRDefault="0060585A" w:rsidP="00075D89">
      <w:pPr>
        <w:rPr>
          <w:szCs w:val="22"/>
        </w:rPr>
      </w:pPr>
    </w:p>
    <w:p w:rsidR="0060585A" w:rsidRPr="00C922C7" w:rsidRDefault="0060585A" w:rsidP="00075D89">
      <w:pPr>
        <w:rPr>
          <w:szCs w:val="22"/>
        </w:rPr>
      </w:pPr>
      <w:r w:rsidRPr="00C922C7">
        <w:rPr>
          <w:b/>
          <w:szCs w:val="22"/>
        </w:rPr>
        <w:t xml:space="preserve">In a nutshell, while in the last 20 years progress in income convergence with the rest of the EU can be considered a success, the financial crisis jammed on the brakes. </w:t>
      </w:r>
      <w:r w:rsidRPr="00C922C7">
        <w:rPr>
          <w:szCs w:val="22"/>
        </w:rPr>
        <w:lastRenderedPageBreak/>
        <w:t>Taking into account current production factor endowments, although heterogeneous across individual economies the prospects of continuing on the convergence path are good for the region as a whole. If the right policies are in place, further gains can be expected from convergence in educational attainment for countries where human capital investment lags behind the EU15 economies. Such a lag, as measured by the difference in the share of working age population with tertiary education to the EU15 average, ranks from 19.7% in Romania to -7.6% in Estonia.</w:t>
      </w:r>
    </w:p>
    <w:p w:rsidR="0060585A" w:rsidRPr="00C922C7" w:rsidRDefault="0060585A" w:rsidP="00075D89">
      <w:pPr>
        <w:pStyle w:val="IntenseQuote"/>
        <w:spacing w:after="0" w:line="240" w:lineRule="auto"/>
        <w:rPr>
          <w:rFonts w:ascii="Cambria" w:hAnsi="Cambria"/>
          <w:szCs w:val="22"/>
        </w:rPr>
      </w:pPr>
    </w:p>
    <w:p w:rsidR="0060585A" w:rsidRPr="00075D89" w:rsidRDefault="0060585A" w:rsidP="00075D89"/>
    <w:p w:rsidR="0060585A" w:rsidRPr="005E38CA" w:rsidRDefault="0060585A" w:rsidP="00861DDB">
      <w:pPr>
        <w:pStyle w:val="ChapterTitle"/>
      </w:pPr>
      <w:bookmarkStart w:id="71" w:name="_Toc328295599"/>
      <w:r w:rsidRPr="005E38CA">
        <w:t>Trade and Finance: Fuelling Economic Growth, Increasing Vulnerability</w:t>
      </w:r>
      <w:bookmarkEnd w:id="71"/>
      <w:r w:rsidRPr="005E38CA">
        <w:t xml:space="preserve"> </w:t>
      </w:r>
    </w:p>
    <w:p w:rsidR="0060585A" w:rsidRPr="00C922C7" w:rsidRDefault="0060585A" w:rsidP="00075D89">
      <w:pPr>
        <w:pStyle w:val="BYPERBasicParagraph"/>
        <w:spacing w:after="0" w:line="240" w:lineRule="auto"/>
        <w:rPr>
          <w:rFonts w:ascii="Cambria" w:hAnsi="Cambria"/>
        </w:rPr>
      </w:pPr>
      <w:r w:rsidRPr="00C922C7">
        <w:rPr>
          <w:rFonts w:ascii="Cambria" w:hAnsi="Cambria"/>
          <w:b/>
        </w:rPr>
        <w:t>Trade and finance—facilitated by the single market of the EU and its forebears—have fueled convergence in incomes and living standards.</w:t>
      </w:r>
      <w:r w:rsidRPr="00C922C7">
        <w:rPr>
          <w:rFonts w:ascii="Cambria" w:hAnsi="Cambria"/>
        </w:rPr>
        <w:t xml:space="preserve"> In 2009 Europe’s trade in goods was worth about $4.5 trillion, more than East Asia’s and North America’s combined, and trade in services was worth $2.25 trillion, more than the entire rest of the world combined. Today, Europe’s economies are more integrated through trade than those of any other part of the world, stimulating faster convergence in incomes and living standards. EU11 has been especially effective at taking advantage of their opportunities to integrate westward by trading goods and modern business services. </w:t>
      </w:r>
    </w:p>
    <w:p w:rsidR="0060585A" w:rsidRPr="00C922C7" w:rsidRDefault="0060585A" w:rsidP="00075D89">
      <w:pPr>
        <w:pStyle w:val="BYPERBasicParagraph"/>
        <w:spacing w:after="0" w:line="240" w:lineRule="auto"/>
        <w:rPr>
          <w:rFonts w:ascii="Cambria" w:hAnsi="Cambria"/>
        </w:rPr>
      </w:pPr>
    </w:p>
    <w:p w:rsidR="0060585A" w:rsidRPr="00C922C7" w:rsidRDefault="0060585A" w:rsidP="00075D89">
      <w:pPr>
        <w:rPr>
          <w:szCs w:val="22"/>
        </w:rPr>
      </w:pPr>
      <w:r w:rsidRPr="00C922C7">
        <w:rPr>
          <w:b/>
          <w:szCs w:val="22"/>
        </w:rPr>
        <w:t xml:space="preserve">While trade in goods between the EU15 and the EU11 countries has grown rapidly since the mid-1990s, trade openness varies. </w:t>
      </w:r>
      <w:r w:rsidRPr="00C922C7">
        <w:rPr>
          <w:szCs w:val="22"/>
        </w:rPr>
        <w:t>Trade flows relative to GDP are much higher in the EU11 states than elsewhere in the world due to low barriers to goods trade in the Single Market, falling trade barriers for both goods and services, and the relatively small size of economies in the region. However, trade-to-GDP ratios and the direction of intra-EU trade flows vary. Trade-to-GDP ratios in Hungary, the Czech Republic, Estonia, and Slovakia have reached EU15-Continental levels, led primarily by trade in intermediate goods.</w:t>
      </w:r>
      <w:r w:rsidRPr="00C922C7">
        <w:rPr>
          <w:rStyle w:val="FootnoteReference"/>
          <w:szCs w:val="22"/>
        </w:rPr>
        <w:footnoteReference w:id="16"/>
      </w:r>
      <w:r w:rsidRPr="00C922C7">
        <w:rPr>
          <w:szCs w:val="22"/>
        </w:rPr>
        <w:t xml:space="preserve"> Location does a lot to explain trading patterns between new and old EU member states. EU15-North, especially Finland, Sweden, and Denmark, are important destinations for exports from Estonia, Latvia, and Lithuania. EU15-Continental countries, especially Germany, are major markets for exports from Poland, the Czech Republic, Hungary, Slovenia, and Slovakia. EU15-South has not been much of a market for exports from EU11 countries, but markets in EU15-North and EU15-Continental countries (especially Germany) have helped keep EU11 exports resilient despite the sovereign debt crisis in peripheral Euro area countries. The EU15 export share with EU11 countries doubled from less than 4 percent in 1996 to almost 8 percent by 2008, and the EU11 export share with the EU15 has remained around 60 percent for the past two decades. </w:t>
      </w:r>
    </w:p>
    <w:tbl>
      <w:tblPr>
        <w:tblW w:w="0" w:type="auto"/>
        <w:tblInd w:w="-12" w:type="dxa"/>
        <w:tblLayout w:type="fixed"/>
        <w:tblLook w:val="00A0"/>
      </w:tblPr>
      <w:tblGrid>
        <w:gridCol w:w="4710"/>
        <w:gridCol w:w="4878"/>
      </w:tblGrid>
      <w:tr w:rsidR="0060585A" w:rsidRPr="00321D31" w:rsidTr="000C50E8">
        <w:trPr>
          <w:trHeight w:val="3803"/>
        </w:trPr>
        <w:tc>
          <w:tcPr>
            <w:tcW w:w="4710" w:type="dxa"/>
          </w:tcPr>
          <w:p w:rsidR="0060585A" w:rsidRPr="00321D31" w:rsidRDefault="0060585A" w:rsidP="004D31F4">
            <w:pPr>
              <w:pStyle w:val="Caption"/>
              <w:keepNext/>
              <w:keepLines/>
              <w:spacing w:before="60" w:after="60"/>
              <w:jc w:val="left"/>
              <w:rPr>
                <w:sz w:val="22"/>
                <w:szCs w:val="22"/>
              </w:rPr>
            </w:pPr>
            <w:r w:rsidRPr="00321D31">
              <w:rPr>
                <w:sz w:val="22"/>
                <w:szCs w:val="22"/>
              </w:rPr>
              <w:lastRenderedPageBreak/>
              <w:t>Figure 6. Exports of Goods, 2009–10, and Services, 2010, by Sector and Regional Groups, (Percentage of GDP)</w:t>
            </w:r>
          </w:p>
          <w:p w:rsidR="0060585A" w:rsidRPr="00321D31" w:rsidRDefault="00A1042F" w:rsidP="00321D31">
            <w:pPr>
              <w:pStyle w:val="Caption"/>
              <w:keepNext/>
              <w:keepLines/>
              <w:spacing w:before="60" w:after="60"/>
              <w:jc w:val="center"/>
              <w:rPr>
                <w:sz w:val="22"/>
                <w:szCs w:val="22"/>
              </w:rPr>
            </w:pPr>
            <w:r>
              <w:rPr>
                <w:noProof/>
                <w:sz w:val="22"/>
                <w:szCs w:val="22"/>
              </w:rPr>
              <w:drawing>
                <wp:inline distT="0" distB="0" distL="0" distR="0">
                  <wp:extent cx="2819400" cy="209550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7"/>
                          <a:srcRect/>
                          <a:stretch>
                            <a:fillRect/>
                          </a:stretch>
                        </pic:blipFill>
                        <pic:spPr bwMode="auto">
                          <a:xfrm>
                            <a:off x="0" y="0"/>
                            <a:ext cx="2819400" cy="2095500"/>
                          </a:xfrm>
                          <a:prstGeom prst="rect">
                            <a:avLst/>
                          </a:prstGeom>
                          <a:noFill/>
                          <a:ln w="9525">
                            <a:noFill/>
                            <a:miter lim="800000"/>
                            <a:headEnd/>
                            <a:tailEnd/>
                          </a:ln>
                        </pic:spPr>
                      </pic:pic>
                    </a:graphicData>
                  </a:graphic>
                </wp:inline>
              </w:drawing>
            </w:r>
          </w:p>
        </w:tc>
        <w:tc>
          <w:tcPr>
            <w:tcW w:w="4878" w:type="dxa"/>
          </w:tcPr>
          <w:p w:rsidR="0060585A" w:rsidRPr="00321D31" w:rsidRDefault="0060585A" w:rsidP="004D31F4">
            <w:pPr>
              <w:pStyle w:val="Caption"/>
              <w:keepNext/>
              <w:keepLines/>
              <w:spacing w:before="60" w:after="60"/>
              <w:jc w:val="left"/>
              <w:rPr>
                <w:sz w:val="22"/>
                <w:szCs w:val="22"/>
              </w:rPr>
            </w:pPr>
            <w:r w:rsidRPr="00321D31">
              <w:rPr>
                <w:sz w:val="22"/>
                <w:szCs w:val="22"/>
              </w:rPr>
              <w:t>Figure 7. Imports of Goods, 2009–10, and Services, 2010, by Sector and Regional Groups, (Percentage of GDP)</w:t>
            </w:r>
          </w:p>
          <w:p w:rsidR="0060585A" w:rsidRPr="00321D31" w:rsidRDefault="00A1042F" w:rsidP="00321D31">
            <w:pPr>
              <w:pStyle w:val="Caption"/>
              <w:keepNext/>
              <w:keepLines/>
              <w:spacing w:before="60" w:after="60"/>
              <w:rPr>
                <w:sz w:val="22"/>
                <w:szCs w:val="22"/>
              </w:rPr>
            </w:pPr>
            <w:r>
              <w:rPr>
                <w:noProof/>
                <w:sz w:val="22"/>
                <w:szCs w:val="22"/>
              </w:rPr>
              <w:drawing>
                <wp:inline distT="0" distB="0" distL="0" distR="0">
                  <wp:extent cx="2952750" cy="2095500"/>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8"/>
                          <a:srcRect/>
                          <a:stretch>
                            <a:fillRect/>
                          </a:stretch>
                        </pic:blipFill>
                        <pic:spPr bwMode="auto">
                          <a:xfrm>
                            <a:off x="0" y="0"/>
                            <a:ext cx="2952750" cy="2095500"/>
                          </a:xfrm>
                          <a:prstGeom prst="rect">
                            <a:avLst/>
                          </a:prstGeom>
                          <a:noFill/>
                          <a:ln w="9525">
                            <a:noFill/>
                            <a:miter lim="800000"/>
                            <a:headEnd/>
                            <a:tailEnd/>
                          </a:ln>
                        </pic:spPr>
                      </pic:pic>
                    </a:graphicData>
                  </a:graphic>
                </wp:inline>
              </w:drawing>
            </w:r>
          </w:p>
        </w:tc>
      </w:tr>
      <w:tr w:rsidR="0060585A" w:rsidRPr="00321D31" w:rsidTr="000C50E8">
        <w:tc>
          <w:tcPr>
            <w:tcW w:w="4710" w:type="dxa"/>
          </w:tcPr>
          <w:p w:rsidR="0060585A" w:rsidRPr="00321D31" w:rsidRDefault="0060585A" w:rsidP="00321D31">
            <w:pPr>
              <w:keepNext/>
              <w:spacing w:before="60" w:after="40"/>
              <w:rPr>
                <w:i/>
                <w:sz w:val="18"/>
                <w:szCs w:val="18"/>
              </w:rPr>
            </w:pPr>
            <w:r w:rsidRPr="00321D31">
              <w:rPr>
                <w:i/>
                <w:sz w:val="18"/>
                <w:szCs w:val="18"/>
              </w:rPr>
              <w:t xml:space="preserve">Source: </w:t>
            </w:r>
            <w:r w:rsidRPr="00321D31">
              <w:rPr>
                <w:sz w:val="18"/>
                <w:szCs w:val="18"/>
              </w:rPr>
              <w:t>Eurostat; World Bank staff estimates</w:t>
            </w:r>
          </w:p>
        </w:tc>
        <w:tc>
          <w:tcPr>
            <w:tcW w:w="4878" w:type="dxa"/>
          </w:tcPr>
          <w:p w:rsidR="0060585A" w:rsidRPr="00321D31" w:rsidRDefault="0060585A" w:rsidP="00321D31">
            <w:pPr>
              <w:keepNext/>
              <w:spacing w:before="60" w:after="40"/>
              <w:rPr>
                <w:i/>
                <w:sz w:val="18"/>
                <w:szCs w:val="18"/>
              </w:rPr>
            </w:pPr>
            <w:r w:rsidRPr="00321D31">
              <w:rPr>
                <w:i/>
                <w:sz w:val="18"/>
                <w:szCs w:val="18"/>
              </w:rPr>
              <w:t xml:space="preserve">Source: </w:t>
            </w:r>
            <w:r w:rsidRPr="00321D31">
              <w:rPr>
                <w:sz w:val="18"/>
                <w:szCs w:val="18"/>
              </w:rPr>
              <w:t>Eurostat; World Bank staff estimates</w:t>
            </w:r>
          </w:p>
        </w:tc>
      </w:tr>
    </w:tbl>
    <w:p w:rsidR="00C922C7" w:rsidRDefault="00C922C7" w:rsidP="00075D89">
      <w:pPr>
        <w:rPr>
          <w:b/>
          <w:szCs w:val="22"/>
        </w:rPr>
      </w:pPr>
    </w:p>
    <w:p w:rsidR="0060585A" w:rsidRPr="00C922C7" w:rsidRDefault="0060585A" w:rsidP="00075D89">
      <w:pPr>
        <w:rPr>
          <w:szCs w:val="22"/>
        </w:rPr>
      </w:pPr>
      <w:r w:rsidRPr="00C922C7">
        <w:rPr>
          <w:b/>
          <w:szCs w:val="22"/>
        </w:rPr>
        <w:t>Considering the size of their economies, the EU11 countries are the export champions of Europe.</w:t>
      </w:r>
      <w:r w:rsidRPr="00C922C7">
        <w:rPr>
          <w:szCs w:val="22"/>
        </w:rPr>
        <w:t xml:space="preserve"> Except for Romania and Bulgaria, the EU11 economies have the largest export-to-GDP shares in the EU, averaging more than 50 percent in 2009–2010. Slovenia, the Czech Republic, Slovakia, Hungary, and Poland also had the largest increases in export shares over the last decade. In EU11 countries, machinery and transport equipment comprised more than half of exports in 2006–2008, with the fastest-growing subcomponent being cars and other road vehicles. However, export growth has not been uniform in EU11. Though trade barriers have been reduced, some countries continue to lag in competitiveness. </w:t>
      </w:r>
    </w:p>
    <w:tbl>
      <w:tblPr>
        <w:tblW w:w="9720" w:type="dxa"/>
        <w:tblInd w:w="-12" w:type="dxa"/>
        <w:tblLayout w:type="fixed"/>
        <w:tblLook w:val="00A0"/>
      </w:tblPr>
      <w:tblGrid>
        <w:gridCol w:w="4920"/>
        <w:gridCol w:w="4800"/>
      </w:tblGrid>
      <w:tr w:rsidR="0060585A" w:rsidRPr="00321D31" w:rsidTr="000C50E8">
        <w:tc>
          <w:tcPr>
            <w:tcW w:w="4920" w:type="dxa"/>
          </w:tcPr>
          <w:p w:rsidR="0060585A" w:rsidRPr="00321D31" w:rsidRDefault="0060585A" w:rsidP="004D31F4">
            <w:pPr>
              <w:pStyle w:val="Caption"/>
              <w:keepNext/>
              <w:keepLines/>
              <w:spacing w:before="60" w:after="60"/>
              <w:jc w:val="left"/>
              <w:rPr>
                <w:sz w:val="22"/>
                <w:szCs w:val="22"/>
              </w:rPr>
            </w:pPr>
            <w:r w:rsidRPr="00321D31">
              <w:rPr>
                <w:sz w:val="22"/>
                <w:szCs w:val="22"/>
              </w:rPr>
              <w:t xml:space="preserve">Figure 8. EU11Exports of Goods, 2009–10, </w:t>
            </w:r>
            <w:r>
              <w:rPr>
                <w:sz w:val="22"/>
                <w:szCs w:val="22"/>
              </w:rPr>
              <w:br/>
            </w:r>
            <w:r w:rsidRPr="00321D31">
              <w:rPr>
                <w:sz w:val="22"/>
                <w:szCs w:val="22"/>
              </w:rPr>
              <w:t>and Services, 2010, by Sector</w:t>
            </w:r>
          </w:p>
          <w:p w:rsidR="0060585A" w:rsidRPr="00321D31" w:rsidRDefault="0060585A" w:rsidP="000C50E8">
            <w:pPr>
              <w:pStyle w:val="Caption"/>
              <w:keepNext/>
              <w:keepLines/>
              <w:spacing w:before="60" w:after="60"/>
              <w:jc w:val="center"/>
              <w:rPr>
                <w:sz w:val="22"/>
                <w:szCs w:val="22"/>
              </w:rPr>
            </w:pPr>
            <w:r w:rsidRPr="00321D31">
              <w:rPr>
                <w:sz w:val="22"/>
                <w:szCs w:val="22"/>
              </w:rPr>
              <w:t>(Percentage of GDP)</w:t>
            </w:r>
          </w:p>
          <w:p w:rsidR="0060585A" w:rsidRPr="00321D31" w:rsidRDefault="00A1042F" w:rsidP="00321D31">
            <w:pPr>
              <w:pStyle w:val="Caption"/>
              <w:keepNext/>
              <w:keepLines/>
              <w:spacing w:before="60" w:after="60"/>
              <w:rPr>
                <w:sz w:val="22"/>
                <w:szCs w:val="22"/>
              </w:rPr>
            </w:pPr>
            <w:r>
              <w:rPr>
                <w:noProof/>
                <w:sz w:val="22"/>
                <w:szCs w:val="22"/>
              </w:rPr>
              <w:drawing>
                <wp:inline distT="0" distB="0" distL="0" distR="0">
                  <wp:extent cx="3200400" cy="2286000"/>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9"/>
                          <a:srcRect/>
                          <a:stretch>
                            <a:fillRect/>
                          </a:stretch>
                        </pic:blipFill>
                        <pic:spPr bwMode="auto">
                          <a:xfrm>
                            <a:off x="0" y="0"/>
                            <a:ext cx="3200400" cy="2286000"/>
                          </a:xfrm>
                          <a:prstGeom prst="rect">
                            <a:avLst/>
                          </a:prstGeom>
                          <a:noFill/>
                          <a:ln w="9525">
                            <a:noFill/>
                            <a:miter lim="800000"/>
                            <a:headEnd/>
                            <a:tailEnd/>
                          </a:ln>
                        </pic:spPr>
                      </pic:pic>
                    </a:graphicData>
                  </a:graphic>
                </wp:inline>
              </w:drawing>
            </w:r>
          </w:p>
        </w:tc>
        <w:tc>
          <w:tcPr>
            <w:tcW w:w="4800" w:type="dxa"/>
          </w:tcPr>
          <w:p w:rsidR="0060585A" w:rsidRPr="00321D31" w:rsidRDefault="0060585A" w:rsidP="004D31F4">
            <w:pPr>
              <w:pStyle w:val="Caption"/>
              <w:keepNext/>
              <w:keepLines/>
              <w:spacing w:before="60" w:after="60"/>
              <w:jc w:val="left"/>
              <w:rPr>
                <w:sz w:val="22"/>
                <w:szCs w:val="22"/>
              </w:rPr>
            </w:pPr>
            <w:r w:rsidRPr="00321D31">
              <w:rPr>
                <w:sz w:val="22"/>
                <w:szCs w:val="22"/>
              </w:rPr>
              <w:t>Figure 9. EU11 Imports of Goods, 2009–10, and Services, 2010, by Sector</w:t>
            </w:r>
          </w:p>
          <w:p w:rsidR="0060585A" w:rsidRPr="00321D31" w:rsidRDefault="0060585A" w:rsidP="000C50E8">
            <w:pPr>
              <w:pStyle w:val="Caption"/>
              <w:keepNext/>
              <w:keepLines/>
              <w:spacing w:before="60" w:after="60"/>
              <w:jc w:val="center"/>
              <w:rPr>
                <w:sz w:val="22"/>
                <w:szCs w:val="22"/>
              </w:rPr>
            </w:pPr>
            <w:r w:rsidRPr="00321D31">
              <w:rPr>
                <w:sz w:val="22"/>
                <w:szCs w:val="22"/>
              </w:rPr>
              <w:t>(Percentage of GDP)</w:t>
            </w:r>
          </w:p>
          <w:p w:rsidR="0060585A" w:rsidRPr="00321D31" w:rsidRDefault="00A1042F" w:rsidP="00321D31">
            <w:pPr>
              <w:pStyle w:val="Caption"/>
              <w:keepNext/>
              <w:keepLines/>
              <w:spacing w:before="60" w:after="60"/>
              <w:rPr>
                <w:sz w:val="22"/>
                <w:szCs w:val="22"/>
              </w:rPr>
            </w:pPr>
            <w:r>
              <w:rPr>
                <w:noProof/>
                <w:sz w:val="22"/>
                <w:szCs w:val="22"/>
              </w:rPr>
              <w:drawing>
                <wp:inline distT="0" distB="0" distL="0" distR="0">
                  <wp:extent cx="3009900" cy="238125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0"/>
                          <a:srcRect/>
                          <a:stretch>
                            <a:fillRect/>
                          </a:stretch>
                        </pic:blipFill>
                        <pic:spPr bwMode="auto">
                          <a:xfrm>
                            <a:off x="0" y="0"/>
                            <a:ext cx="3009900" cy="2381250"/>
                          </a:xfrm>
                          <a:prstGeom prst="rect">
                            <a:avLst/>
                          </a:prstGeom>
                          <a:noFill/>
                          <a:ln w="9525">
                            <a:noFill/>
                            <a:miter lim="800000"/>
                            <a:headEnd/>
                            <a:tailEnd/>
                          </a:ln>
                        </pic:spPr>
                      </pic:pic>
                    </a:graphicData>
                  </a:graphic>
                </wp:inline>
              </w:drawing>
            </w:r>
          </w:p>
        </w:tc>
      </w:tr>
      <w:tr w:rsidR="0060585A" w:rsidRPr="00321D31" w:rsidTr="000C50E8">
        <w:tc>
          <w:tcPr>
            <w:tcW w:w="4920" w:type="dxa"/>
          </w:tcPr>
          <w:p w:rsidR="0060585A" w:rsidRPr="00321D31" w:rsidRDefault="0060585A" w:rsidP="00321D31">
            <w:pPr>
              <w:keepNext/>
              <w:spacing w:before="60" w:after="40"/>
              <w:rPr>
                <w:i/>
                <w:sz w:val="18"/>
                <w:szCs w:val="18"/>
              </w:rPr>
            </w:pPr>
            <w:r w:rsidRPr="00321D31">
              <w:rPr>
                <w:i/>
                <w:sz w:val="18"/>
                <w:szCs w:val="18"/>
              </w:rPr>
              <w:t xml:space="preserve">Source: </w:t>
            </w:r>
            <w:r w:rsidRPr="00321D31">
              <w:rPr>
                <w:sz w:val="18"/>
                <w:szCs w:val="18"/>
              </w:rPr>
              <w:t>Eurostat; World Bank staff estimates</w:t>
            </w:r>
          </w:p>
        </w:tc>
        <w:tc>
          <w:tcPr>
            <w:tcW w:w="4800" w:type="dxa"/>
          </w:tcPr>
          <w:p w:rsidR="0060585A" w:rsidRPr="00321D31" w:rsidRDefault="0060585A" w:rsidP="00321D31">
            <w:pPr>
              <w:keepNext/>
              <w:spacing w:before="60" w:after="40"/>
              <w:rPr>
                <w:i/>
                <w:sz w:val="18"/>
                <w:szCs w:val="18"/>
              </w:rPr>
            </w:pPr>
            <w:r w:rsidRPr="00321D31">
              <w:rPr>
                <w:i/>
                <w:sz w:val="18"/>
                <w:szCs w:val="18"/>
              </w:rPr>
              <w:t xml:space="preserve">Source: </w:t>
            </w:r>
            <w:r w:rsidRPr="00321D31">
              <w:rPr>
                <w:sz w:val="18"/>
                <w:szCs w:val="18"/>
              </w:rPr>
              <w:t>Eurostat; World Bank staff estimates</w:t>
            </w:r>
          </w:p>
        </w:tc>
      </w:tr>
    </w:tbl>
    <w:p w:rsidR="0060585A" w:rsidRPr="00075D89" w:rsidRDefault="0060585A" w:rsidP="00075D89">
      <w:pPr>
        <w:rPr>
          <w:b/>
          <w:sz w:val="22"/>
          <w:szCs w:val="22"/>
        </w:rPr>
      </w:pPr>
    </w:p>
    <w:p w:rsidR="0060585A" w:rsidRPr="00C922C7" w:rsidRDefault="0060585A" w:rsidP="00075D89">
      <w:pPr>
        <w:rPr>
          <w:szCs w:val="22"/>
        </w:rPr>
      </w:pPr>
      <w:r w:rsidRPr="00C922C7">
        <w:rPr>
          <w:b/>
          <w:szCs w:val="22"/>
        </w:rPr>
        <w:lastRenderedPageBreak/>
        <w:t xml:space="preserve">Europe’s most developed economies have been increasingly outsourcing sophisticated tasks to their EU11 neighbors. </w:t>
      </w:r>
      <w:r w:rsidRPr="00C922C7">
        <w:rPr>
          <w:szCs w:val="22"/>
        </w:rPr>
        <w:t>Measures of both export sophistication and relationship-specificity (RSI: the fraction of differentiated inputs embodied in exports) show that trade within Europe is becoming more complex even as trade with non-European partners becomes less so. The sophistication of intermediate exports from EU11 to the EU15 rose by about 15 percent from 1996 to 2005, though it has flattened since then. Moreover, the sophistication of EU11 exports to EU15 rose faster than its exports to markets outside the EU. Again, using an EU15 lens, the EU11 countries are becoming increasingly sophisticated as both sources and markets for goods.</w:t>
      </w:r>
    </w:p>
    <w:p w:rsidR="0060585A" w:rsidRPr="00C922C7" w:rsidRDefault="0060585A" w:rsidP="00075D89">
      <w:pPr>
        <w:rPr>
          <w:szCs w:val="22"/>
        </w:rPr>
      </w:pPr>
    </w:p>
    <w:p w:rsidR="0060585A" w:rsidRPr="00C922C7" w:rsidRDefault="0060585A" w:rsidP="00075D89">
      <w:pPr>
        <w:rPr>
          <w:szCs w:val="22"/>
        </w:rPr>
      </w:pPr>
      <w:r w:rsidRPr="00C922C7">
        <w:rPr>
          <w:b/>
          <w:szCs w:val="22"/>
        </w:rPr>
        <w:t>Trade in modern services in Europe is increasing, but not fast enough</w:t>
      </w:r>
      <w:r w:rsidRPr="00C922C7">
        <w:rPr>
          <w:szCs w:val="22"/>
        </w:rPr>
        <w:t xml:space="preserve">. While costs of cross-border transactions for goods have plunged, for services the single market is still a work in progress. In recent years, intra-EU services exports have grown slower than exports to non-EU countries despite the Service Directive and other initiatives to push regional integration in services. However, EU11 countries integrated faster within the internal market than with the rest of the world. From 2004 through 2008, services exports from EU11 to other EU members grew annually by 24 percent—6 percentage points higher than exports to non-EU countries. But progress is mixed: travel and financial services have done well, transport and other business services—especially those involving new technologies and the Internet—have not. In EU11 countries, the share of services traded is almost double what it was when the transition began. </w:t>
      </w:r>
    </w:p>
    <w:p w:rsidR="0060585A" w:rsidRDefault="0060585A"/>
    <w:tbl>
      <w:tblPr>
        <w:tblpPr w:leftFromText="180" w:rightFromText="180" w:vertAnchor="text" w:horzAnchor="margin" w:tblpXSpec="right" w:tblpY="1"/>
        <w:tblW w:w="0" w:type="auto"/>
        <w:tblLook w:val="00A0"/>
      </w:tblPr>
      <w:tblGrid>
        <w:gridCol w:w="5376"/>
      </w:tblGrid>
      <w:tr w:rsidR="0060585A" w:rsidRPr="00321D31" w:rsidTr="000C50E8">
        <w:tc>
          <w:tcPr>
            <w:tcW w:w="5346" w:type="dxa"/>
          </w:tcPr>
          <w:p w:rsidR="0060585A" w:rsidRPr="00321D31" w:rsidRDefault="0060585A" w:rsidP="004D31F4">
            <w:pPr>
              <w:pStyle w:val="Caption"/>
              <w:keepNext/>
              <w:keepLines/>
              <w:spacing w:before="60" w:after="60"/>
              <w:jc w:val="left"/>
              <w:rPr>
                <w:sz w:val="22"/>
                <w:szCs w:val="22"/>
              </w:rPr>
            </w:pPr>
            <w:r w:rsidRPr="00321D31">
              <w:rPr>
                <w:sz w:val="22"/>
                <w:szCs w:val="22"/>
              </w:rPr>
              <w:t>Figure 10. EU11 Exports to EU15 by Country Groups, 2010</w:t>
            </w:r>
          </w:p>
          <w:p w:rsidR="0060585A" w:rsidRPr="00321D31" w:rsidRDefault="00A1042F" w:rsidP="000C50E8">
            <w:pPr>
              <w:pStyle w:val="Caption"/>
              <w:keepNext/>
              <w:keepLines/>
              <w:spacing w:before="60" w:after="60"/>
              <w:rPr>
                <w:sz w:val="22"/>
                <w:szCs w:val="22"/>
              </w:rPr>
            </w:pPr>
            <w:r>
              <w:rPr>
                <w:noProof/>
                <w:sz w:val="22"/>
                <w:szCs w:val="22"/>
              </w:rPr>
              <w:drawing>
                <wp:inline distT="0" distB="0" distL="0" distR="0">
                  <wp:extent cx="3257550" cy="2228850"/>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1"/>
                          <a:srcRect/>
                          <a:stretch>
                            <a:fillRect/>
                          </a:stretch>
                        </pic:blipFill>
                        <pic:spPr bwMode="auto">
                          <a:xfrm>
                            <a:off x="0" y="0"/>
                            <a:ext cx="3257550" cy="2228850"/>
                          </a:xfrm>
                          <a:prstGeom prst="rect">
                            <a:avLst/>
                          </a:prstGeom>
                          <a:noFill/>
                          <a:ln w="9525">
                            <a:noFill/>
                            <a:miter lim="800000"/>
                            <a:headEnd/>
                            <a:tailEnd/>
                          </a:ln>
                        </pic:spPr>
                      </pic:pic>
                    </a:graphicData>
                  </a:graphic>
                </wp:inline>
              </w:drawing>
            </w:r>
          </w:p>
        </w:tc>
      </w:tr>
      <w:tr w:rsidR="0060585A" w:rsidRPr="00321D31" w:rsidTr="000C50E8">
        <w:tc>
          <w:tcPr>
            <w:tcW w:w="5346" w:type="dxa"/>
          </w:tcPr>
          <w:p w:rsidR="0060585A" w:rsidRPr="00321D31" w:rsidRDefault="0060585A" w:rsidP="000C50E8">
            <w:pPr>
              <w:keepNext/>
              <w:spacing w:before="60" w:after="40"/>
              <w:rPr>
                <w:i/>
                <w:sz w:val="18"/>
                <w:szCs w:val="18"/>
              </w:rPr>
            </w:pPr>
            <w:r w:rsidRPr="00321D31">
              <w:rPr>
                <w:i/>
                <w:sz w:val="18"/>
                <w:szCs w:val="18"/>
              </w:rPr>
              <w:t xml:space="preserve">Source: </w:t>
            </w:r>
            <w:r w:rsidRPr="00321D31">
              <w:rPr>
                <w:sz w:val="18"/>
                <w:szCs w:val="18"/>
              </w:rPr>
              <w:t>Eurostat, World Bank staff calculations</w:t>
            </w:r>
          </w:p>
        </w:tc>
      </w:tr>
    </w:tbl>
    <w:p w:rsidR="0060585A" w:rsidRPr="00C922C7" w:rsidRDefault="0060585A" w:rsidP="00075D89">
      <w:pPr>
        <w:rPr>
          <w:szCs w:val="22"/>
        </w:rPr>
      </w:pPr>
      <w:r w:rsidRPr="00C922C7">
        <w:rPr>
          <w:b/>
          <w:szCs w:val="22"/>
        </w:rPr>
        <w:t>Better facilitation of trade in services could generate momentum for EU income and productivity</w:t>
      </w:r>
      <w:r w:rsidRPr="00C922C7">
        <w:rPr>
          <w:szCs w:val="22"/>
        </w:rPr>
        <w:t xml:space="preserve"> </w:t>
      </w:r>
      <w:r w:rsidRPr="00C922C7">
        <w:rPr>
          <w:b/>
          <w:szCs w:val="22"/>
        </w:rPr>
        <w:t>growth</w:t>
      </w:r>
      <w:r w:rsidRPr="00C922C7">
        <w:rPr>
          <w:szCs w:val="22"/>
        </w:rPr>
        <w:t>. With reforms that make adopting newer technologies easier, better regulations, and greater mobility of workers, Europe’s trade in services could triple in the next decade. More importantly, productivity in the general services sector—which is about 70 percent of GDP in Europe—would increase.</w:t>
      </w:r>
    </w:p>
    <w:p w:rsidR="0060585A" w:rsidRPr="00C922C7" w:rsidRDefault="0060585A" w:rsidP="007C6E13">
      <w:pPr>
        <w:rPr>
          <w:b/>
          <w:szCs w:val="22"/>
        </w:rPr>
      </w:pPr>
    </w:p>
    <w:p w:rsidR="0060585A" w:rsidRPr="00C922C7" w:rsidRDefault="0060585A" w:rsidP="007C6E13">
      <w:pPr>
        <w:rPr>
          <w:szCs w:val="22"/>
        </w:rPr>
      </w:pPr>
      <w:r w:rsidRPr="00C922C7">
        <w:rPr>
          <w:b/>
          <w:szCs w:val="22"/>
        </w:rPr>
        <w:t>Integration of financial services in the last two decades was crucial in facilitating financial flows from the EU’s richer, slower-growth countries to less-developed, fast-growing new member countries.</w:t>
      </w:r>
      <w:r w:rsidRPr="00C922C7">
        <w:rPr>
          <w:szCs w:val="22"/>
        </w:rPr>
        <w:t xml:space="preserve"> While financial integration worldwide progressed rapidly starting in the late 1990s, Europe stands out for the regional deepening of financial integration, especially in the EU11. As theory would predict, in Europe capital flowed downhill, from richer to </w:t>
      </w:r>
      <w:r w:rsidRPr="00C922C7">
        <w:rPr>
          <w:szCs w:val="22"/>
        </w:rPr>
        <w:lastRenderedPageBreak/>
        <w:t>poorer countries.</w:t>
      </w:r>
      <w:r w:rsidRPr="00C922C7">
        <w:rPr>
          <w:rStyle w:val="FootnoteReference"/>
          <w:szCs w:val="22"/>
        </w:rPr>
        <w:footnoteReference w:id="17"/>
      </w:r>
      <w:r w:rsidRPr="00C922C7">
        <w:rPr>
          <w:szCs w:val="22"/>
        </w:rPr>
        <w:t xml:space="preserve"> Between 2004 and 2008, the average annual capital flow from advanced to emerging economies was more than 10 percent of GDP, compared to about 4 percent in Latin America and the Caribbean. </w:t>
      </w:r>
    </w:p>
    <w:p w:rsidR="0060585A" w:rsidRPr="00C922C7" w:rsidRDefault="0060585A" w:rsidP="007C6E13">
      <w:pPr>
        <w:rPr>
          <w:szCs w:val="22"/>
        </w:rPr>
      </w:pPr>
    </w:p>
    <w:p w:rsidR="0060585A" w:rsidRPr="00C922C7" w:rsidRDefault="0060585A" w:rsidP="007C6E13">
      <w:pPr>
        <w:rPr>
          <w:szCs w:val="22"/>
        </w:rPr>
      </w:pPr>
      <w:r w:rsidRPr="00C922C7">
        <w:rPr>
          <w:b/>
          <w:szCs w:val="22"/>
        </w:rPr>
        <w:t>Furthermore, the composition of the capital flowing into EU11 was different from that of capital flowing into emerging countries in Asia or Latin America.</w:t>
      </w:r>
      <w:r w:rsidRPr="00C922C7">
        <w:rPr>
          <w:szCs w:val="22"/>
        </w:rPr>
        <w:t xml:space="preserve"> First, the amount of foreign direct investment (FDI) in emerging Europe was higher than in other emerging markets (Figure 11). In EU11, median average annual FDI inflows were more than 5 percent of GDP between 2000 and 2008; meanwhile, in EU15 median average annual FDI flow was slightly negative. Second, banking and other flows promoted financial integration. The median share in GDP of foreign assets plus liabilities increased from less than 100 percent in 1997 to more than 200 percent just before the crisis broke in 2008. In emerging markets in East Asia and Latin America the median ratio for 1997–2008 never topped 125 percent. Third, entrance of Western banks helped to strengthen corporate governance in the financial sector. In the EU11 countries, foreign ownership of banking system assets today accounts on average for over 80 percent of total assets; the range runs from 25 percent in Slovenia to 99 percent in Estonia. As a result, money and banking markets integrated the most, government bond markets and equity markets the least.</w:t>
      </w:r>
    </w:p>
    <w:p w:rsidR="0060585A" w:rsidRPr="00BD22CF" w:rsidRDefault="0060585A" w:rsidP="007C6E13">
      <w:pPr>
        <w:rPr>
          <w:sz w:val="22"/>
          <w:szCs w:val="22"/>
        </w:rPr>
      </w:pPr>
    </w:p>
    <w:p w:rsidR="0060585A" w:rsidRPr="00EB1728" w:rsidRDefault="0060585A" w:rsidP="007C6E13">
      <w:pPr>
        <w:pStyle w:val="Caption"/>
        <w:keepNext/>
        <w:keepLines/>
        <w:spacing w:before="60" w:after="60"/>
        <w:rPr>
          <w:sz w:val="22"/>
          <w:szCs w:val="22"/>
        </w:rPr>
      </w:pPr>
      <w:r w:rsidRPr="00EB1728">
        <w:rPr>
          <w:sz w:val="22"/>
          <w:szCs w:val="22"/>
        </w:rPr>
        <w:t>Figure 11. Capital Flows, Average of Group Median Values, (Percentage of GDP)</w:t>
      </w:r>
    </w:p>
    <w:p w:rsidR="0060585A" w:rsidRPr="00982556" w:rsidRDefault="00A1042F" w:rsidP="002A4C0C">
      <w:pPr>
        <w:keepNext/>
        <w:jc w:val="left"/>
        <w:rPr>
          <w:rFonts w:ascii="Times New Roman" w:hAnsi="Times New Roman"/>
        </w:rPr>
      </w:pPr>
      <w:r>
        <w:rPr>
          <w:rFonts w:ascii="Times New Roman" w:hAnsi="Times New Roman"/>
          <w:noProof/>
        </w:rPr>
        <w:drawing>
          <wp:inline distT="0" distB="0" distL="0" distR="0">
            <wp:extent cx="6096000" cy="2686050"/>
            <wp:effectExtent l="19050" t="0" r="0" b="0"/>
            <wp:docPr id="90" name="Picture 90" descr="KFLOW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KFLOWS.emf"/>
                    <pic:cNvPicPr>
                      <a:picLocks noChangeAspect="1" noChangeArrowheads="1"/>
                    </pic:cNvPicPr>
                  </pic:nvPicPr>
                  <pic:blipFill>
                    <a:blip r:embed="rId102"/>
                    <a:srcRect/>
                    <a:stretch>
                      <a:fillRect/>
                    </a:stretch>
                  </pic:blipFill>
                  <pic:spPr bwMode="auto">
                    <a:xfrm>
                      <a:off x="0" y="0"/>
                      <a:ext cx="6096000" cy="2686050"/>
                    </a:xfrm>
                    <a:prstGeom prst="rect">
                      <a:avLst/>
                    </a:prstGeom>
                    <a:noFill/>
                    <a:ln w="9525">
                      <a:noFill/>
                      <a:miter lim="800000"/>
                      <a:headEnd/>
                      <a:tailEnd/>
                    </a:ln>
                  </pic:spPr>
                </pic:pic>
              </a:graphicData>
            </a:graphic>
          </wp:inline>
        </w:drawing>
      </w:r>
    </w:p>
    <w:p w:rsidR="0060585A" w:rsidRPr="00FC0D33" w:rsidRDefault="0060585A" w:rsidP="007C6E13">
      <w:pPr>
        <w:keepNext/>
        <w:spacing w:before="60" w:after="40"/>
        <w:rPr>
          <w:sz w:val="18"/>
          <w:szCs w:val="18"/>
        </w:rPr>
      </w:pPr>
      <w:r w:rsidRPr="00EB1728">
        <w:rPr>
          <w:i/>
          <w:sz w:val="18"/>
          <w:szCs w:val="18"/>
        </w:rPr>
        <w:t xml:space="preserve">Source: </w:t>
      </w:r>
      <w:r w:rsidRPr="00FC0D33">
        <w:rPr>
          <w:sz w:val="18"/>
          <w:szCs w:val="18"/>
        </w:rPr>
        <w:t>Gill</w:t>
      </w:r>
      <w:r>
        <w:rPr>
          <w:sz w:val="18"/>
          <w:szCs w:val="18"/>
        </w:rPr>
        <w:t xml:space="preserve"> and</w:t>
      </w:r>
      <w:r w:rsidRPr="00FC0D33">
        <w:rPr>
          <w:sz w:val="18"/>
          <w:szCs w:val="18"/>
        </w:rPr>
        <w:t xml:space="preserve"> Raiser (2012); World Bank staff calculations.</w:t>
      </w:r>
    </w:p>
    <w:p w:rsidR="0060585A" w:rsidRPr="00EB1728" w:rsidRDefault="0060585A" w:rsidP="007C6E13">
      <w:pPr>
        <w:keepNext/>
        <w:spacing w:before="60" w:after="40"/>
        <w:rPr>
          <w:i/>
          <w:sz w:val="18"/>
          <w:szCs w:val="18"/>
        </w:rPr>
      </w:pPr>
      <w:r w:rsidRPr="00EB1728">
        <w:rPr>
          <w:i/>
          <w:sz w:val="18"/>
          <w:szCs w:val="18"/>
        </w:rPr>
        <w:t xml:space="preserve">Note: </w:t>
      </w:r>
      <w:r w:rsidRPr="00FC0D33">
        <w:rPr>
          <w:sz w:val="18"/>
          <w:szCs w:val="18"/>
        </w:rPr>
        <w:t>EU coh = EU cohesion countries; E. prtn = EU eastern partnership countries; LAC = Latin America and the Caribbean region; CA = current account; FX = foreign exchange.</w:t>
      </w:r>
      <w:r w:rsidRPr="00EB1728">
        <w:rPr>
          <w:i/>
          <w:sz w:val="18"/>
          <w:szCs w:val="18"/>
        </w:rPr>
        <w:t xml:space="preserve"> </w:t>
      </w:r>
    </w:p>
    <w:p w:rsidR="0060585A" w:rsidRPr="00BD22CF" w:rsidRDefault="0060585A" w:rsidP="007C6E13">
      <w:pPr>
        <w:rPr>
          <w:sz w:val="22"/>
          <w:szCs w:val="22"/>
        </w:rPr>
      </w:pPr>
    </w:p>
    <w:p w:rsidR="00C922C7" w:rsidRDefault="00C922C7" w:rsidP="007C6E13">
      <w:pPr>
        <w:rPr>
          <w:b/>
          <w:sz w:val="22"/>
          <w:szCs w:val="22"/>
        </w:rPr>
      </w:pPr>
    </w:p>
    <w:p w:rsidR="00C922C7" w:rsidRDefault="00C922C7" w:rsidP="007C6E13">
      <w:pPr>
        <w:rPr>
          <w:b/>
          <w:sz w:val="22"/>
          <w:szCs w:val="22"/>
        </w:rPr>
      </w:pPr>
    </w:p>
    <w:p w:rsidR="00C922C7" w:rsidRDefault="00C922C7" w:rsidP="007C6E13">
      <w:pPr>
        <w:rPr>
          <w:b/>
          <w:sz w:val="22"/>
          <w:szCs w:val="22"/>
        </w:rPr>
      </w:pPr>
    </w:p>
    <w:p w:rsidR="0060585A" w:rsidRPr="00C922C7" w:rsidRDefault="0060585A" w:rsidP="007C6E13">
      <w:pPr>
        <w:rPr>
          <w:szCs w:val="22"/>
        </w:rPr>
      </w:pPr>
      <w:r w:rsidRPr="00C922C7">
        <w:rPr>
          <w:b/>
          <w:szCs w:val="22"/>
        </w:rPr>
        <w:lastRenderedPageBreak/>
        <w:t>In some cases financial integration and closeness to Western European finance led to excesses, making EU11 countries vulnerable to financial deleveraging of Euro area banks.</w:t>
      </w:r>
      <w:r w:rsidRPr="00C922C7">
        <w:rPr>
          <w:szCs w:val="22"/>
        </w:rPr>
        <w:t xml:space="preserve"> Access to finance made it possible to borrow from abroad for investment not only to fuel growth and convergence but also to finance the consumption that has made these economies vulnerable to sudden reversals in capital flows. Financial integration has led to rapid growth in private credit in EU11. The credit growth was supported not only by such supply factors as access to finance but also by demand for housing and consumer durables. Moreover, residential overcrowding in the new EU countries was much worse than in the old EU member states (Figure 12). </w:t>
      </w:r>
    </w:p>
    <w:p w:rsidR="0060585A" w:rsidRPr="00BD22CF" w:rsidRDefault="0060585A" w:rsidP="007C6E13">
      <w:pPr>
        <w:rPr>
          <w:sz w:val="22"/>
          <w:szCs w:val="22"/>
        </w:rPr>
      </w:pPr>
    </w:p>
    <w:p w:rsidR="0060585A" w:rsidRPr="00EB1728" w:rsidRDefault="0060585A" w:rsidP="004D31F4">
      <w:pPr>
        <w:pStyle w:val="Caption"/>
        <w:keepNext/>
        <w:keepLines/>
        <w:spacing w:before="60" w:after="60"/>
        <w:jc w:val="left"/>
        <w:rPr>
          <w:sz w:val="22"/>
          <w:szCs w:val="22"/>
        </w:rPr>
      </w:pPr>
      <w:r w:rsidRPr="00EB1728">
        <w:rPr>
          <w:sz w:val="22"/>
          <w:szCs w:val="22"/>
        </w:rPr>
        <w:t>Figure 12. Primary Residence Overcrowding, 2009 (Percent of tenants)</w:t>
      </w:r>
    </w:p>
    <w:p w:rsidR="0060585A" w:rsidRPr="00EB1728" w:rsidRDefault="00A1042F" w:rsidP="004D31F4">
      <w:pPr>
        <w:keepNext/>
        <w:spacing w:before="60" w:after="40"/>
        <w:jc w:val="left"/>
        <w:rPr>
          <w:i/>
          <w:sz w:val="18"/>
          <w:szCs w:val="18"/>
        </w:rPr>
      </w:pPr>
      <w:r>
        <w:rPr>
          <w:noProof/>
          <w:szCs w:val="18"/>
        </w:rPr>
        <w:drawing>
          <wp:inline distT="0" distB="0" distL="0" distR="0">
            <wp:extent cx="4572000" cy="253365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3"/>
                    <a:srcRect/>
                    <a:stretch>
                      <a:fillRect/>
                    </a:stretch>
                  </pic:blipFill>
                  <pic:spPr bwMode="auto">
                    <a:xfrm>
                      <a:off x="0" y="0"/>
                      <a:ext cx="4572000" cy="2533650"/>
                    </a:xfrm>
                    <a:prstGeom prst="rect">
                      <a:avLst/>
                    </a:prstGeom>
                    <a:noFill/>
                    <a:ln w="9525">
                      <a:noFill/>
                      <a:miter lim="800000"/>
                      <a:headEnd/>
                      <a:tailEnd/>
                    </a:ln>
                  </pic:spPr>
                </pic:pic>
              </a:graphicData>
            </a:graphic>
          </wp:inline>
        </w:drawing>
      </w:r>
    </w:p>
    <w:p w:rsidR="0060585A" w:rsidRPr="00EB1728" w:rsidRDefault="0060585A" w:rsidP="004D31F4">
      <w:pPr>
        <w:keepNext/>
        <w:spacing w:before="60" w:after="40"/>
        <w:jc w:val="left"/>
        <w:rPr>
          <w:i/>
          <w:sz w:val="18"/>
          <w:szCs w:val="18"/>
        </w:rPr>
      </w:pPr>
      <w:r w:rsidRPr="00EB1728">
        <w:rPr>
          <w:i/>
          <w:sz w:val="18"/>
          <w:szCs w:val="18"/>
        </w:rPr>
        <w:t xml:space="preserve">Source: </w:t>
      </w:r>
      <w:r w:rsidRPr="00FC0D33">
        <w:rPr>
          <w:sz w:val="18"/>
          <w:szCs w:val="18"/>
        </w:rPr>
        <w:t>Eurostat</w:t>
      </w:r>
    </w:p>
    <w:p w:rsidR="0060585A" w:rsidRPr="00BD22CF" w:rsidRDefault="0060585A" w:rsidP="00FD4E62">
      <w:pPr>
        <w:jc w:val="center"/>
        <w:rPr>
          <w:b/>
          <w:sz w:val="22"/>
          <w:szCs w:val="22"/>
        </w:rPr>
      </w:pPr>
    </w:p>
    <w:p w:rsidR="0060585A" w:rsidRPr="00C922C7" w:rsidRDefault="0060585A" w:rsidP="00BD22CF">
      <w:pPr>
        <w:rPr>
          <w:szCs w:val="22"/>
        </w:rPr>
      </w:pPr>
      <w:r w:rsidRPr="00C922C7">
        <w:rPr>
          <w:b/>
          <w:szCs w:val="22"/>
        </w:rPr>
        <w:t xml:space="preserve">Trade and finance e will remain pivotal for convergence. </w:t>
      </w:r>
      <w:r w:rsidRPr="00C922C7">
        <w:rPr>
          <w:szCs w:val="22"/>
        </w:rPr>
        <w:t>As Europe looks for new ways to boost both incomes and productivity, it could consider deepening integration of trade in both goods and services. While there is certainly room for the EU11 countries to export more niche products and services, they can also achieve growth by improving the sophistication of the goods and services they export. Though financial integration will continue to power the EU convergence engine, deleveraging of Euro area banks from their EU11 hosts has spurred home and host authority coordination efforts in support of stable cross-border banking.</w:t>
      </w:r>
      <w:r w:rsidRPr="00C922C7">
        <w:rPr>
          <w:rStyle w:val="FootnoteReference"/>
          <w:szCs w:val="22"/>
        </w:rPr>
        <w:footnoteReference w:id="18"/>
      </w:r>
      <w:r w:rsidRPr="00C922C7">
        <w:rPr>
          <w:szCs w:val="22"/>
        </w:rPr>
        <w:t xml:space="preserve">. </w:t>
      </w:r>
    </w:p>
    <w:p w:rsidR="0060585A" w:rsidRPr="00BD22CF" w:rsidRDefault="0060585A" w:rsidP="00BD22CF">
      <w:pPr>
        <w:rPr>
          <w:sz w:val="22"/>
          <w:szCs w:val="22"/>
        </w:rPr>
      </w:pPr>
    </w:p>
    <w:p w:rsidR="0060585A" w:rsidRPr="00BD22CF" w:rsidRDefault="0060585A" w:rsidP="00BD22CF">
      <w:pPr>
        <w:pStyle w:val="IntenseQuote"/>
        <w:spacing w:after="0" w:line="240" w:lineRule="auto"/>
        <w:rPr>
          <w:rFonts w:ascii="Cambria" w:hAnsi="Cambria"/>
          <w:sz w:val="22"/>
          <w:szCs w:val="22"/>
        </w:rPr>
      </w:pPr>
    </w:p>
    <w:p w:rsidR="0060585A" w:rsidRPr="005E38CA" w:rsidRDefault="0060585A" w:rsidP="0014318F">
      <w:pPr>
        <w:pStyle w:val="ChapterTitle"/>
      </w:pPr>
      <w:bookmarkStart w:id="72" w:name="_Toc328295600"/>
      <w:r w:rsidRPr="005E38CA">
        <w:lastRenderedPageBreak/>
        <w:t>Enterprise and Innovation: Closing the Productivity Gap</w:t>
      </w:r>
      <w:bookmarkEnd w:id="72"/>
      <w:r w:rsidRPr="005E38CA">
        <w:t xml:space="preserve"> </w:t>
      </w:r>
    </w:p>
    <w:p w:rsidR="0060585A" w:rsidRPr="00C922C7" w:rsidRDefault="0060585A" w:rsidP="007C6E13">
      <w:pPr>
        <w:rPr>
          <w:szCs w:val="22"/>
        </w:rPr>
      </w:pPr>
      <w:r w:rsidRPr="00C922C7">
        <w:rPr>
          <w:b/>
          <w:szCs w:val="22"/>
        </w:rPr>
        <w:t xml:space="preserve">Europeans believe that private enterprises are accountable to shareholders for profit, but they also have more responsibility for the social and environmental consequences of their actions than businesses elsewhere in the world. </w:t>
      </w:r>
      <w:r w:rsidRPr="00C922C7">
        <w:rPr>
          <w:szCs w:val="22"/>
        </w:rPr>
        <w:t>Firms are therefore expected not only to significantly contribute to job creation and job security but also to be globally competitive. This belief also induces more widespread regulations in social and environmental policies</w:t>
      </w:r>
    </w:p>
    <w:p w:rsidR="0060585A" w:rsidRPr="00C922C7" w:rsidRDefault="0060585A" w:rsidP="007C6E13">
      <w:pPr>
        <w:rPr>
          <w:b/>
          <w:szCs w:val="22"/>
        </w:rPr>
      </w:pPr>
    </w:p>
    <w:p w:rsidR="0060585A" w:rsidRPr="00C922C7" w:rsidRDefault="0060585A" w:rsidP="007C6E13">
      <w:pPr>
        <w:rPr>
          <w:szCs w:val="22"/>
        </w:rPr>
      </w:pPr>
      <w:r w:rsidRPr="00C922C7">
        <w:rPr>
          <w:b/>
          <w:szCs w:val="22"/>
        </w:rPr>
        <w:t xml:space="preserve">Over the last decade European firms have been successful in creating new jobs, increasing the value added to their products, and exporting to foreign markets. </w:t>
      </w:r>
      <w:r w:rsidRPr="00C922C7">
        <w:rPr>
          <w:szCs w:val="22"/>
        </w:rPr>
        <w:t xml:space="preserve">This general trend was driven by EU11 countries as well as those in EU15-North and EU15-Continental. In EU11 economies, from 2002 to 2008 growth in average employment was about 2.7 percent and in value-added about 5.6 percent; meanwhile the same countries were exporting the equivalent of about 54 percent of GDP to foreign markets. </w:t>
      </w:r>
    </w:p>
    <w:p w:rsidR="0060585A" w:rsidRPr="00C922C7" w:rsidRDefault="0060585A" w:rsidP="007C6E13">
      <w:pPr>
        <w:rPr>
          <w:szCs w:val="22"/>
        </w:rPr>
      </w:pPr>
    </w:p>
    <w:p w:rsidR="0060585A" w:rsidRPr="00C922C7" w:rsidRDefault="0060585A" w:rsidP="007C6E13">
      <w:pPr>
        <w:rPr>
          <w:szCs w:val="22"/>
        </w:rPr>
      </w:pPr>
      <w:r w:rsidRPr="00C922C7">
        <w:rPr>
          <w:b/>
          <w:szCs w:val="22"/>
        </w:rPr>
        <w:t xml:space="preserve">Fueled by the expansion of the services and construction industries, EU11 was generating almost twice as much employment as EU15, </w:t>
      </w:r>
      <w:r w:rsidRPr="00C922C7">
        <w:rPr>
          <w:szCs w:val="22"/>
        </w:rPr>
        <w:t xml:space="preserve">even though in much of the region growth in manufacturing jobs was negative. From 2002 to 2007 the number of jobs in service industries grew above 3 percent in Latvia, Romania and Estonia and reached its overall maximum of 5.9 percent in Lithuania. In contrast, between 2002 and 2007 growth in Slovenian manufacturing jobs averaged just 0.6 percent, and manufacturing employment actually shrank in Hungary (–0.9 percent) and Latvia (–1.4 percent). Negative employment growth dynamics in the more traditional industrial sectors have been evident throughout the EU11. </w:t>
      </w:r>
    </w:p>
    <w:p w:rsidR="0060585A" w:rsidRPr="00C922C7" w:rsidRDefault="0060585A" w:rsidP="007C6E13">
      <w:pPr>
        <w:rPr>
          <w:szCs w:val="22"/>
        </w:rPr>
      </w:pPr>
    </w:p>
    <w:p w:rsidR="0060585A" w:rsidRPr="00C922C7" w:rsidRDefault="0060585A" w:rsidP="007C6E13">
      <w:pPr>
        <w:rPr>
          <w:szCs w:val="22"/>
        </w:rPr>
      </w:pPr>
      <w:r w:rsidRPr="00C922C7">
        <w:rPr>
          <w:b/>
          <w:szCs w:val="22"/>
        </w:rPr>
        <w:t xml:space="preserve">Within EU11, the firms that are creating jobs are of different sizes. </w:t>
      </w:r>
      <w:r w:rsidRPr="00C922C7">
        <w:rPr>
          <w:szCs w:val="22"/>
        </w:rPr>
        <w:t xml:space="preserve">In the Slovakia, Estonia, and Romania, for example, employment growth occurs mainly in firms with less than 10 employees, while in Bulgaria and Poland, it is large firms that are net job creators. From 2002 to 2007, in Slovakia average annual employment growth in firms with less than 10 employees was 11.4 percent, while it was just 0.4 percent for larger firms. In the same period in Hungary, the number of jobs in firms with less than 10 employees decreased by 0.1 percent, but employment in large firms great about 10 times faster (to about 1 percent). </w:t>
      </w:r>
    </w:p>
    <w:p w:rsidR="0060585A" w:rsidRPr="00C922C7" w:rsidRDefault="0060585A" w:rsidP="007C6E13">
      <w:pPr>
        <w:rPr>
          <w:szCs w:val="22"/>
        </w:rPr>
      </w:pPr>
    </w:p>
    <w:p w:rsidR="0060585A" w:rsidRPr="00C922C7" w:rsidRDefault="0060585A" w:rsidP="007C6E13">
      <w:pPr>
        <w:rPr>
          <w:szCs w:val="22"/>
        </w:rPr>
      </w:pPr>
      <w:r w:rsidRPr="00C922C7">
        <w:rPr>
          <w:b/>
          <w:szCs w:val="22"/>
        </w:rPr>
        <w:t>Since 2000, an increase in labor productivity has led EU11value-added to grow more than twice as fast as in the EU15.</w:t>
      </w:r>
      <w:r w:rsidRPr="00C922C7">
        <w:rPr>
          <w:szCs w:val="22"/>
        </w:rPr>
        <w:t xml:space="preserve"> Not only did EU15-South fail to gain much in productivity in the last decade, firms there tend to be less internationally competitive. </w:t>
      </w:r>
      <w:r w:rsidRPr="00C922C7">
        <w:rPr>
          <w:b/>
          <w:szCs w:val="22"/>
        </w:rPr>
        <w:t xml:space="preserve"> </w:t>
      </w:r>
      <w:r w:rsidRPr="00C922C7">
        <w:rPr>
          <w:szCs w:val="22"/>
        </w:rPr>
        <w:t>Although in absolute terms, labor productivity is substantially higher in EU15 than EU11, the gap has narrowed significantly over time. From 1995 to 2009, for instance, EU11 countries made the largest productivity gains in the whole EU, with productivity shooting up by 2.5 percent in service industries and about 5 percent in manufacturing.</w:t>
      </w:r>
    </w:p>
    <w:p w:rsidR="0060585A" w:rsidRPr="00C922C7" w:rsidRDefault="0060585A" w:rsidP="007C6E13">
      <w:pPr>
        <w:rPr>
          <w:szCs w:val="22"/>
        </w:rPr>
      </w:pPr>
    </w:p>
    <w:tbl>
      <w:tblPr>
        <w:tblW w:w="9960" w:type="dxa"/>
        <w:tblInd w:w="-12" w:type="dxa"/>
        <w:tblLook w:val="00A0"/>
      </w:tblPr>
      <w:tblGrid>
        <w:gridCol w:w="5286"/>
        <w:gridCol w:w="4674"/>
      </w:tblGrid>
      <w:tr w:rsidR="0060585A" w:rsidRPr="00321D31" w:rsidTr="000C50E8">
        <w:trPr>
          <w:trHeight w:val="3957"/>
        </w:trPr>
        <w:tc>
          <w:tcPr>
            <w:tcW w:w="5286" w:type="dxa"/>
          </w:tcPr>
          <w:p w:rsidR="0060585A" w:rsidRPr="00321D31" w:rsidRDefault="0060585A" w:rsidP="004D31F4">
            <w:pPr>
              <w:pStyle w:val="Caption"/>
              <w:keepNext/>
              <w:keepLines/>
              <w:spacing w:before="60" w:after="60"/>
              <w:jc w:val="left"/>
              <w:rPr>
                <w:sz w:val="22"/>
                <w:szCs w:val="22"/>
              </w:rPr>
            </w:pPr>
            <w:r w:rsidRPr="00321D31">
              <w:rPr>
                <w:sz w:val="22"/>
                <w:szCs w:val="22"/>
              </w:rPr>
              <w:t>Figure 13. Labor Productivity Growth, 1995–2009 (Percent, Constant 2005 US$ thousands)</w:t>
            </w:r>
          </w:p>
          <w:p w:rsidR="0060585A" w:rsidRPr="00321D31" w:rsidRDefault="00A1042F" w:rsidP="00321D31">
            <w:pPr>
              <w:pStyle w:val="Caption"/>
              <w:keepNext/>
              <w:keepLines/>
              <w:spacing w:before="60" w:after="60"/>
              <w:rPr>
                <w:sz w:val="22"/>
                <w:szCs w:val="22"/>
              </w:rPr>
            </w:pPr>
            <w:r>
              <w:rPr>
                <w:noProof/>
                <w:sz w:val="22"/>
                <w:szCs w:val="22"/>
              </w:rPr>
              <w:drawing>
                <wp:inline distT="0" distB="0" distL="0" distR="0">
                  <wp:extent cx="3162300" cy="2000250"/>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4"/>
                          <a:srcRect/>
                          <a:stretch>
                            <a:fillRect/>
                          </a:stretch>
                        </pic:blipFill>
                        <pic:spPr bwMode="auto">
                          <a:xfrm>
                            <a:off x="0" y="0"/>
                            <a:ext cx="3162300" cy="2000250"/>
                          </a:xfrm>
                          <a:prstGeom prst="rect">
                            <a:avLst/>
                          </a:prstGeom>
                          <a:noFill/>
                          <a:ln w="9525">
                            <a:noFill/>
                            <a:miter lim="800000"/>
                            <a:headEnd/>
                            <a:tailEnd/>
                          </a:ln>
                        </pic:spPr>
                      </pic:pic>
                    </a:graphicData>
                  </a:graphic>
                </wp:inline>
              </w:drawing>
            </w:r>
          </w:p>
        </w:tc>
        <w:tc>
          <w:tcPr>
            <w:tcW w:w="4674" w:type="dxa"/>
          </w:tcPr>
          <w:p w:rsidR="0060585A" w:rsidRPr="00321D31" w:rsidRDefault="0060585A" w:rsidP="004D31F4">
            <w:pPr>
              <w:pStyle w:val="Caption"/>
              <w:keepNext/>
              <w:keepLines/>
              <w:spacing w:before="60" w:after="60"/>
              <w:jc w:val="left"/>
              <w:rPr>
                <w:sz w:val="22"/>
                <w:szCs w:val="22"/>
              </w:rPr>
            </w:pPr>
            <w:r w:rsidRPr="00321D31">
              <w:rPr>
                <w:sz w:val="22"/>
                <w:szCs w:val="22"/>
              </w:rPr>
              <w:t>Figure 14. Doing Business Ratings</w:t>
            </w:r>
          </w:p>
          <w:p w:rsidR="0060585A" w:rsidRPr="00321D31" w:rsidRDefault="00A1042F" w:rsidP="00321D31">
            <w:pPr>
              <w:pStyle w:val="Caption"/>
              <w:keepNext/>
              <w:keepLines/>
              <w:spacing w:before="60" w:after="60"/>
              <w:rPr>
                <w:sz w:val="22"/>
                <w:szCs w:val="22"/>
              </w:rPr>
            </w:pPr>
            <w:r>
              <w:rPr>
                <w:noProof/>
                <w:sz w:val="22"/>
                <w:szCs w:val="22"/>
              </w:rPr>
              <w:drawing>
                <wp:inline distT="0" distB="0" distL="0" distR="0">
                  <wp:extent cx="2781300" cy="2362200"/>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5"/>
                          <a:srcRect/>
                          <a:stretch>
                            <a:fillRect/>
                          </a:stretch>
                        </pic:blipFill>
                        <pic:spPr bwMode="auto">
                          <a:xfrm>
                            <a:off x="0" y="0"/>
                            <a:ext cx="2781300" cy="2362200"/>
                          </a:xfrm>
                          <a:prstGeom prst="rect">
                            <a:avLst/>
                          </a:prstGeom>
                          <a:noFill/>
                          <a:ln w="9525">
                            <a:noFill/>
                            <a:miter lim="800000"/>
                            <a:headEnd/>
                            <a:tailEnd/>
                          </a:ln>
                        </pic:spPr>
                      </pic:pic>
                    </a:graphicData>
                  </a:graphic>
                </wp:inline>
              </w:drawing>
            </w:r>
          </w:p>
        </w:tc>
      </w:tr>
      <w:tr w:rsidR="0060585A" w:rsidRPr="00321D31" w:rsidTr="000C50E8">
        <w:trPr>
          <w:trHeight w:val="529"/>
        </w:trPr>
        <w:tc>
          <w:tcPr>
            <w:tcW w:w="5286" w:type="dxa"/>
          </w:tcPr>
          <w:p w:rsidR="0060585A" w:rsidRPr="00321D31" w:rsidRDefault="0060585A" w:rsidP="00321D31">
            <w:pPr>
              <w:keepNext/>
              <w:spacing w:before="60" w:after="40"/>
              <w:rPr>
                <w:i/>
                <w:sz w:val="18"/>
                <w:szCs w:val="18"/>
              </w:rPr>
            </w:pPr>
            <w:r w:rsidRPr="00321D31">
              <w:rPr>
                <w:i/>
                <w:sz w:val="18"/>
                <w:szCs w:val="18"/>
              </w:rPr>
              <w:t xml:space="preserve">Source: </w:t>
            </w:r>
            <w:r w:rsidRPr="00321D31">
              <w:rPr>
                <w:sz w:val="18"/>
                <w:szCs w:val="18"/>
              </w:rPr>
              <w:t>World Bank, International Labor Office (2010b), United Nations, and country sources.</w:t>
            </w:r>
          </w:p>
        </w:tc>
        <w:tc>
          <w:tcPr>
            <w:tcW w:w="4674" w:type="dxa"/>
          </w:tcPr>
          <w:p w:rsidR="0060585A" w:rsidRPr="00321D31" w:rsidRDefault="0060585A" w:rsidP="00321D31">
            <w:pPr>
              <w:keepNext/>
              <w:spacing w:before="60" w:after="40"/>
              <w:rPr>
                <w:i/>
                <w:sz w:val="18"/>
                <w:szCs w:val="18"/>
              </w:rPr>
            </w:pPr>
            <w:r w:rsidRPr="00321D31">
              <w:rPr>
                <w:i/>
                <w:sz w:val="18"/>
                <w:szCs w:val="18"/>
              </w:rPr>
              <w:t xml:space="preserve">Source: </w:t>
            </w:r>
            <w:r w:rsidRPr="00321D31">
              <w:rPr>
                <w:sz w:val="18"/>
                <w:szCs w:val="18"/>
              </w:rPr>
              <w:t>World Bank.</w:t>
            </w:r>
          </w:p>
        </w:tc>
      </w:tr>
    </w:tbl>
    <w:p w:rsidR="0060585A" w:rsidRPr="00C922C7" w:rsidRDefault="0060585A" w:rsidP="007C6E13">
      <w:pPr>
        <w:spacing w:before="120"/>
        <w:rPr>
          <w:b/>
          <w:szCs w:val="22"/>
        </w:rPr>
      </w:pPr>
    </w:p>
    <w:p w:rsidR="0060585A" w:rsidRPr="00C922C7" w:rsidRDefault="0060585A" w:rsidP="007C6E13">
      <w:pPr>
        <w:spacing w:before="120"/>
        <w:rPr>
          <w:szCs w:val="22"/>
        </w:rPr>
      </w:pPr>
      <w:r w:rsidRPr="00C922C7">
        <w:rPr>
          <w:b/>
          <w:szCs w:val="22"/>
        </w:rPr>
        <w:t xml:space="preserve">According to the 2011 and 2012 editions of </w:t>
      </w:r>
      <w:r w:rsidRPr="00C922C7">
        <w:rPr>
          <w:b/>
          <w:i/>
          <w:szCs w:val="22"/>
        </w:rPr>
        <w:t>Doing Business for Eastern Europe and Central Asia</w:t>
      </w:r>
      <w:r w:rsidRPr="00C922C7">
        <w:rPr>
          <w:b/>
          <w:szCs w:val="22"/>
        </w:rPr>
        <w:t xml:space="preserve"> EU11 countries are among the most-improved economies. </w:t>
      </w:r>
      <w:r w:rsidRPr="00C922C7">
        <w:rPr>
          <w:szCs w:val="22"/>
        </w:rPr>
        <w:t xml:space="preserve">In particular, Hungary has substantially facilitated the creation of successful businesses. Latvia has, among other things, reduced the time it takes to export and import by introducing electronic submission of customs declarations. This allows Latvian companies to compete more successfully in world markets. Based on </w:t>
      </w:r>
      <w:r w:rsidRPr="00C922C7">
        <w:rPr>
          <w:i/>
          <w:szCs w:val="22"/>
        </w:rPr>
        <w:t>Doing Business</w:t>
      </w:r>
      <w:r w:rsidRPr="00C922C7">
        <w:rPr>
          <w:szCs w:val="22"/>
        </w:rPr>
        <w:t xml:space="preserve"> indicators, the EU11 countries provide the same quality of business environment as most EU15 economies (Figure 14). </w:t>
      </w:r>
    </w:p>
    <w:p w:rsidR="0060585A" w:rsidRPr="00C922C7" w:rsidRDefault="0060585A" w:rsidP="007C6E13">
      <w:pPr>
        <w:spacing w:before="120"/>
        <w:rPr>
          <w:szCs w:val="22"/>
        </w:rPr>
      </w:pPr>
    </w:p>
    <w:p w:rsidR="0060585A" w:rsidRPr="00C922C7" w:rsidRDefault="0060585A" w:rsidP="007C6E13">
      <w:pPr>
        <w:rPr>
          <w:b/>
          <w:szCs w:val="22"/>
        </w:rPr>
      </w:pPr>
      <w:r w:rsidRPr="00C922C7">
        <w:rPr>
          <w:b/>
          <w:szCs w:val="22"/>
        </w:rPr>
        <w:t xml:space="preserve">EU11 countries that perceptibly improved their business environment were able to attract FDI. </w:t>
      </w:r>
      <w:r w:rsidRPr="00C922C7">
        <w:rPr>
          <w:szCs w:val="22"/>
        </w:rPr>
        <w:t>The decision to cut the red tape involved in starting businesses helped these economies attract international investors. Among the leading EU11 FDI recipients are Bulgaria, the Czech Republic, Estonia, Hungary, and Slovakia, all of which have tidied up their doing business indicators in the last two decades. At first glance, the most productive investments seem to be directed toward EU11 economies that have a more business-friendly environment. Arguably, a more-business friendly environment is a pre-condition for making FDI investments more productive.</w:t>
      </w:r>
      <w:r w:rsidRPr="00C922C7">
        <w:rPr>
          <w:rStyle w:val="FootnoteReference"/>
          <w:szCs w:val="22"/>
        </w:rPr>
        <w:footnoteReference w:id="19"/>
      </w:r>
      <w:r w:rsidRPr="00C922C7">
        <w:rPr>
          <w:b/>
          <w:szCs w:val="22"/>
        </w:rPr>
        <w:t xml:space="preserve"> </w:t>
      </w:r>
    </w:p>
    <w:p w:rsidR="0060585A" w:rsidRPr="00C922C7" w:rsidRDefault="0060585A" w:rsidP="007C6E13">
      <w:pPr>
        <w:rPr>
          <w:szCs w:val="22"/>
        </w:rPr>
      </w:pPr>
    </w:p>
    <w:p w:rsidR="0060585A" w:rsidRPr="00C922C7" w:rsidRDefault="0060585A" w:rsidP="007C6E13">
      <w:pPr>
        <w:rPr>
          <w:szCs w:val="22"/>
        </w:rPr>
      </w:pPr>
      <w:r w:rsidRPr="00C922C7">
        <w:rPr>
          <w:b/>
          <w:szCs w:val="22"/>
        </w:rPr>
        <w:lastRenderedPageBreak/>
        <w:t xml:space="preserve">Subsidiaries of multinational enterprise (MNE) networks are on average more productive than independent domestic firms. </w:t>
      </w:r>
      <w:r w:rsidRPr="00C922C7">
        <w:rPr>
          <w:szCs w:val="22"/>
        </w:rPr>
        <w:t>Foreign-owned firms outdo domestic in both average productivity and productivity growth (Figure 15). There are competing</w:t>
      </w:r>
      <w:r w:rsidRPr="00C922C7">
        <w:rPr>
          <w:b/>
          <w:szCs w:val="22"/>
        </w:rPr>
        <w:t xml:space="preserve"> </w:t>
      </w:r>
      <w:r w:rsidRPr="00C922C7">
        <w:rPr>
          <w:szCs w:val="22"/>
        </w:rPr>
        <w:t>explanations for this. Because MNEs may simply cherry-pick the most productive domestic firms as acquisition targets, foreign ownership might not be sufficient to justify giving it credit for productivity gains (see, e.g., Loungani and Razin 2001; Almeida 2007). Or it may be that post-acquisition productivity growth can be used to isolate the causal effect of foreign ownership. TFP might be a more comprehensive and useful yardstick for measuring the effects of MNEs on productivity growth in EU11.</w:t>
      </w:r>
      <w:r w:rsidRPr="00C922C7">
        <w:rPr>
          <w:rStyle w:val="FootnoteReference"/>
          <w:szCs w:val="22"/>
        </w:rPr>
        <w:footnoteReference w:id="20"/>
      </w:r>
    </w:p>
    <w:p w:rsidR="0060585A" w:rsidRPr="00BD22CF" w:rsidRDefault="0060585A" w:rsidP="007C6E13">
      <w:pPr>
        <w:rPr>
          <w:sz w:val="22"/>
          <w:szCs w:val="22"/>
        </w:rPr>
      </w:pPr>
    </w:p>
    <w:p w:rsidR="0060585A" w:rsidRPr="00EB1728" w:rsidRDefault="0060585A" w:rsidP="004D31F4">
      <w:pPr>
        <w:jc w:val="left"/>
        <w:rPr>
          <w:b/>
          <w:bCs/>
          <w:color w:val="4F81BD"/>
        </w:rPr>
      </w:pPr>
      <w:r w:rsidRPr="00EB1728">
        <w:rPr>
          <w:b/>
          <w:bCs/>
          <w:color w:val="4F81BD"/>
        </w:rPr>
        <w:t>Figure 15. Productivity Differentials, Foreign- and Domestically Owned Firms, Selected</w:t>
      </w:r>
      <w:r w:rsidRPr="00982556">
        <w:rPr>
          <w:rFonts w:ascii="Times New Roman" w:hAnsi="Times New Roman"/>
          <w:color w:val="005BAB"/>
        </w:rPr>
        <w:t xml:space="preserve"> </w:t>
      </w:r>
      <w:r w:rsidRPr="00EB1728">
        <w:rPr>
          <w:b/>
          <w:bCs/>
          <w:color w:val="4F81BD"/>
        </w:rPr>
        <w:t xml:space="preserve">EU11 Countries </w:t>
      </w:r>
    </w:p>
    <w:p w:rsidR="0060585A" w:rsidRPr="00982556" w:rsidRDefault="00A1042F" w:rsidP="007C6E13">
      <w:pPr>
        <w:rPr>
          <w:rFonts w:ascii="Times New Roman" w:hAnsi="Times New Roman"/>
        </w:rPr>
      </w:pPr>
      <w:r>
        <w:rPr>
          <w:rFonts w:ascii="Times New Roman" w:hAnsi="Times New Roman"/>
          <w:noProof/>
        </w:rPr>
        <w:drawing>
          <wp:inline distT="0" distB="0" distL="0" distR="0">
            <wp:extent cx="6115050" cy="2457450"/>
            <wp:effectExtent l="19050" t="0" r="0" b="0"/>
            <wp:docPr id="9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06"/>
                    <a:srcRect/>
                    <a:stretch>
                      <a:fillRect/>
                    </a:stretch>
                  </pic:blipFill>
                  <pic:spPr bwMode="auto">
                    <a:xfrm>
                      <a:off x="0" y="0"/>
                      <a:ext cx="6115050" cy="2457450"/>
                    </a:xfrm>
                    <a:prstGeom prst="rect">
                      <a:avLst/>
                    </a:prstGeom>
                    <a:noFill/>
                    <a:ln w="9525">
                      <a:noFill/>
                      <a:miter lim="800000"/>
                      <a:headEnd/>
                      <a:tailEnd/>
                    </a:ln>
                  </pic:spPr>
                </pic:pic>
              </a:graphicData>
            </a:graphic>
          </wp:inline>
        </w:drawing>
      </w:r>
    </w:p>
    <w:p w:rsidR="0060585A" w:rsidRPr="00FC0D33" w:rsidRDefault="0060585A" w:rsidP="007C6E13">
      <w:pPr>
        <w:keepNext/>
        <w:spacing w:before="60" w:after="40"/>
        <w:rPr>
          <w:sz w:val="18"/>
          <w:szCs w:val="18"/>
        </w:rPr>
      </w:pPr>
      <w:r w:rsidRPr="00EB1728">
        <w:rPr>
          <w:i/>
          <w:sz w:val="18"/>
          <w:szCs w:val="18"/>
        </w:rPr>
        <w:t xml:space="preserve">Source: </w:t>
      </w:r>
      <w:r w:rsidRPr="00FC0D33">
        <w:rPr>
          <w:sz w:val="18"/>
          <w:szCs w:val="18"/>
        </w:rPr>
        <w:t>Amadeus; World Bank staff calculations</w:t>
      </w:r>
    </w:p>
    <w:p w:rsidR="0060585A" w:rsidRPr="00BD22CF" w:rsidRDefault="0060585A" w:rsidP="007C6E13">
      <w:pPr>
        <w:rPr>
          <w:b/>
          <w:sz w:val="22"/>
          <w:szCs w:val="22"/>
        </w:rPr>
      </w:pPr>
    </w:p>
    <w:p w:rsidR="0060585A" w:rsidRPr="00C922C7" w:rsidRDefault="0060585A" w:rsidP="007C6E13">
      <w:pPr>
        <w:rPr>
          <w:szCs w:val="22"/>
        </w:rPr>
      </w:pPr>
      <w:r w:rsidRPr="00C922C7">
        <w:rPr>
          <w:b/>
          <w:szCs w:val="22"/>
        </w:rPr>
        <w:t xml:space="preserve">Notwithstanding success in raising employment, productivity, and competitiveness, for long-run economic prosperity in open economies, innovative capacities are crucial. </w:t>
      </w:r>
      <w:r w:rsidRPr="00C922C7">
        <w:rPr>
          <w:szCs w:val="22"/>
        </w:rPr>
        <w:t xml:space="preserve">Enterprise and innovation—aided by deep and comprehensive regional economic integration—have enabled Europe to account for about a third of the world GDP with less than one-tenth of world population. Clearly, the EU is already one of the most competitive and economically sound regions in the world. </w:t>
      </w:r>
    </w:p>
    <w:p w:rsidR="0060585A" w:rsidRPr="00C922C7" w:rsidRDefault="0060585A" w:rsidP="007C6E13">
      <w:pPr>
        <w:rPr>
          <w:szCs w:val="22"/>
        </w:rPr>
      </w:pPr>
    </w:p>
    <w:p w:rsidR="0060585A" w:rsidRPr="00C922C7" w:rsidRDefault="0060585A" w:rsidP="007C6E13">
      <w:pPr>
        <w:rPr>
          <w:szCs w:val="22"/>
        </w:rPr>
      </w:pPr>
      <w:r w:rsidRPr="00C922C7">
        <w:rPr>
          <w:b/>
          <w:szCs w:val="22"/>
        </w:rPr>
        <w:t>However, despite their solid growth record, the economies of EU11 score poorly on most dimensions of innovation</w:t>
      </w:r>
      <w:r w:rsidRPr="00C922C7">
        <w:rPr>
          <w:szCs w:val="22"/>
        </w:rPr>
        <w:t xml:space="preserve">. Interestingly, in the EU11 countries the correlation between innovation and TFP growth is slightly negative, while in EU15 it is positive. In part this is explained by the fact that returns on innovation vary in relation to both the stock of complementary investments in physical and human capital and a country’s position relative to the technological frontier. As countries get further from the frontier, the business climate is likely to be worse and the private sector less sophisticated, so that even the best ideas will yield little fruit. Moreover, as human capital in both the public and </w:t>
      </w:r>
      <w:r w:rsidRPr="00C922C7">
        <w:rPr>
          <w:szCs w:val="22"/>
        </w:rPr>
        <w:lastRenderedPageBreak/>
        <w:t>private sector gets weaker, R&amp;D investments might produce fewer good ideas. To the degree that they displace investments in education or infrastructure, the turn on R&amp;D could be negative.</w:t>
      </w:r>
    </w:p>
    <w:p w:rsidR="0060585A" w:rsidRPr="00BD22CF" w:rsidRDefault="0060585A" w:rsidP="007C6E13">
      <w:pPr>
        <w:rPr>
          <w:sz w:val="22"/>
          <w:szCs w:val="22"/>
        </w:rPr>
      </w:pPr>
    </w:p>
    <w:p w:rsidR="0060585A" w:rsidRPr="00EB1728" w:rsidRDefault="0060585A" w:rsidP="004D31F4">
      <w:pPr>
        <w:pStyle w:val="Caption"/>
        <w:keepNext/>
        <w:keepLines/>
        <w:spacing w:before="60" w:after="60"/>
        <w:jc w:val="left"/>
        <w:rPr>
          <w:sz w:val="22"/>
          <w:szCs w:val="22"/>
        </w:rPr>
      </w:pPr>
      <w:r w:rsidRPr="00EB1728">
        <w:rPr>
          <w:sz w:val="22"/>
          <w:szCs w:val="22"/>
        </w:rPr>
        <w:t>Figure 16. R&amp;D Expenditure (Percent of GDP)</w:t>
      </w:r>
    </w:p>
    <w:p w:rsidR="0060585A" w:rsidRDefault="00A1042F" w:rsidP="004D31F4">
      <w:pPr>
        <w:jc w:val="left"/>
        <w:rPr>
          <w:rFonts w:ascii="Times New Roman" w:hAnsi="Times New Roman"/>
        </w:rPr>
      </w:pPr>
      <w:r>
        <w:rPr>
          <w:noProof/>
        </w:rPr>
        <w:drawing>
          <wp:inline distT="0" distB="0" distL="0" distR="0">
            <wp:extent cx="3505200" cy="25908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7"/>
                    <a:srcRect/>
                    <a:stretch>
                      <a:fillRect/>
                    </a:stretch>
                  </pic:blipFill>
                  <pic:spPr bwMode="auto">
                    <a:xfrm>
                      <a:off x="0" y="0"/>
                      <a:ext cx="3505200" cy="2590800"/>
                    </a:xfrm>
                    <a:prstGeom prst="rect">
                      <a:avLst/>
                    </a:prstGeom>
                    <a:noFill/>
                    <a:ln w="9525">
                      <a:noFill/>
                      <a:miter lim="800000"/>
                      <a:headEnd/>
                      <a:tailEnd/>
                    </a:ln>
                  </pic:spPr>
                </pic:pic>
              </a:graphicData>
            </a:graphic>
          </wp:inline>
        </w:drawing>
      </w:r>
    </w:p>
    <w:p w:rsidR="0060585A" w:rsidRPr="00EB1728" w:rsidRDefault="0060585A" w:rsidP="004D31F4">
      <w:pPr>
        <w:keepNext/>
        <w:spacing w:before="60" w:after="40"/>
        <w:jc w:val="left"/>
        <w:rPr>
          <w:i/>
          <w:sz w:val="18"/>
          <w:szCs w:val="18"/>
        </w:rPr>
      </w:pPr>
      <w:r w:rsidRPr="00EB1728">
        <w:rPr>
          <w:i/>
          <w:sz w:val="18"/>
          <w:szCs w:val="18"/>
        </w:rPr>
        <w:t xml:space="preserve">Source: </w:t>
      </w:r>
      <w:r w:rsidRPr="00FC0D33">
        <w:rPr>
          <w:sz w:val="18"/>
          <w:szCs w:val="18"/>
        </w:rPr>
        <w:t>World Bank estimates based on Eurostat</w:t>
      </w:r>
    </w:p>
    <w:p w:rsidR="0060585A" w:rsidRPr="00B56F2B" w:rsidRDefault="0060585A" w:rsidP="007C6E13">
      <w:pPr>
        <w:rPr>
          <w:b/>
          <w:sz w:val="22"/>
          <w:szCs w:val="22"/>
        </w:rPr>
      </w:pPr>
    </w:p>
    <w:p w:rsidR="0060585A" w:rsidRPr="00C922C7" w:rsidRDefault="0060585A" w:rsidP="007C6E13">
      <w:pPr>
        <w:rPr>
          <w:szCs w:val="22"/>
        </w:rPr>
      </w:pPr>
      <w:r w:rsidRPr="00C922C7">
        <w:rPr>
          <w:b/>
          <w:szCs w:val="22"/>
        </w:rPr>
        <w:t xml:space="preserve">EU11 countries innovate mainly through osmosis. </w:t>
      </w:r>
      <w:r w:rsidRPr="00C922C7">
        <w:rPr>
          <w:szCs w:val="22"/>
        </w:rPr>
        <w:t>Firms have demonstrated considerable ability to quickly adopt existing technologies using FDI and trade links as conduits. The increase in ownership by MNEs has induced massive FDI flows into EU11, with benefits for domestic firms. MNE activity is typically associated with technology transfer, which is expected to increase the productivity of the acquired firm (see, e.g., Uminski 2001). Moreover, direct competitors may benefit from productivity spillovers (see, e.g., World Bank 2001). The presence of MNEs fosters competition in local markets by forcing domestic firms to produce more efficiently (see, e.g., Kang 1993). Consequently, FDI is shown to increase productivity generally, which makes all (surviving) firms more competitive. This allows firms to produce on a larger scale, which is likely to enhance job creation. A higher share of FDI inflows relative to GDP can thus be expected to affect productivity positively.</w:t>
      </w:r>
      <w:r w:rsidRPr="00C922C7">
        <w:rPr>
          <w:rStyle w:val="FootnoteReference"/>
          <w:szCs w:val="22"/>
        </w:rPr>
        <w:footnoteReference w:id="21"/>
      </w:r>
      <w:r w:rsidRPr="00C922C7">
        <w:rPr>
          <w:szCs w:val="22"/>
        </w:rPr>
        <w:t xml:space="preserve"> </w:t>
      </w:r>
    </w:p>
    <w:p w:rsidR="0060585A" w:rsidRPr="00C922C7" w:rsidRDefault="0060585A" w:rsidP="007C6E13">
      <w:pPr>
        <w:rPr>
          <w:szCs w:val="22"/>
        </w:rPr>
      </w:pPr>
    </w:p>
    <w:p w:rsidR="0060585A" w:rsidRPr="00C922C7" w:rsidRDefault="0060585A" w:rsidP="007C6E13">
      <w:pPr>
        <w:rPr>
          <w:szCs w:val="22"/>
        </w:rPr>
      </w:pPr>
      <w:r w:rsidRPr="00C922C7">
        <w:rPr>
          <w:b/>
          <w:szCs w:val="22"/>
        </w:rPr>
        <w:t>In summary, over the last two decades, EU11 firms have become more productive and successful in competing in global markets, although in innovation EU11 countries are less effective than other EU members</w:t>
      </w:r>
      <w:r w:rsidRPr="00C922C7">
        <w:rPr>
          <w:szCs w:val="22"/>
        </w:rPr>
        <w:t xml:space="preserve">. In the long run a lack of innovation could cause economic disadvantages. Fostering innovative firms should be a priority for EU11 policymakers. </w:t>
      </w:r>
    </w:p>
    <w:p w:rsidR="0060585A" w:rsidRPr="00C922C7" w:rsidRDefault="0060585A" w:rsidP="007C6E13">
      <w:pPr>
        <w:rPr>
          <w:szCs w:val="22"/>
        </w:rPr>
      </w:pPr>
    </w:p>
    <w:p w:rsidR="0060585A" w:rsidRPr="005E38CA" w:rsidRDefault="0060585A" w:rsidP="00861DDB">
      <w:pPr>
        <w:pStyle w:val="ChapterTitle"/>
      </w:pPr>
      <w:bookmarkStart w:id="73" w:name="_Toc328295601"/>
      <w:r w:rsidRPr="005E38CA">
        <w:lastRenderedPageBreak/>
        <w:t>Labor: Overwhelming Demographic Challenges</w:t>
      </w:r>
      <w:bookmarkEnd w:id="73"/>
    </w:p>
    <w:p w:rsidR="0060585A" w:rsidRPr="00C922C7" w:rsidRDefault="0060585A" w:rsidP="007C6E13">
      <w:pPr>
        <w:rPr>
          <w:szCs w:val="22"/>
        </w:rPr>
      </w:pPr>
      <w:r w:rsidRPr="00C922C7">
        <w:rPr>
          <w:b/>
          <w:szCs w:val="22"/>
        </w:rPr>
        <w:t xml:space="preserve">The degree of social protection European workers enjoy in the form of employment protection and social benefits is significantly higher than in any other developed region. </w:t>
      </w:r>
      <w:r w:rsidRPr="00C922C7">
        <w:rPr>
          <w:szCs w:val="22"/>
        </w:rPr>
        <w:t>The generosity of the social protection system allows Europeans to maintain a balance between work and leisure. While this pillar of the European growth model has obvious benefits for workers, it discourages labor participation and is a burden on the public finances. Europeans do indeed work less and retire earlier than Americans. Over the last four decades the effective retirement age in Europe has systematically declined in Europe even though life expectancy has risen significantly. Relatively low labor mobility adds to the problems Europe faces in achieving efficient allocation of labor within and between countries.</w:t>
      </w:r>
    </w:p>
    <w:p w:rsidR="0060585A" w:rsidRPr="00C922C7" w:rsidRDefault="0060585A" w:rsidP="007C6E13">
      <w:pPr>
        <w:rPr>
          <w:b/>
          <w:szCs w:val="22"/>
        </w:rPr>
      </w:pPr>
    </w:p>
    <w:p w:rsidR="0060585A" w:rsidRPr="00C922C7" w:rsidRDefault="0060585A" w:rsidP="007C6E13">
      <w:pPr>
        <w:rPr>
          <w:szCs w:val="22"/>
        </w:rPr>
      </w:pPr>
      <w:r w:rsidRPr="00C922C7">
        <w:rPr>
          <w:b/>
          <w:szCs w:val="22"/>
        </w:rPr>
        <w:t xml:space="preserve">EU11 social protection indicators do not seem to be systematically different from those in the rest of Europe. </w:t>
      </w:r>
      <w:r w:rsidRPr="00C922C7">
        <w:rPr>
          <w:szCs w:val="22"/>
        </w:rPr>
        <w:t>Though EU11 employment protection laws tend to be less stringent than elsewhere in the EU, its market protection indices have been converging with those of the EU15 in recent decades, both because Western European economies have adopted more liberal labor market policies and because EU11 countries have increased protection.</w:t>
      </w:r>
    </w:p>
    <w:p w:rsidR="0060585A" w:rsidRPr="00B56F2B" w:rsidRDefault="0060585A" w:rsidP="007C6E13">
      <w:pPr>
        <w:rPr>
          <w:rFonts w:ascii="Calibri" w:hAnsi="Calibri"/>
          <w:sz w:val="22"/>
          <w:szCs w:val="22"/>
        </w:rPr>
      </w:pPr>
    </w:p>
    <w:tbl>
      <w:tblPr>
        <w:tblW w:w="9588" w:type="dxa"/>
        <w:tblLook w:val="00A0"/>
      </w:tblPr>
      <w:tblGrid>
        <w:gridCol w:w="4788"/>
        <w:gridCol w:w="4800"/>
      </w:tblGrid>
      <w:tr w:rsidR="0060585A" w:rsidRPr="00321D31" w:rsidTr="000C50E8">
        <w:tc>
          <w:tcPr>
            <w:tcW w:w="4788" w:type="dxa"/>
          </w:tcPr>
          <w:p w:rsidR="0060585A" w:rsidRPr="00321D31" w:rsidRDefault="0060585A" w:rsidP="004D31F4">
            <w:pPr>
              <w:pStyle w:val="Caption"/>
              <w:keepNext/>
              <w:keepLines/>
              <w:spacing w:before="60" w:after="60"/>
              <w:jc w:val="left"/>
              <w:rPr>
                <w:sz w:val="22"/>
                <w:szCs w:val="22"/>
              </w:rPr>
            </w:pPr>
            <w:r w:rsidRPr="00321D31">
              <w:rPr>
                <w:sz w:val="22"/>
                <w:szCs w:val="22"/>
              </w:rPr>
              <w:t>Figure 17. Employment Protection Index</w:t>
            </w:r>
          </w:p>
        </w:tc>
        <w:tc>
          <w:tcPr>
            <w:tcW w:w="4800" w:type="dxa"/>
          </w:tcPr>
          <w:p w:rsidR="0060585A" w:rsidRPr="00321D31" w:rsidRDefault="0060585A" w:rsidP="004D31F4">
            <w:pPr>
              <w:pStyle w:val="Caption"/>
              <w:keepNext/>
              <w:keepLines/>
              <w:spacing w:before="60" w:after="60"/>
              <w:jc w:val="left"/>
              <w:rPr>
                <w:sz w:val="22"/>
                <w:szCs w:val="22"/>
              </w:rPr>
            </w:pPr>
            <w:r w:rsidRPr="00321D31">
              <w:rPr>
                <w:sz w:val="22"/>
                <w:szCs w:val="22"/>
              </w:rPr>
              <w:t>Figure 18. Hiring and Firing Practices Index</w:t>
            </w:r>
          </w:p>
        </w:tc>
      </w:tr>
      <w:tr w:rsidR="0060585A" w:rsidRPr="00321D31" w:rsidTr="000C50E8">
        <w:tc>
          <w:tcPr>
            <w:tcW w:w="4788" w:type="dxa"/>
          </w:tcPr>
          <w:p w:rsidR="0060585A" w:rsidRPr="00321D31" w:rsidRDefault="00185C05" w:rsidP="00321D31">
            <w:pPr>
              <w:spacing w:line="276" w:lineRule="auto"/>
              <w:rPr>
                <w:rFonts w:ascii="Times New Roman" w:hAnsi="Times New Roman"/>
              </w:rPr>
            </w:pPr>
            <w:r w:rsidRPr="00185C05">
              <w:rPr>
                <w:noProof/>
                <w:lang w:val="ru-RU" w:eastAsia="ru-RU"/>
              </w:rPr>
              <w:pict>
                <v:rect id="_x0000_s1042" style="position:absolute;left:0;text-align:left;margin-left:55.2pt;margin-top:2.5pt;width:120.95pt;height:32.8pt;z-index:251655680;mso-position-horizontal-relative:text;mso-position-vertical-relative:text" strokecolor="white"/>
              </w:pict>
            </w:r>
            <w:r w:rsidR="00A1042F">
              <w:rPr>
                <w:rFonts w:ascii="Times New Roman" w:hAnsi="Times New Roman"/>
                <w:noProof/>
              </w:rPr>
              <w:drawing>
                <wp:inline distT="0" distB="0" distL="0" distR="0">
                  <wp:extent cx="2819400" cy="1828800"/>
                  <wp:effectExtent l="19050" t="0" r="0" b="0"/>
                  <wp:docPr id="9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108"/>
                          <a:srcRect/>
                          <a:stretch>
                            <a:fillRect/>
                          </a:stretch>
                        </pic:blipFill>
                        <pic:spPr bwMode="auto">
                          <a:xfrm>
                            <a:off x="0" y="0"/>
                            <a:ext cx="2819400" cy="1828800"/>
                          </a:xfrm>
                          <a:prstGeom prst="rect">
                            <a:avLst/>
                          </a:prstGeom>
                          <a:noFill/>
                          <a:ln w="9525">
                            <a:noFill/>
                            <a:miter lim="800000"/>
                            <a:headEnd/>
                            <a:tailEnd/>
                          </a:ln>
                        </pic:spPr>
                      </pic:pic>
                    </a:graphicData>
                  </a:graphic>
                </wp:inline>
              </w:drawing>
            </w:r>
          </w:p>
        </w:tc>
        <w:tc>
          <w:tcPr>
            <w:tcW w:w="4800" w:type="dxa"/>
          </w:tcPr>
          <w:p w:rsidR="0060585A" w:rsidRPr="00321D31" w:rsidRDefault="00185C05" w:rsidP="00321D31">
            <w:pPr>
              <w:spacing w:line="276" w:lineRule="auto"/>
              <w:rPr>
                <w:rFonts w:ascii="Times New Roman" w:hAnsi="Times New Roman"/>
              </w:rPr>
            </w:pPr>
            <w:r w:rsidRPr="00185C05">
              <w:rPr>
                <w:noProof/>
                <w:lang w:val="ru-RU" w:eastAsia="ru-RU"/>
              </w:rPr>
              <w:pict>
                <v:rect id="_x0000_s1043" style="position:absolute;left:0;text-align:left;margin-left:42pt;margin-top:5.85pt;width:134.4pt;height:32.8pt;z-index:251656704;mso-position-horizontal-relative:text;mso-position-vertical-relative:text" strokecolor="white"/>
              </w:pict>
            </w:r>
            <w:r w:rsidR="00A1042F">
              <w:rPr>
                <w:rFonts w:ascii="Times New Roman" w:hAnsi="Times New Roman"/>
                <w:noProof/>
              </w:rPr>
              <w:drawing>
                <wp:inline distT="0" distB="0" distL="0" distR="0">
                  <wp:extent cx="2724150" cy="1828800"/>
                  <wp:effectExtent l="19050" t="0" r="0" b="0"/>
                  <wp:docPr id="9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09"/>
                          <a:srcRect/>
                          <a:stretch>
                            <a:fillRect/>
                          </a:stretch>
                        </pic:blipFill>
                        <pic:spPr bwMode="auto">
                          <a:xfrm>
                            <a:off x="0" y="0"/>
                            <a:ext cx="2724150" cy="1828800"/>
                          </a:xfrm>
                          <a:prstGeom prst="rect">
                            <a:avLst/>
                          </a:prstGeom>
                          <a:noFill/>
                          <a:ln w="9525">
                            <a:noFill/>
                            <a:miter lim="800000"/>
                            <a:headEnd/>
                            <a:tailEnd/>
                          </a:ln>
                        </pic:spPr>
                      </pic:pic>
                    </a:graphicData>
                  </a:graphic>
                </wp:inline>
              </w:drawing>
            </w:r>
          </w:p>
        </w:tc>
      </w:tr>
      <w:tr w:rsidR="0060585A" w:rsidRPr="00321D31" w:rsidTr="000C50E8">
        <w:tc>
          <w:tcPr>
            <w:tcW w:w="4788" w:type="dxa"/>
          </w:tcPr>
          <w:p w:rsidR="0060585A" w:rsidRPr="00321D31" w:rsidRDefault="0060585A" w:rsidP="00321D31">
            <w:pPr>
              <w:keepNext/>
              <w:spacing w:before="60" w:after="40"/>
              <w:rPr>
                <w:sz w:val="18"/>
                <w:szCs w:val="18"/>
              </w:rPr>
            </w:pPr>
            <w:r w:rsidRPr="00321D31">
              <w:rPr>
                <w:i/>
                <w:sz w:val="18"/>
                <w:szCs w:val="18"/>
              </w:rPr>
              <w:t xml:space="preserve">Source: </w:t>
            </w:r>
            <w:r w:rsidRPr="00321D31">
              <w:rPr>
                <w:sz w:val="18"/>
                <w:szCs w:val="18"/>
              </w:rPr>
              <w:t>OECD Indicators of Employment Protection</w:t>
            </w:r>
          </w:p>
          <w:p w:rsidR="0060585A" w:rsidRPr="00321D31" w:rsidRDefault="0060585A" w:rsidP="00D05380">
            <w:pPr>
              <w:rPr>
                <w:i/>
                <w:sz w:val="18"/>
                <w:szCs w:val="18"/>
              </w:rPr>
            </w:pPr>
            <w:r w:rsidRPr="00321D31">
              <w:rPr>
                <w:i/>
                <w:sz w:val="18"/>
                <w:szCs w:val="18"/>
              </w:rPr>
              <w:t xml:space="preserve">Note: </w:t>
            </w:r>
            <w:r w:rsidRPr="00321D31">
              <w:rPr>
                <w:sz w:val="18"/>
                <w:szCs w:val="18"/>
              </w:rPr>
              <w:t>Scale from 0 (least stringent) to 6 (most restrictive)</w:t>
            </w:r>
          </w:p>
        </w:tc>
        <w:tc>
          <w:tcPr>
            <w:tcW w:w="4800" w:type="dxa"/>
          </w:tcPr>
          <w:p w:rsidR="0060585A" w:rsidRPr="00321D31" w:rsidRDefault="0060585A" w:rsidP="00321D31">
            <w:pPr>
              <w:keepNext/>
              <w:spacing w:before="60" w:after="40"/>
              <w:rPr>
                <w:i/>
                <w:sz w:val="18"/>
                <w:szCs w:val="18"/>
              </w:rPr>
            </w:pPr>
            <w:r w:rsidRPr="00321D31">
              <w:rPr>
                <w:i/>
                <w:sz w:val="18"/>
                <w:szCs w:val="18"/>
              </w:rPr>
              <w:t xml:space="preserve">Source: </w:t>
            </w:r>
            <w:r w:rsidRPr="00321D31">
              <w:rPr>
                <w:sz w:val="18"/>
                <w:szCs w:val="18"/>
              </w:rPr>
              <w:t>World Bank Doing Business</w:t>
            </w:r>
          </w:p>
        </w:tc>
      </w:tr>
    </w:tbl>
    <w:p w:rsidR="0060585A" w:rsidRPr="00B56F2B" w:rsidRDefault="0060585A" w:rsidP="007C6E13">
      <w:pPr>
        <w:rPr>
          <w:b/>
          <w:sz w:val="22"/>
          <w:szCs w:val="22"/>
        </w:rPr>
      </w:pPr>
    </w:p>
    <w:p w:rsidR="0060585A" w:rsidRPr="00C922C7" w:rsidRDefault="0060585A" w:rsidP="007C6E13">
      <w:pPr>
        <w:rPr>
          <w:b/>
          <w:szCs w:val="22"/>
        </w:rPr>
      </w:pPr>
      <w:r w:rsidRPr="00C922C7">
        <w:rPr>
          <w:b/>
          <w:szCs w:val="22"/>
        </w:rPr>
        <w:t>Labor costs have accordingly risen faster in EU11 than in EU15, in line with the convergence in labor productivity</w:t>
      </w:r>
      <w:r w:rsidRPr="00C922C7">
        <w:rPr>
          <w:szCs w:val="22"/>
        </w:rPr>
        <w:t>. Current labor productivity levels correlate strongly with labor costs per hour (see Figure 19), both within EU11 countries and between EU11 and EU15 countries. In this sense, economic fundamentals appear to be responsible for the large increases in unit labor costs in EU11 over the last decade. For the case of EU15, such a correlation exists but is not as robust as in the case of EU11, suggesting that institutional factors play a more important role as determinants of unit labor costs differences in high productivity countries.</w:t>
      </w:r>
      <w:r w:rsidRPr="00C922C7">
        <w:rPr>
          <w:b/>
          <w:szCs w:val="22"/>
        </w:rPr>
        <w:t xml:space="preserve"> </w:t>
      </w:r>
    </w:p>
    <w:p w:rsidR="0060585A" w:rsidRPr="00C922C7" w:rsidRDefault="0060585A" w:rsidP="007C6E13">
      <w:pPr>
        <w:rPr>
          <w:b/>
          <w:szCs w:val="22"/>
        </w:rPr>
      </w:pPr>
    </w:p>
    <w:p w:rsidR="0060585A" w:rsidRPr="00C922C7" w:rsidRDefault="0060585A" w:rsidP="007C6E13">
      <w:pPr>
        <w:rPr>
          <w:szCs w:val="22"/>
        </w:rPr>
      </w:pPr>
      <w:r w:rsidRPr="00C922C7">
        <w:rPr>
          <w:b/>
          <w:szCs w:val="22"/>
        </w:rPr>
        <w:lastRenderedPageBreak/>
        <w:t>Given the relatively generous social protection system, expected demographic developments are among the most formidable obstacles to the sustainability of the European growth model.</w:t>
      </w:r>
      <w:r w:rsidRPr="00C922C7">
        <w:rPr>
          <w:szCs w:val="22"/>
        </w:rPr>
        <w:t xml:space="preserve"> With employment protection high, social benefits generous, and reduced mobility, the most important methods for improving workforce productivity in the long term are to increase labor market participation and both develop skills and attract talent, meanwhile ensuring fiscal sustainability.</w:t>
      </w:r>
    </w:p>
    <w:p w:rsidR="0060585A" w:rsidRPr="00C922C7" w:rsidRDefault="0060585A" w:rsidP="00B8298B">
      <w:pPr>
        <w:rPr>
          <w:szCs w:val="22"/>
        </w:rPr>
      </w:pPr>
    </w:p>
    <w:p w:rsidR="0060585A" w:rsidRPr="00EB1728" w:rsidRDefault="0060585A" w:rsidP="004D31F4">
      <w:pPr>
        <w:pStyle w:val="Caption"/>
        <w:keepNext/>
        <w:keepLines/>
        <w:spacing w:before="60" w:after="60"/>
        <w:jc w:val="left"/>
        <w:rPr>
          <w:sz w:val="22"/>
          <w:szCs w:val="22"/>
        </w:rPr>
      </w:pPr>
      <w:r w:rsidRPr="00EB1728">
        <w:rPr>
          <w:sz w:val="22"/>
          <w:szCs w:val="22"/>
        </w:rPr>
        <w:t>Figure 19. Labor Productivity and Labor Costs per Hour, 2009</w:t>
      </w:r>
    </w:p>
    <w:p w:rsidR="0060585A" w:rsidRPr="00982556" w:rsidRDefault="00A1042F" w:rsidP="004D31F4">
      <w:pPr>
        <w:jc w:val="left"/>
        <w:rPr>
          <w:rFonts w:ascii="Times New Roman" w:hAnsi="Times New Roman"/>
        </w:rPr>
      </w:pPr>
      <w:r>
        <w:rPr>
          <w:rFonts w:ascii="Times New Roman" w:hAnsi="Times New Roman"/>
          <w:noProof/>
        </w:rPr>
        <w:drawing>
          <wp:inline distT="0" distB="0" distL="0" distR="0">
            <wp:extent cx="3924300" cy="2609850"/>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0"/>
                    <a:srcRect/>
                    <a:stretch>
                      <a:fillRect/>
                    </a:stretch>
                  </pic:blipFill>
                  <pic:spPr bwMode="auto">
                    <a:xfrm>
                      <a:off x="0" y="0"/>
                      <a:ext cx="3924300" cy="2609850"/>
                    </a:xfrm>
                    <a:prstGeom prst="rect">
                      <a:avLst/>
                    </a:prstGeom>
                    <a:noFill/>
                    <a:ln w="9525">
                      <a:noFill/>
                      <a:miter lim="800000"/>
                      <a:headEnd/>
                      <a:tailEnd/>
                    </a:ln>
                  </pic:spPr>
                </pic:pic>
              </a:graphicData>
            </a:graphic>
          </wp:inline>
        </w:drawing>
      </w:r>
    </w:p>
    <w:p w:rsidR="0060585A" w:rsidRPr="00EB1728" w:rsidRDefault="0060585A" w:rsidP="004D31F4">
      <w:pPr>
        <w:keepNext/>
        <w:spacing w:before="60" w:after="40"/>
        <w:jc w:val="left"/>
        <w:rPr>
          <w:i/>
          <w:sz w:val="18"/>
          <w:szCs w:val="18"/>
        </w:rPr>
      </w:pPr>
      <w:r w:rsidRPr="00EB1728">
        <w:rPr>
          <w:i/>
          <w:sz w:val="18"/>
          <w:szCs w:val="18"/>
        </w:rPr>
        <w:t xml:space="preserve">Source: </w:t>
      </w:r>
      <w:r w:rsidRPr="00B56F2B">
        <w:rPr>
          <w:sz w:val="18"/>
          <w:szCs w:val="18"/>
        </w:rPr>
        <w:t>World Bank and Eurostat</w:t>
      </w:r>
    </w:p>
    <w:p w:rsidR="0060585A" w:rsidRPr="00B56F2B" w:rsidRDefault="0060585A" w:rsidP="0014318F">
      <w:pPr>
        <w:jc w:val="center"/>
        <w:rPr>
          <w:b/>
          <w:sz w:val="22"/>
          <w:szCs w:val="22"/>
        </w:rPr>
      </w:pPr>
    </w:p>
    <w:p w:rsidR="0060585A" w:rsidRPr="00C922C7" w:rsidRDefault="0060585A" w:rsidP="007C6E13">
      <w:pPr>
        <w:rPr>
          <w:szCs w:val="22"/>
        </w:rPr>
      </w:pPr>
    </w:p>
    <w:p w:rsidR="0060585A" w:rsidRPr="00C922C7" w:rsidRDefault="0060585A" w:rsidP="007C6E13">
      <w:pPr>
        <w:rPr>
          <w:szCs w:val="22"/>
        </w:rPr>
      </w:pPr>
      <w:r w:rsidRPr="00C922C7">
        <w:rPr>
          <w:b/>
          <w:szCs w:val="22"/>
        </w:rPr>
        <w:t>Together the expected shrinkage of the working-age population and the dramatic rise in the proportion of the population above age 65 pose a serious threat to the European growth model.</w:t>
      </w:r>
      <w:r w:rsidRPr="00C922C7">
        <w:rPr>
          <w:rStyle w:val="FootnoteReference"/>
          <w:szCs w:val="22"/>
        </w:rPr>
        <w:footnoteReference w:id="22"/>
      </w:r>
      <w:r w:rsidRPr="00C922C7">
        <w:rPr>
          <w:b/>
          <w:szCs w:val="22"/>
        </w:rPr>
        <w:t xml:space="preserve"> </w:t>
      </w:r>
      <w:r w:rsidRPr="00C922C7">
        <w:rPr>
          <w:szCs w:val="22"/>
        </w:rPr>
        <w:t>The median age in EU11, which is currently comparable with the rest of Europe, is expected to increase 6.8 years on average by 2050 (Figure 20). In the rest of the EU the increase is expected to be 5.8 years.</w:t>
      </w:r>
      <w:r w:rsidRPr="00C922C7">
        <w:rPr>
          <w:rStyle w:val="FootnoteReference"/>
          <w:szCs w:val="22"/>
        </w:rPr>
        <w:footnoteReference w:id="23"/>
      </w:r>
      <w:r w:rsidRPr="00C922C7">
        <w:rPr>
          <w:szCs w:val="22"/>
        </w:rPr>
        <w:t xml:space="preserve"> The old-age dependency ratio in the EU11 will deteriorate with the share of the elderly in the population reaching 33 percent in 2060 from 16 percent in 2010. Currently, there are about 5 persons of working age for every person in pension age in the EU11. By the year 2060, this is expected to fall to less than 1.5 persons of working age for every person. </w:t>
      </w:r>
    </w:p>
    <w:p w:rsidR="0060585A" w:rsidRPr="00C922C7" w:rsidRDefault="0060585A" w:rsidP="007C6E13">
      <w:pPr>
        <w:rPr>
          <w:szCs w:val="22"/>
        </w:rPr>
      </w:pPr>
    </w:p>
    <w:p w:rsidR="0060585A" w:rsidRPr="00C922C7" w:rsidRDefault="0060585A" w:rsidP="007C6E13">
      <w:pPr>
        <w:rPr>
          <w:szCs w:val="22"/>
        </w:rPr>
      </w:pPr>
      <w:r w:rsidRPr="00C922C7">
        <w:rPr>
          <w:b/>
          <w:szCs w:val="22"/>
        </w:rPr>
        <w:t>Since labor participation and savings rates both tend to be lower for older people, such a demographic development has direct effects on macroeconomic factors of production.</w:t>
      </w:r>
      <w:r w:rsidRPr="00C922C7">
        <w:rPr>
          <w:szCs w:val="22"/>
        </w:rPr>
        <w:t xml:space="preserve"> If age-specific behavior with respect to participation in the labor market and saving is held constant, without remarkable increases in productivity, EU11 income per capita is likely to grow more slowly. </w:t>
      </w:r>
    </w:p>
    <w:p w:rsidR="0060585A" w:rsidRPr="00C922C7" w:rsidRDefault="0060585A" w:rsidP="007C6E13">
      <w:pPr>
        <w:rPr>
          <w:szCs w:val="22"/>
        </w:rPr>
      </w:pPr>
    </w:p>
    <w:p w:rsidR="0060585A" w:rsidRPr="00C922C7" w:rsidRDefault="0060585A" w:rsidP="007C6E13">
      <w:pPr>
        <w:rPr>
          <w:szCs w:val="22"/>
        </w:rPr>
      </w:pPr>
      <w:r w:rsidRPr="00C922C7">
        <w:rPr>
          <w:b/>
          <w:szCs w:val="22"/>
        </w:rPr>
        <w:lastRenderedPageBreak/>
        <w:t xml:space="preserve">The expected decline in labor force participation is larger and much more persistent in EU11 than in EU15. </w:t>
      </w:r>
      <w:r w:rsidRPr="00C922C7">
        <w:rPr>
          <w:szCs w:val="22"/>
        </w:rPr>
        <w:t>Taking into account the sizable differences in participation rates by educational attainment, methods put forward by Loichinger (2012) were used to obtain projections of the labor force for EU11 and the rest of the EU for 2015 through 2055 (Figure 21).</w:t>
      </w:r>
      <w:r w:rsidRPr="00C922C7">
        <w:rPr>
          <w:rStyle w:val="FootnoteReference"/>
          <w:szCs w:val="22"/>
        </w:rPr>
        <w:footnoteReference w:id="24"/>
      </w:r>
      <w:r w:rsidRPr="00C922C7">
        <w:rPr>
          <w:szCs w:val="22"/>
        </w:rPr>
        <w:t xml:space="preserve"> The resultant benchmark labor force growth projections for EU11 and the rest of the EU suggest that the fall in the labor force in EU11 will be more dramatic than in the rest of Europe. The loss in labor force for the forthcoming decades is expected to be of approximately 19% between 2010 and 2050 in EU11, compared to 3% in the rest of the EU. The policy challenges posed by such changes in age structure in EU11 are thus even more urgent than in EU15.    </w:t>
      </w:r>
    </w:p>
    <w:p w:rsidR="0060585A" w:rsidRPr="00B56F2B" w:rsidRDefault="0060585A" w:rsidP="007C6E13">
      <w:pPr>
        <w:rPr>
          <w:sz w:val="22"/>
          <w:szCs w:val="22"/>
        </w:rPr>
      </w:pPr>
    </w:p>
    <w:tbl>
      <w:tblPr>
        <w:tblW w:w="0" w:type="auto"/>
        <w:tblLook w:val="00A0"/>
      </w:tblPr>
      <w:tblGrid>
        <w:gridCol w:w="4748"/>
        <w:gridCol w:w="4720"/>
      </w:tblGrid>
      <w:tr w:rsidR="0060585A" w:rsidRPr="00321D31" w:rsidTr="000C50E8">
        <w:tc>
          <w:tcPr>
            <w:tcW w:w="4748" w:type="dxa"/>
          </w:tcPr>
          <w:p w:rsidR="0060585A" w:rsidRPr="00321D31" w:rsidRDefault="0060585A" w:rsidP="004D31F4">
            <w:pPr>
              <w:pStyle w:val="Caption"/>
              <w:keepNext/>
              <w:keepLines/>
              <w:spacing w:before="60" w:after="60"/>
              <w:jc w:val="left"/>
              <w:rPr>
                <w:sz w:val="22"/>
                <w:szCs w:val="22"/>
              </w:rPr>
            </w:pPr>
            <w:r w:rsidRPr="00321D31">
              <w:rPr>
                <w:sz w:val="22"/>
                <w:szCs w:val="22"/>
              </w:rPr>
              <w:t xml:space="preserve">Figure 20. Median Age in EU Countries, </w:t>
            </w:r>
            <w:r>
              <w:rPr>
                <w:sz w:val="22"/>
                <w:szCs w:val="22"/>
              </w:rPr>
              <w:br/>
            </w:r>
            <w:r w:rsidRPr="00321D31">
              <w:rPr>
                <w:sz w:val="22"/>
                <w:szCs w:val="22"/>
              </w:rPr>
              <w:t>2010</w:t>
            </w:r>
          </w:p>
        </w:tc>
        <w:tc>
          <w:tcPr>
            <w:tcW w:w="4720" w:type="dxa"/>
          </w:tcPr>
          <w:p w:rsidR="0060585A" w:rsidRPr="00321D31" w:rsidRDefault="0060585A" w:rsidP="004D31F4">
            <w:pPr>
              <w:pStyle w:val="Caption"/>
              <w:keepNext/>
              <w:keepLines/>
              <w:spacing w:before="60" w:after="60"/>
              <w:jc w:val="left"/>
              <w:rPr>
                <w:sz w:val="22"/>
                <w:szCs w:val="22"/>
              </w:rPr>
            </w:pPr>
            <w:r w:rsidRPr="00321D31">
              <w:rPr>
                <w:sz w:val="22"/>
                <w:szCs w:val="22"/>
              </w:rPr>
              <w:t>Figure 21. Labor Force Growth Projections, EU and EU11, 2015–2055</w:t>
            </w:r>
          </w:p>
        </w:tc>
      </w:tr>
      <w:tr w:rsidR="0060585A" w:rsidRPr="00321D31" w:rsidTr="000C50E8">
        <w:tc>
          <w:tcPr>
            <w:tcW w:w="4748" w:type="dxa"/>
          </w:tcPr>
          <w:p w:rsidR="0060585A" w:rsidRPr="00321D31" w:rsidRDefault="00A1042F" w:rsidP="00321D31">
            <w:pPr>
              <w:spacing w:line="276" w:lineRule="auto"/>
              <w:rPr>
                <w:rFonts w:ascii="Times New Roman" w:hAnsi="Times New Roman"/>
              </w:rPr>
            </w:pPr>
            <w:r>
              <w:rPr>
                <w:rFonts w:ascii="Times New Roman" w:hAnsi="Times New Roman"/>
                <w:noProof/>
              </w:rPr>
              <w:drawing>
                <wp:inline distT="0" distB="0" distL="0" distR="0">
                  <wp:extent cx="2781300" cy="2628900"/>
                  <wp:effectExtent l="19050" t="0" r="0" b="0"/>
                  <wp:docPr id="13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1"/>
                          <a:srcRect/>
                          <a:stretch>
                            <a:fillRect/>
                          </a:stretch>
                        </pic:blipFill>
                        <pic:spPr bwMode="auto">
                          <a:xfrm>
                            <a:off x="0" y="0"/>
                            <a:ext cx="2781300" cy="2628900"/>
                          </a:xfrm>
                          <a:prstGeom prst="rect">
                            <a:avLst/>
                          </a:prstGeom>
                          <a:noFill/>
                          <a:ln w="9525">
                            <a:noFill/>
                            <a:miter lim="800000"/>
                            <a:headEnd/>
                            <a:tailEnd/>
                          </a:ln>
                        </pic:spPr>
                      </pic:pic>
                    </a:graphicData>
                  </a:graphic>
                </wp:inline>
              </w:drawing>
            </w:r>
          </w:p>
        </w:tc>
        <w:tc>
          <w:tcPr>
            <w:tcW w:w="4720" w:type="dxa"/>
          </w:tcPr>
          <w:p w:rsidR="0060585A" w:rsidRPr="00321D31" w:rsidRDefault="00A1042F" w:rsidP="00321D31">
            <w:pPr>
              <w:spacing w:line="276" w:lineRule="auto"/>
              <w:rPr>
                <w:rFonts w:ascii="Times New Roman" w:hAnsi="Times New Roman"/>
              </w:rPr>
            </w:pPr>
            <w:r>
              <w:rPr>
                <w:rFonts w:ascii="Times New Roman" w:hAnsi="Times New Roman"/>
                <w:noProof/>
              </w:rPr>
              <w:drawing>
                <wp:inline distT="0" distB="0" distL="0" distR="0">
                  <wp:extent cx="2762250" cy="2628900"/>
                  <wp:effectExtent l="19050" t="0" r="0" b="0"/>
                  <wp:docPr id="13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2"/>
                          <a:srcRect/>
                          <a:stretch>
                            <a:fillRect/>
                          </a:stretch>
                        </pic:blipFill>
                        <pic:spPr bwMode="auto">
                          <a:xfrm>
                            <a:off x="0" y="0"/>
                            <a:ext cx="2762250" cy="2628900"/>
                          </a:xfrm>
                          <a:prstGeom prst="rect">
                            <a:avLst/>
                          </a:prstGeom>
                          <a:noFill/>
                          <a:ln w="9525">
                            <a:noFill/>
                            <a:miter lim="800000"/>
                            <a:headEnd/>
                            <a:tailEnd/>
                          </a:ln>
                        </pic:spPr>
                      </pic:pic>
                    </a:graphicData>
                  </a:graphic>
                </wp:inline>
              </w:drawing>
            </w:r>
          </w:p>
        </w:tc>
      </w:tr>
      <w:tr w:rsidR="0060585A" w:rsidRPr="00321D31" w:rsidTr="000C50E8">
        <w:tc>
          <w:tcPr>
            <w:tcW w:w="4748" w:type="dxa"/>
          </w:tcPr>
          <w:p w:rsidR="0060585A" w:rsidRPr="00321D31" w:rsidRDefault="0060585A" w:rsidP="00321D31">
            <w:pPr>
              <w:keepNext/>
              <w:spacing w:before="60" w:after="40"/>
              <w:rPr>
                <w:i/>
                <w:sz w:val="18"/>
                <w:szCs w:val="18"/>
              </w:rPr>
            </w:pPr>
            <w:r w:rsidRPr="00321D31">
              <w:rPr>
                <w:i/>
                <w:sz w:val="18"/>
                <w:szCs w:val="18"/>
              </w:rPr>
              <w:t xml:space="preserve">Source: </w:t>
            </w:r>
            <w:r w:rsidRPr="00321D31">
              <w:rPr>
                <w:sz w:val="18"/>
                <w:szCs w:val="18"/>
              </w:rPr>
              <w:t>UN World Population Prospects (2010)</w:t>
            </w:r>
          </w:p>
        </w:tc>
        <w:tc>
          <w:tcPr>
            <w:tcW w:w="4720" w:type="dxa"/>
          </w:tcPr>
          <w:p w:rsidR="0060585A" w:rsidRPr="00321D31" w:rsidRDefault="0060585A" w:rsidP="00321D31">
            <w:pPr>
              <w:keepNext/>
              <w:spacing w:before="60" w:after="40"/>
              <w:rPr>
                <w:i/>
                <w:sz w:val="18"/>
                <w:szCs w:val="18"/>
              </w:rPr>
            </w:pPr>
            <w:r w:rsidRPr="00321D31">
              <w:rPr>
                <w:i/>
                <w:sz w:val="18"/>
                <w:szCs w:val="18"/>
              </w:rPr>
              <w:t xml:space="preserve">Source: </w:t>
            </w:r>
            <w:r w:rsidRPr="00321D31">
              <w:rPr>
                <w:sz w:val="18"/>
                <w:szCs w:val="18"/>
              </w:rPr>
              <w:t>Loichinger (2012)</w:t>
            </w:r>
          </w:p>
        </w:tc>
      </w:tr>
    </w:tbl>
    <w:p w:rsidR="0060585A" w:rsidRPr="00C922C7" w:rsidRDefault="0060585A" w:rsidP="007C6E13">
      <w:pPr>
        <w:rPr>
          <w:b/>
          <w:szCs w:val="22"/>
        </w:rPr>
      </w:pPr>
    </w:p>
    <w:p w:rsidR="0060585A" w:rsidRPr="00C922C7" w:rsidRDefault="0060585A" w:rsidP="007C6E13">
      <w:r w:rsidRPr="00C922C7">
        <w:rPr>
          <w:b/>
        </w:rPr>
        <w:t>The issues associated with these demographic developments are aggravated because EU11 does a poor job of attracting migrants.</w:t>
      </w:r>
      <w:r w:rsidRPr="00C922C7">
        <w:t xml:space="preserve"> The difference between EU11 and EU15 in net migration rates is remarkable (Figure 22).  The rate at which highly skilled workers leave the EU11 is the highest of the EU regional aggregates (Figure 23). To the extent that EU11 economies evolve toward innovation and technologically advanced products, a shortage of skills could constrain economic growth in the region. Creating incentives to bring skilled individuals back may soon become a priority for EU11 economies.</w:t>
      </w:r>
    </w:p>
    <w:tbl>
      <w:tblPr>
        <w:tblW w:w="0" w:type="auto"/>
        <w:tblLook w:val="00A0"/>
      </w:tblPr>
      <w:tblGrid>
        <w:gridCol w:w="4698"/>
        <w:gridCol w:w="4830"/>
      </w:tblGrid>
      <w:tr w:rsidR="0060585A" w:rsidRPr="00321D31" w:rsidTr="00C922C7">
        <w:trPr>
          <w:trHeight w:val="719"/>
        </w:trPr>
        <w:tc>
          <w:tcPr>
            <w:tcW w:w="4698" w:type="dxa"/>
          </w:tcPr>
          <w:p w:rsidR="0060585A" w:rsidRPr="00321D31" w:rsidRDefault="0060585A" w:rsidP="004D31F4">
            <w:pPr>
              <w:pStyle w:val="Caption"/>
              <w:keepNext/>
              <w:keepLines/>
              <w:spacing w:before="60" w:after="60"/>
              <w:jc w:val="left"/>
              <w:rPr>
                <w:sz w:val="22"/>
                <w:szCs w:val="22"/>
              </w:rPr>
            </w:pPr>
            <w:r w:rsidRPr="00321D31">
              <w:rPr>
                <w:sz w:val="22"/>
                <w:szCs w:val="22"/>
              </w:rPr>
              <w:lastRenderedPageBreak/>
              <w:t>Figure 22. Net Migration Rates by Region</w:t>
            </w:r>
          </w:p>
        </w:tc>
        <w:tc>
          <w:tcPr>
            <w:tcW w:w="4830" w:type="dxa"/>
          </w:tcPr>
          <w:p w:rsidR="0060585A" w:rsidRPr="00321D31" w:rsidRDefault="0060585A" w:rsidP="004D31F4">
            <w:pPr>
              <w:pStyle w:val="Caption"/>
              <w:keepNext/>
              <w:keepLines/>
              <w:spacing w:before="60" w:after="60"/>
              <w:jc w:val="left"/>
              <w:rPr>
                <w:sz w:val="22"/>
                <w:szCs w:val="22"/>
              </w:rPr>
            </w:pPr>
            <w:r w:rsidRPr="00321D31">
              <w:rPr>
                <w:sz w:val="22"/>
                <w:szCs w:val="22"/>
              </w:rPr>
              <w:t>Figure 23. Emigration Rates of People with Tertiary Education</w:t>
            </w:r>
          </w:p>
        </w:tc>
      </w:tr>
      <w:tr w:rsidR="0060585A" w:rsidRPr="00321D31" w:rsidTr="00C922C7">
        <w:trPr>
          <w:trHeight w:val="4279"/>
        </w:trPr>
        <w:tc>
          <w:tcPr>
            <w:tcW w:w="4698" w:type="dxa"/>
          </w:tcPr>
          <w:p w:rsidR="0060585A" w:rsidRPr="00321D31" w:rsidRDefault="00A1042F" w:rsidP="00321D31">
            <w:pPr>
              <w:spacing w:line="276" w:lineRule="auto"/>
              <w:rPr>
                <w:rFonts w:ascii="Times New Roman" w:hAnsi="Times New Roman"/>
              </w:rPr>
            </w:pPr>
            <w:r>
              <w:rPr>
                <w:rFonts w:ascii="Times New Roman" w:hAnsi="Times New Roman"/>
                <w:noProof/>
              </w:rPr>
              <w:drawing>
                <wp:inline distT="0" distB="0" distL="0" distR="0">
                  <wp:extent cx="2724150" cy="2800350"/>
                  <wp:effectExtent l="0" t="0" r="0" b="0"/>
                  <wp:docPr id="10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13"/>
                          <a:srcRect/>
                          <a:stretch>
                            <a:fillRect/>
                          </a:stretch>
                        </pic:blipFill>
                        <pic:spPr bwMode="auto">
                          <a:xfrm>
                            <a:off x="0" y="0"/>
                            <a:ext cx="2724150" cy="2800350"/>
                          </a:xfrm>
                          <a:prstGeom prst="rect">
                            <a:avLst/>
                          </a:prstGeom>
                          <a:noFill/>
                          <a:ln w="9525">
                            <a:noFill/>
                            <a:miter lim="800000"/>
                            <a:headEnd/>
                            <a:tailEnd/>
                          </a:ln>
                        </pic:spPr>
                      </pic:pic>
                    </a:graphicData>
                  </a:graphic>
                </wp:inline>
              </w:drawing>
            </w:r>
          </w:p>
        </w:tc>
        <w:tc>
          <w:tcPr>
            <w:tcW w:w="4830" w:type="dxa"/>
          </w:tcPr>
          <w:p w:rsidR="0060585A" w:rsidRPr="00321D31" w:rsidRDefault="00A1042F" w:rsidP="00321D31">
            <w:pPr>
              <w:spacing w:line="276" w:lineRule="auto"/>
              <w:rPr>
                <w:rFonts w:ascii="Times New Roman" w:hAnsi="Times New Roman"/>
              </w:rPr>
            </w:pPr>
            <w:r>
              <w:rPr>
                <w:rFonts w:ascii="Times New Roman" w:hAnsi="Times New Roman"/>
                <w:noProof/>
              </w:rPr>
              <w:drawing>
                <wp:inline distT="0" distB="0" distL="0" distR="0">
                  <wp:extent cx="2800350" cy="26670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4"/>
                          <a:srcRect/>
                          <a:stretch>
                            <a:fillRect/>
                          </a:stretch>
                        </pic:blipFill>
                        <pic:spPr bwMode="auto">
                          <a:xfrm>
                            <a:off x="0" y="0"/>
                            <a:ext cx="2800350" cy="2667000"/>
                          </a:xfrm>
                          <a:prstGeom prst="rect">
                            <a:avLst/>
                          </a:prstGeom>
                          <a:noFill/>
                          <a:ln w="9525">
                            <a:noFill/>
                            <a:miter lim="800000"/>
                            <a:headEnd/>
                            <a:tailEnd/>
                          </a:ln>
                        </pic:spPr>
                      </pic:pic>
                    </a:graphicData>
                  </a:graphic>
                </wp:inline>
              </w:drawing>
            </w:r>
          </w:p>
        </w:tc>
      </w:tr>
      <w:tr w:rsidR="0060585A" w:rsidRPr="00321D31" w:rsidTr="00C922C7">
        <w:trPr>
          <w:trHeight w:val="342"/>
        </w:trPr>
        <w:tc>
          <w:tcPr>
            <w:tcW w:w="4698" w:type="dxa"/>
          </w:tcPr>
          <w:p w:rsidR="0060585A" w:rsidRPr="00321D31" w:rsidRDefault="0060585A" w:rsidP="00321D31">
            <w:pPr>
              <w:keepNext/>
              <w:spacing w:before="60" w:after="40"/>
              <w:rPr>
                <w:i/>
                <w:sz w:val="18"/>
                <w:szCs w:val="18"/>
              </w:rPr>
            </w:pPr>
            <w:r w:rsidRPr="00321D31">
              <w:rPr>
                <w:i/>
                <w:sz w:val="18"/>
                <w:szCs w:val="18"/>
              </w:rPr>
              <w:t xml:space="preserve">Source: </w:t>
            </w:r>
            <w:r w:rsidRPr="00321D31">
              <w:rPr>
                <w:sz w:val="18"/>
                <w:szCs w:val="18"/>
              </w:rPr>
              <w:t>World Bank</w:t>
            </w:r>
          </w:p>
        </w:tc>
        <w:tc>
          <w:tcPr>
            <w:tcW w:w="4830" w:type="dxa"/>
          </w:tcPr>
          <w:p w:rsidR="0060585A" w:rsidRPr="00321D31" w:rsidRDefault="0060585A" w:rsidP="00321D31">
            <w:pPr>
              <w:keepNext/>
              <w:spacing w:before="60" w:after="40"/>
              <w:rPr>
                <w:i/>
                <w:sz w:val="18"/>
                <w:szCs w:val="18"/>
              </w:rPr>
            </w:pPr>
            <w:r w:rsidRPr="00321D31">
              <w:rPr>
                <w:i/>
                <w:sz w:val="18"/>
                <w:szCs w:val="18"/>
              </w:rPr>
              <w:t xml:space="preserve">Source: </w:t>
            </w:r>
            <w:r w:rsidRPr="00321D31">
              <w:rPr>
                <w:sz w:val="18"/>
                <w:szCs w:val="18"/>
              </w:rPr>
              <w:t>World Bank</w:t>
            </w:r>
          </w:p>
        </w:tc>
      </w:tr>
    </w:tbl>
    <w:p w:rsidR="0060585A" w:rsidRPr="00B56F2B" w:rsidRDefault="0060585A" w:rsidP="007C6E13">
      <w:pPr>
        <w:rPr>
          <w:b/>
          <w:sz w:val="22"/>
          <w:szCs w:val="22"/>
        </w:rPr>
      </w:pPr>
    </w:p>
    <w:p w:rsidR="00C922C7" w:rsidRDefault="00C922C7" w:rsidP="007C6E13">
      <w:pPr>
        <w:rPr>
          <w:b/>
          <w:szCs w:val="22"/>
        </w:rPr>
      </w:pPr>
    </w:p>
    <w:p w:rsidR="0060585A" w:rsidRPr="00C922C7" w:rsidRDefault="0060585A" w:rsidP="007C6E13">
      <w:pPr>
        <w:rPr>
          <w:szCs w:val="22"/>
        </w:rPr>
      </w:pPr>
      <w:r w:rsidRPr="00C922C7">
        <w:rPr>
          <w:b/>
          <w:szCs w:val="22"/>
        </w:rPr>
        <w:t>Apart from increasing the retirement age, policies to increase EU11 labor participation rates will necessarily have to incentivize and retain highly skilled individuals.</w:t>
      </w:r>
      <w:r w:rsidRPr="00C922C7">
        <w:rPr>
          <w:szCs w:val="22"/>
        </w:rPr>
        <w:t xml:space="preserve"> A wage premium as high as 25–30 percent was found recently for workers in Eastern Europe who had experience in Western Europe (Iara, 2008). Standard estimates of the returns to education in the region may thus not be very informative for domestic policy if decisions to migrate, and eventually to return, are taken into account. Such earning differentials have potent signaling effects for education decisions. They also may turn the EU11 “brain drain” into a “brain rental” by enabling the return of skilled emigrants to the region.</w:t>
      </w:r>
      <w:r w:rsidRPr="00C922C7">
        <w:rPr>
          <w:rStyle w:val="FootnoteReference"/>
          <w:szCs w:val="22"/>
        </w:rPr>
        <w:footnoteReference w:id="25"/>
      </w:r>
      <w:r w:rsidRPr="00C922C7">
        <w:rPr>
          <w:szCs w:val="22"/>
        </w:rPr>
        <w:t xml:space="preserve"> Such beneficial effect, however, requires impulses in terms of demand for skills in EU11 and thus the fostering of innovation activities and entrepreneurship to attract talented emigrants back to the region. </w:t>
      </w:r>
    </w:p>
    <w:tbl>
      <w:tblPr>
        <w:tblW w:w="0" w:type="auto"/>
        <w:tblLook w:val="00A0"/>
      </w:tblPr>
      <w:tblGrid>
        <w:gridCol w:w="4189"/>
        <w:gridCol w:w="5387"/>
      </w:tblGrid>
      <w:tr w:rsidR="0060585A" w:rsidRPr="00321D31" w:rsidTr="00C922C7">
        <w:tc>
          <w:tcPr>
            <w:tcW w:w="4198" w:type="dxa"/>
          </w:tcPr>
          <w:p w:rsidR="0060585A" w:rsidRPr="00321D31" w:rsidRDefault="0060585A" w:rsidP="004D31F4">
            <w:pPr>
              <w:pStyle w:val="Caption"/>
              <w:keepNext/>
              <w:keepLines/>
              <w:spacing w:before="60" w:after="60"/>
              <w:jc w:val="left"/>
              <w:rPr>
                <w:sz w:val="22"/>
                <w:szCs w:val="22"/>
              </w:rPr>
            </w:pPr>
            <w:r w:rsidRPr="00321D31">
              <w:rPr>
                <w:sz w:val="22"/>
                <w:szCs w:val="22"/>
              </w:rPr>
              <w:lastRenderedPageBreak/>
              <w:t>Figure 24. Tertiary Education, Age Group 30–34, 2010</w:t>
            </w:r>
          </w:p>
        </w:tc>
        <w:tc>
          <w:tcPr>
            <w:tcW w:w="5378" w:type="dxa"/>
          </w:tcPr>
          <w:p w:rsidR="0060585A" w:rsidRPr="00321D31" w:rsidRDefault="0060585A" w:rsidP="004D31F4">
            <w:pPr>
              <w:pStyle w:val="Caption"/>
              <w:keepNext/>
              <w:keepLines/>
              <w:spacing w:before="60" w:after="60"/>
              <w:jc w:val="left"/>
              <w:rPr>
                <w:sz w:val="22"/>
                <w:szCs w:val="22"/>
              </w:rPr>
            </w:pPr>
            <w:r w:rsidRPr="00321D31">
              <w:rPr>
                <w:sz w:val="22"/>
                <w:szCs w:val="22"/>
              </w:rPr>
              <w:t>Figure 25. Projections of Income per Capita, 2050: Benchmark Scenario and EU11 Human Capital Investment Improvement Scenario</w:t>
            </w:r>
          </w:p>
        </w:tc>
      </w:tr>
      <w:tr w:rsidR="0060585A" w:rsidRPr="00321D31" w:rsidTr="00C922C7">
        <w:trPr>
          <w:trHeight w:val="3879"/>
        </w:trPr>
        <w:tc>
          <w:tcPr>
            <w:tcW w:w="4198" w:type="dxa"/>
          </w:tcPr>
          <w:p w:rsidR="0060585A" w:rsidRPr="00321D31" w:rsidRDefault="00A1042F" w:rsidP="00321D31">
            <w:pPr>
              <w:spacing w:line="276" w:lineRule="auto"/>
              <w:rPr>
                <w:rFonts w:ascii="Times New Roman" w:hAnsi="Times New Roman"/>
                <w:lang w:val="de-AT"/>
              </w:rPr>
            </w:pPr>
            <w:r>
              <w:rPr>
                <w:rFonts w:ascii="Times New Roman" w:hAnsi="Times New Roman"/>
                <w:noProof/>
              </w:rPr>
              <w:drawing>
                <wp:inline distT="0" distB="0" distL="0" distR="0">
                  <wp:extent cx="2590800" cy="23622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5"/>
                          <a:srcRect/>
                          <a:stretch>
                            <a:fillRect/>
                          </a:stretch>
                        </pic:blipFill>
                        <pic:spPr bwMode="auto">
                          <a:xfrm>
                            <a:off x="0" y="0"/>
                            <a:ext cx="2590800" cy="2362200"/>
                          </a:xfrm>
                          <a:prstGeom prst="rect">
                            <a:avLst/>
                          </a:prstGeom>
                          <a:noFill/>
                          <a:ln w="9525">
                            <a:noFill/>
                            <a:miter lim="800000"/>
                            <a:headEnd/>
                            <a:tailEnd/>
                          </a:ln>
                        </pic:spPr>
                      </pic:pic>
                    </a:graphicData>
                  </a:graphic>
                </wp:inline>
              </w:drawing>
            </w:r>
          </w:p>
        </w:tc>
        <w:tc>
          <w:tcPr>
            <w:tcW w:w="5378" w:type="dxa"/>
          </w:tcPr>
          <w:p w:rsidR="0060585A" w:rsidRPr="00321D31" w:rsidRDefault="00A1042F" w:rsidP="00321D31">
            <w:pPr>
              <w:spacing w:line="276" w:lineRule="auto"/>
              <w:rPr>
                <w:rFonts w:ascii="Times New Roman" w:hAnsi="Times New Roman"/>
              </w:rPr>
            </w:pPr>
            <w:r>
              <w:rPr>
                <w:rFonts w:ascii="Times New Roman" w:hAnsi="Times New Roman"/>
                <w:noProof/>
              </w:rPr>
              <w:drawing>
                <wp:inline distT="0" distB="0" distL="0" distR="0">
                  <wp:extent cx="3352800" cy="2362200"/>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6"/>
                          <a:srcRect/>
                          <a:stretch>
                            <a:fillRect/>
                          </a:stretch>
                        </pic:blipFill>
                        <pic:spPr bwMode="auto">
                          <a:xfrm>
                            <a:off x="0" y="0"/>
                            <a:ext cx="3352800" cy="2362200"/>
                          </a:xfrm>
                          <a:prstGeom prst="rect">
                            <a:avLst/>
                          </a:prstGeom>
                          <a:noFill/>
                          <a:ln w="9525">
                            <a:noFill/>
                            <a:miter lim="800000"/>
                            <a:headEnd/>
                            <a:tailEnd/>
                          </a:ln>
                        </pic:spPr>
                      </pic:pic>
                    </a:graphicData>
                  </a:graphic>
                </wp:inline>
              </w:drawing>
            </w:r>
          </w:p>
        </w:tc>
      </w:tr>
      <w:tr w:rsidR="0060585A" w:rsidRPr="00321D31" w:rsidTr="00C922C7">
        <w:tc>
          <w:tcPr>
            <w:tcW w:w="4198" w:type="dxa"/>
          </w:tcPr>
          <w:p w:rsidR="0060585A" w:rsidRPr="00321D31" w:rsidRDefault="0060585A" w:rsidP="00321D31">
            <w:pPr>
              <w:keepNext/>
              <w:spacing w:before="60" w:after="40"/>
              <w:rPr>
                <w:i/>
                <w:sz w:val="18"/>
                <w:szCs w:val="18"/>
              </w:rPr>
            </w:pPr>
            <w:r w:rsidRPr="00321D31">
              <w:rPr>
                <w:i/>
                <w:sz w:val="18"/>
                <w:szCs w:val="18"/>
              </w:rPr>
              <w:t xml:space="preserve">Source: </w:t>
            </w:r>
            <w:r w:rsidRPr="00321D31">
              <w:rPr>
                <w:sz w:val="18"/>
                <w:szCs w:val="18"/>
              </w:rPr>
              <w:t>International Institute for Applied Systems Analysis (IIASA) and Vienna Institute of Demography (VID)</w:t>
            </w:r>
            <w:r w:rsidRPr="00321D31">
              <w:rPr>
                <w:i/>
                <w:sz w:val="18"/>
                <w:szCs w:val="18"/>
              </w:rPr>
              <w:t xml:space="preserve"> </w:t>
            </w:r>
          </w:p>
        </w:tc>
        <w:tc>
          <w:tcPr>
            <w:tcW w:w="5378" w:type="dxa"/>
          </w:tcPr>
          <w:p w:rsidR="0060585A" w:rsidRPr="00321D31" w:rsidRDefault="0060585A" w:rsidP="00321D31">
            <w:pPr>
              <w:keepNext/>
              <w:spacing w:before="60" w:after="40"/>
              <w:rPr>
                <w:i/>
                <w:sz w:val="18"/>
                <w:szCs w:val="18"/>
              </w:rPr>
            </w:pPr>
            <w:r w:rsidRPr="00321D31">
              <w:rPr>
                <w:i/>
                <w:sz w:val="18"/>
                <w:szCs w:val="18"/>
              </w:rPr>
              <w:t xml:space="preserve">Source: </w:t>
            </w:r>
            <w:r w:rsidRPr="00321D31">
              <w:rPr>
                <w:sz w:val="18"/>
                <w:szCs w:val="18"/>
              </w:rPr>
              <w:t>Crespo Cuaresma, Havettová and Lábaj (2012); World Bank staff calculations</w:t>
            </w:r>
          </w:p>
        </w:tc>
      </w:tr>
    </w:tbl>
    <w:p w:rsidR="0060585A" w:rsidRPr="00B56F2B" w:rsidRDefault="0060585A" w:rsidP="007C6E13">
      <w:pPr>
        <w:rPr>
          <w:b/>
          <w:sz w:val="22"/>
          <w:szCs w:val="22"/>
        </w:rPr>
      </w:pPr>
    </w:p>
    <w:p w:rsidR="0060585A" w:rsidRPr="00C922C7" w:rsidRDefault="0060585A" w:rsidP="007C6E13">
      <w:pPr>
        <w:rPr>
          <w:szCs w:val="22"/>
        </w:rPr>
      </w:pPr>
      <w:r w:rsidRPr="00C922C7">
        <w:rPr>
          <w:b/>
          <w:szCs w:val="22"/>
        </w:rPr>
        <w:t xml:space="preserve">Persistent sizable differences in participation rates by educational attainment can be seen in the EU (Figure 24), and are significantly larger for women. </w:t>
      </w:r>
      <w:r w:rsidRPr="00C922C7">
        <w:rPr>
          <w:szCs w:val="22"/>
        </w:rPr>
        <w:t xml:space="preserve">Currently, the share of EU11 population aged 30-34 with tertiary education is about 21 percent, compared to more than 30 percent in EU15-Continental and EU15-North. Further educational expansion at the tertiary level may to some extent be effective in attenuating the detrimental effects of population aging. The average for individuals with tertiary education in EU11 also hides considerable differences between countries in the region. Certain economies might thus earn significant income growth dividends from using investments in human capital to increase participation. </w:t>
      </w:r>
    </w:p>
    <w:p w:rsidR="0060585A" w:rsidRPr="00C922C7" w:rsidRDefault="0060585A" w:rsidP="007C6E13">
      <w:pPr>
        <w:rPr>
          <w:szCs w:val="22"/>
        </w:rPr>
      </w:pPr>
    </w:p>
    <w:p w:rsidR="0060585A" w:rsidRPr="00C922C7" w:rsidRDefault="0060585A" w:rsidP="007C6E13">
      <w:pPr>
        <w:rPr>
          <w:szCs w:val="22"/>
        </w:rPr>
      </w:pPr>
      <w:r w:rsidRPr="00C922C7">
        <w:rPr>
          <w:b/>
          <w:szCs w:val="22"/>
        </w:rPr>
        <w:t>EU11 investments in human capital are also expected to significantly accelerate the income convergence process.</w:t>
      </w:r>
      <w:r w:rsidRPr="00C922C7">
        <w:rPr>
          <w:szCs w:val="22"/>
        </w:rPr>
        <w:t xml:space="preserve"> In order to quantify their effect on convergence, the previous income projection exercise was repeated assuming that EU11 invests more than EU15 in human capital.</w:t>
      </w:r>
      <w:r w:rsidRPr="00C922C7">
        <w:rPr>
          <w:rStyle w:val="FootnoteReference"/>
          <w:szCs w:val="22"/>
        </w:rPr>
        <w:footnoteReference w:id="26"/>
      </w:r>
      <w:r w:rsidRPr="00C922C7">
        <w:rPr>
          <w:szCs w:val="22"/>
        </w:rPr>
        <w:t xml:space="preserve"> The results (Figure 25) indicate that EU11 countries have ample room to speed up income convergence significantly by investing in skills formation. Based on both the benchmark scenario and a scenario implying that EU11 invests more in human capital, the distributions of relative income per capita in 2050 for EU11 compared to EU15 indicate that a virtuous interplay of increased labor market participation and higher income growth is likely to result from further human capital investments. This is particularly true for countries that have larger gaps with EU15 in terms of educational </w:t>
      </w:r>
      <w:r w:rsidRPr="00C922C7">
        <w:rPr>
          <w:szCs w:val="22"/>
        </w:rPr>
        <w:lastRenderedPageBreak/>
        <w:t xml:space="preserve">attainment and thus ample scope for increasing tertiary education attainment rates. In contrast, to improve labor participation through education policy in economies with already high educational attainment, it would be necessary to improve the quality of the educational system. </w:t>
      </w:r>
    </w:p>
    <w:p w:rsidR="0060585A" w:rsidRPr="00C922C7" w:rsidRDefault="0060585A" w:rsidP="007C6E13">
      <w:pPr>
        <w:rPr>
          <w:szCs w:val="22"/>
        </w:rPr>
      </w:pPr>
    </w:p>
    <w:p w:rsidR="0060585A" w:rsidRDefault="0060585A" w:rsidP="007C6E13">
      <w:pPr>
        <w:rPr>
          <w:szCs w:val="22"/>
        </w:rPr>
      </w:pPr>
      <w:r w:rsidRPr="00C922C7">
        <w:rPr>
          <w:b/>
          <w:szCs w:val="22"/>
        </w:rPr>
        <w:t xml:space="preserve">In sum, the demographic developments that are likely throughout Europe in the next few decades pose particular problems for EU11. </w:t>
      </w:r>
      <w:r w:rsidRPr="00C922C7">
        <w:rPr>
          <w:szCs w:val="22"/>
        </w:rPr>
        <w:t>To keep the economic growth model sustainable as society ages and labor force participation plunges, policies are needed to increase labor market participation (e.g., by raising the retirement age) and attract back skilled workers who have migrated. Over the long-term, further EU11 investments in human capital are likely to fuel labor market participation rates and economic growth.</w:t>
      </w:r>
    </w:p>
    <w:p w:rsidR="00C922C7" w:rsidRPr="00C922C7" w:rsidRDefault="00C922C7" w:rsidP="007C6E13">
      <w:pPr>
        <w:rPr>
          <w:szCs w:val="22"/>
        </w:rPr>
      </w:pPr>
    </w:p>
    <w:p w:rsidR="0060585A" w:rsidRPr="00B56F2B" w:rsidRDefault="0060585A" w:rsidP="007C6E13">
      <w:pPr>
        <w:pStyle w:val="IntenseQuote"/>
        <w:rPr>
          <w:rFonts w:ascii="Cambria" w:hAnsi="Cambria"/>
          <w:sz w:val="22"/>
          <w:szCs w:val="22"/>
        </w:rPr>
      </w:pPr>
    </w:p>
    <w:p w:rsidR="0060585A" w:rsidRPr="005E38CA" w:rsidRDefault="0060585A" w:rsidP="00861DDB">
      <w:pPr>
        <w:pStyle w:val="ChapterTitle"/>
      </w:pPr>
      <w:bookmarkStart w:id="74" w:name="_Toc328295602"/>
      <w:r w:rsidRPr="005E38CA">
        <w:t>Government: Institutions Converge, Differences Remain</w:t>
      </w:r>
      <w:bookmarkEnd w:id="74"/>
    </w:p>
    <w:p w:rsidR="0060585A" w:rsidRPr="00C922C7" w:rsidRDefault="0060585A" w:rsidP="00B8298B">
      <w:pPr>
        <w:autoSpaceDE w:val="0"/>
        <w:autoSpaceDN w:val="0"/>
        <w:adjustRightInd w:val="0"/>
        <w:rPr>
          <w:szCs w:val="22"/>
        </w:rPr>
      </w:pPr>
      <w:r w:rsidRPr="00C922C7">
        <w:rPr>
          <w:b/>
          <w:szCs w:val="22"/>
        </w:rPr>
        <w:t xml:space="preserve">For the last decade EU11 governments have been larger than those in emerging economies outside Europe, but smaller than in EU15. </w:t>
      </w:r>
      <w:r w:rsidRPr="00C922C7">
        <w:rPr>
          <w:szCs w:val="22"/>
        </w:rPr>
        <w:t xml:space="preserve">European governments tend to be large: the median government size was larger by 11 percent of GDP in EU15 and 13 percent in Eastern Europe than among their peers in other regions. In 2010, government spending accounted for over half of GDP in EU15 and over two-fifths in EU11. Only in Slovenia and Hungary is the size of the government comparable to the average in EU15. The smallest governments were those of Bulgaria and Romania. Social expenditures explain the variations (Figure 26). The composition of revenues also varies significantly between old and new EU countries (Figure 27). For instance, EU11 countries collect more in indirect taxes and nontax revenues than EU15 countries, but corporate and individual taxes still account for a small share of revenues. </w:t>
      </w:r>
    </w:p>
    <w:p w:rsidR="0060585A" w:rsidRPr="00C922C7" w:rsidRDefault="0060585A" w:rsidP="00B8298B">
      <w:pPr>
        <w:autoSpaceDE w:val="0"/>
        <w:autoSpaceDN w:val="0"/>
        <w:adjustRightInd w:val="0"/>
        <w:rPr>
          <w:szCs w:val="22"/>
        </w:rPr>
      </w:pPr>
    </w:p>
    <w:p w:rsidR="0060585A" w:rsidRPr="00C922C7" w:rsidRDefault="0060585A" w:rsidP="00B8298B">
      <w:pPr>
        <w:autoSpaceDE w:val="0"/>
        <w:autoSpaceDN w:val="0"/>
        <w:adjustRightInd w:val="0"/>
        <w:rPr>
          <w:szCs w:val="22"/>
        </w:rPr>
      </w:pPr>
      <w:r w:rsidRPr="00C922C7">
        <w:rPr>
          <w:b/>
          <w:szCs w:val="22"/>
        </w:rPr>
        <w:t xml:space="preserve">A large government is a drag on growth. </w:t>
      </w:r>
      <w:r w:rsidRPr="00C922C7">
        <w:rPr>
          <w:szCs w:val="22"/>
        </w:rPr>
        <w:t xml:space="preserve">Over time, big governments tend to create sclerotic bureaucracies that crowd out employment in the private sector and lead to dependence on public transfers and public wages. Large public administrations can also produce organized interest groups keener on exploiting their powers for their own benefit than on facilitating a prosperous private sector (Olson 1982). Econometric results show a powerful inverse relationship in Europe between initial government size and subsequent growth, though not worldwide (Gill and Raiser, 2012). The results suggest that in Europe a 10 percentage point increase in initial government spending as a share of GDP is associated with a reduction in annual real per capita GDP growth of about 0.6–0.9 percentage points a year. </w:t>
      </w:r>
    </w:p>
    <w:p w:rsidR="0060585A" w:rsidRDefault="0060585A" w:rsidP="007C6E13">
      <w:pPr>
        <w:rPr>
          <w:sz w:val="22"/>
          <w:szCs w:val="22"/>
        </w:rPr>
      </w:pPr>
    </w:p>
    <w:tbl>
      <w:tblPr>
        <w:tblW w:w="0" w:type="auto"/>
        <w:tblLook w:val="00A0"/>
      </w:tblPr>
      <w:tblGrid>
        <w:gridCol w:w="4329"/>
        <w:gridCol w:w="5247"/>
      </w:tblGrid>
      <w:tr w:rsidR="0060585A" w:rsidRPr="00321D31" w:rsidTr="00321D31">
        <w:tc>
          <w:tcPr>
            <w:tcW w:w="4187" w:type="dxa"/>
          </w:tcPr>
          <w:p w:rsidR="0060585A" w:rsidRPr="00321D31" w:rsidRDefault="0060585A" w:rsidP="00321D31">
            <w:pPr>
              <w:pStyle w:val="Caption"/>
              <w:keepNext/>
              <w:keepLines/>
              <w:spacing w:before="60" w:after="60"/>
              <w:jc w:val="left"/>
              <w:rPr>
                <w:sz w:val="22"/>
                <w:szCs w:val="22"/>
              </w:rPr>
            </w:pPr>
            <w:r w:rsidRPr="00321D31">
              <w:rPr>
                <w:sz w:val="22"/>
                <w:szCs w:val="22"/>
              </w:rPr>
              <w:lastRenderedPageBreak/>
              <w:t xml:space="preserve">Figure 26. Composition of General Government Expenditures as a Share </w:t>
            </w:r>
            <w:r>
              <w:rPr>
                <w:sz w:val="22"/>
                <w:szCs w:val="22"/>
              </w:rPr>
              <w:br/>
            </w:r>
            <w:r w:rsidRPr="00321D31">
              <w:rPr>
                <w:sz w:val="22"/>
                <w:szCs w:val="22"/>
              </w:rPr>
              <w:t>of GDP, 2004– 2009 (Annual averages)</w:t>
            </w:r>
          </w:p>
        </w:tc>
        <w:tc>
          <w:tcPr>
            <w:tcW w:w="5389" w:type="dxa"/>
          </w:tcPr>
          <w:p w:rsidR="0060585A" w:rsidRPr="00321D31" w:rsidRDefault="0060585A" w:rsidP="00321D31">
            <w:pPr>
              <w:pStyle w:val="Caption"/>
              <w:keepNext/>
              <w:keepLines/>
              <w:spacing w:before="60" w:after="60"/>
              <w:jc w:val="left"/>
              <w:rPr>
                <w:sz w:val="22"/>
                <w:szCs w:val="22"/>
              </w:rPr>
            </w:pPr>
            <w:r w:rsidRPr="00321D31">
              <w:rPr>
                <w:sz w:val="22"/>
                <w:szCs w:val="22"/>
              </w:rPr>
              <w:t>Figure 27. Composition of General Government  Revenues, as a Share of GDP, 2004–2009 (Annual Averages)</w:t>
            </w:r>
          </w:p>
        </w:tc>
      </w:tr>
      <w:tr w:rsidR="0060585A" w:rsidRPr="00321D31" w:rsidTr="00321D31">
        <w:tc>
          <w:tcPr>
            <w:tcW w:w="4187" w:type="dxa"/>
          </w:tcPr>
          <w:p w:rsidR="0060585A" w:rsidRPr="00321D31" w:rsidRDefault="00A1042F" w:rsidP="00321D31">
            <w:pPr>
              <w:pStyle w:val="BYPERBasicParagraph"/>
              <w:keepNext/>
              <w:keepLines/>
              <w:spacing w:after="0" w:line="276" w:lineRule="auto"/>
              <w:rPr>
                <w:rFonts w:ascii="Times New Roman" w:hAnsi="Times New Roman"/>
                <w:color w:val="005BAB"/>
                <w:szCs w:val="24"/>
              </w:rPr>
            </w:pPr>
            <w:r>
              <w:rPr>
                <w:rFonts w:ascii="Times New Roman" w:hAnsi="Times New Roman"/>
                <w:noProof/>
                <w:color w:val="005BAB"/>
                <w:szCs w:val="24"/>
              </w:rPr>
              <w:drawing>
                <wp:inline distT="0" distB="0" distL="0" distR="0">
                  <wp:extent cx="2800350" cy="2819400"/>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7"/>
                          <a:srcRect/>
                          <a:stretch>
                            <a:fillRect/>
                          </a:stretch>
                        </pic:blipFill>
                        <pic:spPr bwMode="auto">
                          <a:xfrm>
                            <a:off x="0" y="0"/>
                            <a:ext cx="2800350" cy="2819400"/>
                          </a:xfrm>
                          <a:prstGeom prst="rect">
                            <a:avLst/>
                          </a:prstGeom>
                          <a:noFill/>
                          <a:ln w="9525">
                            <a:noFill/>
                            <a:miter lim="800000"/>
                            <a:headEnd/>
                            <a:tailEnd/>
                          </a:ln>
                        </pic:spPr>
                      </pic:pic>
                    </a:graphicData>
                  </a:graphic>
                </wp:inline>
              </w:drawing>
            </w:r>
          </w:p>
        </w:tc>
        <w:tc>
          <w:tcPr>
            <w:tcW w:w="5389" w:type="dxa"/>
          </w:tcPr>
          <w:p w:rsidR="0060585A" w:rsidRPr="00321D31" w:rsidRDefault="00A1042F" w:rsidP="00321D31">
            <w:pPr>
              <w:pStyle w:val="BYPERBasicParagraph"/>
              <w:keepNext/>
              <w:keepLines/>
              <w:spacing w:after="0" w:line="276" w:lineRule="auto"/>
              <w:rPr>
                <w:rFonts w:ascii="Times New Roman" w:hAnsi="Times New Roman"/>
                <w:color w:val="005BAB"/>
                <w:szCs w:val="24"/>
              </w:rPr>
            </w:pPr>
            <w:r>
              <w:rPr>
                <w:rFonts w:ascii="Times New Roman" w:hAnsi="Times New Roman"/>
                <w:noProof/>
                <w:szCs w:val="24"/>
              </w:rPr>
              <w:drawing>
                <wp:inline distT="0" distB="0" distL="0" distR="0">
                  <wp:extent cx="3429000" cy="300990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8"/>
                          <a:srcRect/>
                          <a:stretch>
                            <a:fillRect/>
                          </a:stretch>
                        </pic:blipFill>
                        <pic:spPr bwMode="auto">
                          <a:xfrm>
                            <a:off x="0" y="0"/>
                            <a:ext cx="3429000" cy="3009900"/>
                          </a:xfrm>
                          <a:prstGeom prst="rect">
                            <a:avLst/>
                          </a:prstGeom>
                          <a:noFill/>
                          <a:ln w="9525">
                            <a:noFill/>
                            <a:miter lim="800000"/>
                            <a:headEnd/>
                            <a:tailEnd/>
                          </a:ln>
                        </pic:spPr>
                      </pic:pic>
                    </a:graphicData>
                  </a:graphic>
                </wp:inline>
              </w:drawing>
            </w:r>
          </w:p>
        </w:tc>
      </w:tr>
      <w:tr w:rsidR="0060585A" w:rsidRPr="00321D31" w:rsidTr="00321D31">
        <w:tc>
          <w:tcPr>
            <w:tcW w:w="4187" w:type="dxa"/>
          </w:tcPr>
          <w:p w:rsidR="0060585A" w:rsidRPr="00321D31" w:rsidRDefault="0060585A" w:rsidP="00321D31">
            <w:pPr>
              <w:keepNext/>
              <w:spacing w:before="60" w:after="40"/>
              <w:rPr>
                <w:i/>
                <w:sz w:val="18"/>
                <w:szCs w:val="18"/>
              </w:rPr>
            </w:pPr>
            <w:r w:rsidRPr="00321D31">
              <w:rPr>
                <w:i/>
                <w:sz w:val="18"/>
                <w:szCs w:val="18"/>
              </w:rPr>
              <w:t xml:space="preserve">Source: </w:t>
            </w:r>
            <w:r w:rsidRPr="00321D31">
              <w:rPr>
                <w:sz w:val="18"/>
                <w:szCs w:val="18"/>
              </w:rPr>
              <w:t>Eurostat.</w:t>
            </w:r>
          </w:p>
        </w:tc>
        <w:tc>
          <w:tcPr>
            <w:tcW w:w="5389" w:type="dxa"/>
          </w:tcPr>
          <w:p w:rsidR="0060585A" w:rsidRPr="00321D31" w:rsidRDefault="0060585A" w:rsidP="00321D31">
            <w:pPr>
              <w:keepNext/>
              <w:spacing w:before="60" w:after="40"/>
              <w:rPr>
                <w:i/>
                <w:sz w:val="18"/>
                <w:szCs w:val="18"/>
              </w:rPr>
            </w:pPr>
            <w:r w:rsidRPr="00321D31">
              <w:rPr>
                <w:i/>
                <w:sz w:val="18"/>
                <w:szCs w:val="18"/>
              </w:rPr>
              <w:t xml:space="preserve">Source: </w:t>
            </w:r>
            <w:r w:rsidRPr="00321D31">
              <w:rPr>
                <w:sz w:val="18"/>
                <w:szCs w:val="18"/>
              </w:rPr>
              <w:t>Eurostat</w:t>
            </w:r>
            <w:r w:rsidRPr="00321D31">
              <w:rPr>
                <w:i/>
                <w:sz w:val="18"/>
                <w:szCs w:val="18"/>
              </w:rPr>
              <w:t>.</w:t>
            </w:r>
          </w:p>
        </w:tc>
      </w:tr>
    </w:tbl>
    <w:p w:rsidR="0060585A" w:rsidRDefault="0060585A" w:rsidP="00B56F2B">
      <w:pPr>
        <w:autoSpaceDE w:val="0"/>
        <w:autoSpaceDN w:val="0"/>
        <w:adjustRightInd w:val="0"/>
        <w:rPr>
          <w:b/>
          <w:sz w:val="22"/>
          <w:szCs w:val="22"/>
        </w:rPr>
      </w:pPr>
    </w:p>
    <w:p w:rsidR="0060585A" w:rsidRPr="00C922C7" w:rsidRDefault="0060585A" w:rsidP="00B56F2B">
      <w:pPr>
        <w:autoSpaceDE w:val="0"/>
        <w:autoSpaceDN w:val="0"/>
        <w:adjustRightInd w:val="0"/>
        <w:rPr>
          <w:szCs w:val="22"/>
        </w:rPr>
      </w:pPr>
    </w:p>
    <w:p w:rsidR="0060585A" w:rsidRPr="00C922C7" w:rsidRDefault="0060585A" w:rsidP="00B56F2B">
      <w:pPr>
        <w:autoSpaceDE w:val="0"/>
        <w:autoSpaceDN w:val="0"/>
        <w:adjustRightInd w:val="0"/>
        <w:rPr>
          <w:szCs w:val="22"/>
        </w:rPr>
      </w:pPr>
      <w:r w:rsidRPr="00C922C7">
        <w:rPr>
          <w:b/>
          <w:szCs w:val="22"/>
        </w:rPr>
        <w:t>EU11 governments are larger than other emerging countries outside Europe because social transfers are large, and the impact of transfers on growth is not as significant as that of spending on public investment or education.</w:t>
      </w:r>
      <w:r w:rsidRPr="00C922C7">
        <w:rPr>
          <w:szCs w:val="22"/>
        </w:rPr>
        <w:t xml:space="preserve"> Indeed, the regression results for Europe show that social transfers have a consistently negative effect on growth, even though the coefficients vary in size and significance. High social transfers might well be the negative link from government size to growth in Europe. </w:t>
      </w:r>
    </w:p>
    <w:p w:rsidR="0060585A" w:rsidRPr="00C922C7" w:rsidRDefault="0060585A" w:rsidP="00B56F2B">
      <w:pPr>
        <w:autoSpaceDE w:val="0"/>
        <w:autoSpaceDN w:val="0"/>
        <w:adjustRightInd w:val="0"/>
        <w:rPr>
          <w:szCs w:val="22"/>
        </w:rPr>
      </w:pPr>
    </w:p>
    <w:p w:rsidR="0060585A" w:rsidRPr="00C922C7" w:rsidRDefault="0060585A" w:rsidP="0014318F">
      <w:pPr>
        <w:autoSpaceDE w:val="0"/>
        <w:autoSpaceDN w:val="0"/>
        <w:adjustRightInd w:val="0"/>
        <w:rPr>
          <w:b/>
          <w:szCs w:val="22"/>
        </w:rPr>
      </w:pPr>
      <w:r w:rsidRPr="00C922C7">
        <w:rPr>
          <w:b/>
          <w:szCs w:val="22"/>
        </w:rPr>
        <w:t xml:space="preserve">But size is not the only feature of government that matters – what the government does also matters. </w:t>
      </w:r>
      <w:r w:rsidRPr="00C922C7">
        <w:rPr>
          <w:szCs w:val="22"/>
        </w:rPr>
        <w:t>The process of EU integration has helped improve the quality of government in EU11 by strengthening the rule of law (well-defined property rights and a functioning legal system), facilitating economic openness, and promoting voice and accountability. While full income convergence is likely to take decades, the EU11 countries have already successfully adopted EU law (Figure 28). Having a common body of law with EU countries has strengthened the rule of law in the post-Socialist countries and has helped policy reforms implemented over recent decades to strengthen public administration and public financial management.</w:t>
      </w:r>
      <w:r w:rsidRPr="00C922C7">
        <w:rPr>
          <w:b/>
          <w:szCs w:val="22"/>
        </w:rPr>
        <w:t xml:space="preserve"> </w:t>
      </w:r>
    </w:p>
    <w:p w:rsidR="0060585A" w:rsidRPr="00C922C7" w:rsidRDefault="0060585A" w:rsidP="0014318F">
      <w:pPr>
        <w:autoSpaceDE w:val="0"/>
        <w:autoSpaceDN w:val="0"/>
        <w:adjustRightInd w:val="0"/>
        <w:rPr>
          <w:b/>
          <w:szCs w:val="22"/>
        </w:rPr>
      </w:pPr>
    </w:p>
    <w:p w:rsidR="0060585A" w:rsidRPr="00C922C7" w:rsidRDefault="0060585A" w:rsidP="0014318F">
      <w:pPr>
        <w:autoSpaceDE w:val="0"/>
        <w:autoSpaceDN w:val="0"/>
        <w:adjustRightInd w:val="0"/>
      </w:pPr>
      <w:r w:rsidRPr="00C922C7">
        <w:rPr>
          <w:b/>
        </w:rPr>
        <w:t xml:space="preserve">However, the quality of institutions in EU11 remains weak relative to EU15: government quality declines from north to south and west to east. </w:t>
      </w:r>
      <w:r w:rsidRPr="00C922C7">
        <w:t xml:space="preserve">Even though EU11 per capita income is still only about three-quarters of EU15-South, the region matches the south on the government effectiveness indicator (Figure 29). While all EU11 countries have made considerable progress in building up their institutions, in certain aspect there are still </w:t>
      </w:r>
      <w:r w:rsidRPr="00C922C7">
        <w:lastRenderedPageBreak/>
        <w:t xml:space="preserve">gaps with EU15 countries (especially EU15-Continental and EU15-North). Estonia has made the most progress; its ranking in the Transparency International Corruption Perception index, on effectiveness of government is very close to EU15 levels. </w:t>
      </w:r>
    </w:p>
    <w:p w:rsidR="0060585A" w:rsidRPr="00C922C7" w:rsidRDefault="0060585A" w:rsidP="00B56F2B">
      <w:pPr>
        <w:autoSpaceDE w:val="0"/>
        <w:autoSpaceDN w:val="0"/>
        <w:adjustRightInd w:val="0"/>
      </w:pPr>
    </w:p>
    <w:p w:rsidR="0060585A" w:rsidRPr="00C922C7" w:rsidRDefault="0060585A" w:rsidP="0014318F">
      <w:pPr>
        <w:autoSpaceDE w:val="0"/>
        <w:autoSpaceDN w:val="0"/>
        <w:adjustRightInd w:val="0"/>
      </w:pPr>
      <w:r w:rsidRPr="00C922C7">
        <w:rPr>
          <w:b/>
        </w:rPr>
        <w:t xml:space="preserve">Moreover, there is considerable scope to make government spending more efficient in EU11 countries. </w:t>
      </w:r>
      <w:r w:rsidRPr="00C922C7">
        <w:t>Although assessing the efficiency of the public sector is always challenging due to difficulties in measuring government output, many studies have identified vast “efficiency reserves” in the public sector: there is considerable scope for saving by, e.g., moderating public wages and pensions or enforcing private contracts. Public Expenditure Reviews of several EU11 economies, conducted in recent years by the World Bank, found three main sources of inefficiency: (1) Governments are slow to adjust spending patterns, especially in education, to shifting demographic trends; (2) incentives for local governments to save are weak; and (3) governments have attempted to improve equity without properly evaluating policy outcomes. In many EU11 countries generous social assistance and other benefits are poorly targeted.</w:t>
      </w:r>
    </w:p>
    <w:p w:rsidR="0060585A" w:rsidRPr="00B56F2B" w:rsidRDefault="0060585A" w:rsidP="00B56F2B">
      <w:pPr>
        <w:autoSpaceDE w:val="0"/>
        <w:autoSpaceDN w:val="0"/>
        <w:adjustRightInd w:val="0"/>
        <w:rPr>
          <w:sz w:val="22"/>
          <w:szCs w:val="22"/>
        </w:rPr>
      </w:pPr>
    </w:p>
    <w:tbl>
      <w:tblPr>
        <w:tblW w:w="9600" w:type="dxa"/>
        <w:tblInd w:w="-12" w:type="dxa"/>
        <w:tblLook w:val="00A0"/>
      </w:tblPr>
      <w:tblGrid>
        <w:gridCol w:w="4446"/>
        <w:gridCol w:w="5154"/>
      </w:tblGrid>
      <w:tr w:rsidR="0060585A" w:rsidRPr="00321D31" w:rsidTr="002A4C0C">
        <w:tc>
          <w:tcPr>
            <w:tcW w:w="4440" w:type="dxa"/>
          </w:tcPr>
          <w:p w:rsidR="0060585A" w:rsidRPr="00321D31" w:rsidRDefault="0060585A" w:rsidP="002A4C0C">
            <w:pPr>
              <w:pStyle w:val="Caption"/>
              <w:keepNext/>
              <w:keepLines/>
              <w:jc w:val="left"/>
              <w:rPr>
                <w:sz w:val="22"/>
                <w:szCs w:val="22"/>
              </w:rPr>
            </w:pPr>
            <w:r w:rsidRPr="00321D31">
              <w:rPr>
                <w:sz w:val="22"/>
                <w:szCs w:val="22"/>
              </w:rPr>
              <w:t>Figure 28. Adoption of EU Law, 2009</w:t>
            </w:r>
          </w:p>
        </w:tc>
        <w:tc>
          <w:tcPr>
            <w:tcW w:w="5160" w:type="dxa"/>
          </w:tcPr>
          <w:p w:rsidR="0060585A" w:rsidRPr="00321D31" w:rsidRDefault="0060585A" w:rsidP="002A4C0C">
            <w:pPr>
              <w:pStyle w:val="Caption"/>
              <w:keepNext/>
              <w:keepLines/>
              <w:spacing w:before="60" w:after="60"/>
              <w:jc w:val="left"/>
              <w:rPr>
                <w:sz w:val="22"/>
                <w:szCs w:val="22"/>
              </w:rPr>
            </w:pPr>
            <w:r w:rsidRPr="00321D31">
              <w:rPr>
                <w:sz w:val="22"/>
                <w:szCs w:val="22"/>
              </w:rPr>
              <w:t>Figure 29. Worldwide Governance Indicators: Effectiveness of Government Score</w:t>
            </w:r>
          </w:p>
        </w:tc>
      </w:tr>
      <w:tr w:rsidR="0060585A" w:rsidRPr="00321D31" w:rsidTr="004D31F4">
        <w:tc>
          <w:tcPr>
            <w:tcW w:w="4440" w:type="dxa"/>
          </w:tcPr>
          <w:p w:rsidR="0060585A" w:rsidRPr="00321D31" w:rsidRDefault="00A1042F" w:rsidP="00321D31">
            <w:pPr>
              <w:autoSpaceDE w:val="0"/>
              <w:autoSpaceDN w:val="0"/>
              <w:adjustRightInd w:val="0"/>
              <w:rPr>
                <w:rFonts w:ascii="Times New Roman" w:hAnsi="Times New Roman"/>
              </w:rPr>
            </w:pPr>
            <w:r>
              <w:rPr>
                <w:rFonts w:ascii="Times New Roman" w:hAnsi="Times New Roman"/>
                <w:noProof/>
              </w:rPr>
              <w:drawing>
                <wp:inline distT="0" distB="0" distL="0" distR="0">
                  <wp:extent cx="2667000" cy="2609850"/>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9"/>
                          <a:srcRect/>
                          <a:stretch>
                            <a:fillRect/>
                          </a:stretch>
                        </pic:blipFill>
                        <pic:spPr bwMode="auto">
                          <a:xfrm>
                            <a:off x="0" y="0"/>
                            <a:ext cx="2667000" cy="2609850"/>
                          </a:xfrm>
                          <a:prstGeom prst="rect">
                            <a:avLst/>
                          </a:prstGeom>
                          <a:noFill/>
                          <a:ln w="9525">
                            <a:noFill/>
                            <a:miter lim="800000"/>
                            <a:headEnd/>
                            <a:tailEnd/>
                          </a:ln>
                        </pic:spPr>
                      </pic:pic>
                    </a:graphicData>
                  </a:graphic>
                </wp:inline>
              </w:drawing>
            </w:r>
          </w:p>
        </w:tc>
        <w:tc>
          <w:tcPr>
            <w:tcW w:w="5160" w:type="dxa"/>
          </w:tcPr>
          <w:p w:rsidR="0060585A" w:rsidRPr="00321D31" w:rsidRDefault="00A1042F" w:rsidP="00321D31">
            <w:pPr>
              <w:autoSpaceDE w:val="0"/>
              <w:autoSpaceDN w:val="0"/>
              <w:adjustRightInd w:val="0"/>
              <w:spacing w:line="276" w:lineRule="auto"/>
              <w:rPr>
                <w:rFonts w:ascii="Times New Roman" w:hAnsi="Times New Roman"/>
              </w:rPr>
            </w:pPr>
            <w:r>
              <w:rPr>
                <w:rFonts w:ascii="Times New Roman" w:hAnsi="Times New Roman"/>
                <w:noProof/>
              </w:rPr>
              <w:drawing>
                <wp:inline distT="0" distB="0" distL="0" distR="0">
                  <wp:extent cx="2990850" cy="2705100"/>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0"/>
                          <a:srcRect/>
                          <a:stretch>
                            <a:fillRect/>
                          </a:stretch>
                        </pic:blipFill>
                        <pic:spPr bwMode="auto">
                          <a:xfrm>
                            <a:off x="0" y="0"/>
                            <a:ext cx="2990850" cy="2705100"/>
                          </a:xfrm>
                          <a:prstGeom prst="rect">
                            <a:avLst/>
                          </a:prstGeom>
                          <a:noFill/>
                          <a:ln w="9525">
                            <a:noFill/>
                            <a:miter lim="800000"/>
                            <a:headEnd/>
                            <a:tailEnd/>
                          </a:ln>
                        </pic:spPr>
                      </pic:pic>
                    </a:graphicData>
                  </a:graphic>
                </wp:inline>
              </w:drawing>
            </w:r>
          </w:p>
        </w:tc>
      </w:tr>
      <w:tr w:rsidR="0060585A" w:rsidRPr="00321D31" w:rsidTr="004D31F4">
        <w:tc>
          <w:tcPr>
            <w:tcW w:w="4440" w:type="dxa"/>
          </w:tcPr>
          <w:p w:rsidR="0060585A" w:rsidRPr="00321D31" w:rsidRDefault="0060585A" w:rsidP="00321D31">
            <w:pPr>
              <w:keepNext/>
              <w:spacing w:before="60" w:after="40"/>
              <w:rPr>
                <w:i/>
                <w:sz w:val="18"/>
                <w:szCs w:val="18"/>
              </w:rPr>
            </w:pPr>
            <w:r w:rsidRPr="00321D31">
              <w:rPr>
                <w:i/>
                <w:sz w:val="18"/>
                <w:szCs w:val="18"/>
              </w:rPr>
              <w:t xml:space="preserve">Source: </w:t>
            </w:r>
            <w:r w:rsidRPr="00321D31">
              <w:rPr>
                <w:sz w:val="18"/>
                <w:szCs w:val="18"/>
              </w:rPr>
              <w:t>Eurostat.</w:t>
            </w:r>
            <w:r w:rsidRPr="00321D31">
              <w:rPr>
                <w:i/>
                <w:sz w:val="18"/>
                <w:szCs w:val="18"/>
              </w:rPr>
              <w:t xml:space="preserve"> </w:t>
            </w:r>
          </w:p>
          <w:p w:rsidR="0060585A" w:rsidRPr="00321D31" w:rsidRDefault="0060585A" w:rsidP="00321D31">
            <w:pPr>
              <w:keepNext/>
              <w:spacing w:before="60" w:after="40"/>
              <w:rPr>
                <w:i/>
                <w:sz w:val="18"/>
                <w:szCs w:val="18"/>
              </w:rPr>
            </w:pPr>
            <w:r w:rsidRPr="00321D31">
              <w:rPr>
                <w:i/>
                <w:sz w:val="18"/>
                <w:szCs w:val="18"/>
              </w:rPr>
              <w:t xml:space="preserve">Note: </w:t>
            </w:r>
            <w:r w:rsidRPr="00321D31">
              <w:rPr>
                <w:sz w:val="18"/>
                <w:szCs w:val="18"/>
              </w:rPr>
              <w:t>The indicators shows the ratio of directives for which measures of implementation have been notified by Member States divided by directives applicable on the reference date by Member States.</w:t>
            </w:r>
          </w:p>
        </w:tc>
        <w:tc>
          <w:tcPr>
            <w:tcW w:w="5160" w:type="dxa"/>
          </w:tcPr>
          <w:p w:rsidR="0060585A" w:rsidRPr="00321D31" w:rsidRDefault="0060585A" w:rsidP="00321D31">
            <w:pPr>
              <w:keepNext/>
              <w:spacing w:before="60" w:after="40"/>
              <w:rPr>
                <w:i/>
                <w:sz w:val="18"/>
                <w:szCs w:val="18"/>
              </w:rPr>
            </w:pPr>
            <w:r w:rsidRPr="00321D31">
              <w:rPr>
                <w:i/>
                <w:sz w:val="18"/>
                <w:szCs w:val="18"/>
              </w:rPr>
              <w:t xml:space="preserve">Source: </w:t>
            </w:r>
            <w:r w:rsidRPr="00321D31">
              <w:rPr>
                <w:sz w:val="18"/>
                <w:szCs w:val="18"/>
              </w:rPr>
              <w:t>Worldwide Governance Indicators.</w:t>
            </w:r>
          </w:p>
          <w:p w:rsidR="0060585A" w:rsidRPr="00321D31" w:rsidRDefault="0060585A" w:rsidP="00321D31">
            <w:pPr>
              <w:keepNext/>
              <w:spacing w:before="60" w:after="40"/>
              <w:rPr>
                <w:i/>
                <w:sz w:val="18"/>
                <w:szCs w:val="18"/>
              </w:rPr>
            </w:pPr>
            <w:r w:rsidRPr="00321D31">
              <w:rPr>
                <w:i/>
                <w:sz w:val="18"/>
                <w:szCs w:val="18"/>
              </w:rPr>
              <w:t xml:space="preserve">Note: </w:t>
            </w:r>
            <w:r w:rsidRPr="00321D31">
              <w:rPr>
                <w:sz w:val="18"/>
                <w:szCs w:val="18"/>
              </w:rPr>
              <w:t>Government Effectiveness (GE) – capturing perceptions of the quality of public services, the quality of the civil service and the degree of its independence from political pressures, the quality of policy formulation and implementation, and the credibility of the government's commitment to such policies.</w:t>
            </w:r>
          </w:p>
        </w:tc>
      </w:tr>
    </w:tbl>
    <w:p w:rsidR="0060585A" w:rsidRDefault="0060585A" w:rsidP="00B56F2B">
      <w:pPr>
        <w:autoSpaceDE w:val="0"/>
        <w:autoSpaceDN w:val="0"/>
        <w:adjustRightInd w:val="0"/>
        <w:rPr>
          <w:b/>
          <w:sz w:val="22"/>
          <w:szCs w:val="22"/>
        </w:rPr>
      </w:pPr>
    </w:p>
    <w:p w:rsidR="0060585A" w:rsidRDefault="0060585A" w:rsidP="00B56F2B">
      <w:pPr>
        <w:autoSpaceDE w:val="0"/>
        <w:autoSpaceDN w:val="0"/>
        <w:adjustRightInd w:val="0"/>
        <w:rPr>
          <w:szCs w:val="22"/>
        </w:rPr>
      </w:pPr>
      <w:r w:rsidRPr="00C922C7">
        <w:rPr>
          <w:b/>
          <w:szCs w:val="22"/>
        </w:rPr>
        <w:t xml:space="preserve">In the medium term the combination of large governments and inefficient spending will inevitably worsen the fiscal position, allowing debt to accumulate and becoming a drag on growth. </w:t>
      </w:r>
      <w:r w:rsidRPr="00C922C7">
        <w:rPr>
          <w:szCs w:val="22"/>
        </w:rPr>
        <w:t>Applying</w:t>
      </w:r>
      <w:r w:rsidRPr="00C922C7">
        <w:rPr>
          <w:b/>
          <w:szCs w:val="22"/>
        </w:rPr>
        <w:t xml:space="preserve"> </w:t>
      </w:r>
      <w:r w:rsidRPr="00C922C7">
        <w:rPr>
          <w:szCs w:val="22"/>
        </w:rPr>
        <w:t xml:space="preserve">lessons from other countries about what works, EU11 countries have significant scope to make the bureaucracy leaner, fiscal institutions more reliable, public services more competitive, and tax administration more effective; and to use electronic government to keep citizens better informed. Otherwise, large governments, </w:t>
      </w:r>
      <w:r w:rsidRPr="00C922C7">
        <w:rPr>
          <w:szCs w:val="22"/>
        </w:rPr>
        <w:lastRenderedPageBreak/>
        <w:t>moderating growth, weak institutions, and rapidly aging populations will cause large fiscal imbalances. During the crisis, deterioration in fiscal balances contributed more than 50 percent to increases in debt in EU11 countries. Post-crisis, while growth in public debt has slackened considerably, more than half of the ultimate increase was attributable to negative interest rate and growth difference (Figure 30). Because slow growth combined with the primary fiscal deficit will continue to push up EU11 public debt, fiscal consolidation must be a top priority for EU11 policy makers.</w:t>
      </w:r>
    </w:p>
    <w:p w:rsidR="00C922C7" w:rsidRPr="00C922C7" w:rsidRDefault="00C922C7" w:rsidP="00B56F2B">
      <w:pPr>
        <w:autoSpaceDE w:val="0"/>
        <w:autoSpaceDN w:val="0"/>
        <w:adjustRightInd w:val="0"/>
        <w:rPr>
          <w:szCs w:val="22"/>
        </w:rPr>
      </w:pPr>
    </w:p>
    <w:p w:rsidR="0060585A" w:rsidRPr="00EB1728" w:rsidRDefault="0060585A" w:rsidP="004D31F4">
      <w:pPr>
        <w:autoSpaceDE w:val="0"/>
        <w:autoSpaceDN w:val="0"/>
        <w:adjustRightInd w:val="0"/>
        <w:jc w:val="left"/>
        <w:rPr>
          <w:b/>
          <w:bCs/>
          <w:color w:val="4F81BD"/>
        </w:rPr>
      </w:pPr>
      <w:r w:rsidRPr="00EB1728">
        <w:rPr>
          <w:b/>
          <w:bCs/>
          <w:color w:val="4F81BD"/>
        </w:rPr>
        <w:t>Figure 30. Cumulative Changes in Public Debt and Causes, EU11 Countries (Percentage</w:t>
      </w:r>
      <w:r w:rsidRPr="00982556">
        <w:rPr>
          <w:rFonts w:ascii="Times New Roman" w:hAnsi="Times New Roman"/>
          <w:color w:val="005BAB"/>
        </w:rPr>
        <w:t xml:space="preserve"> </w:t>
      </w:r>
      <w:r w:rsidRPr="00EB1728">
        <w:rPr>
          <w:b/>
          <w:bCs/>
          <w:color w:val="4F81BD"/>
        </w:rPr>
        <w:t>points of GDP)</w:t>
      </w:r>
    </w:p>
    <w:p w:rsidR="0060585A" w:rsidRPr="00982556" w:rsidRDefault="00A1042F" w:rsidP="004D31F4">
      <w:pPr>
        <w:autoSpaceDE w:val="0"/>
        <w:autoSpaceDN w:val="0"/>
        <w:adjustRightInd w:val="0"/>
        <w:jc w:val="left"/>
        <w:rPr>
          <w:rFonts w:ascii="Times New Roman" w:hAnsi="Times New Roman"/>
          <w:b/>
        </w:rPr>
      </w:pPr>
      <w:r>
        <w:rPr>
          <w:noProof/>
        </w:rPr>
        <w:drawing>
          <wp:inline distT="0" distB="0" distL="0" distR="0">
            <wp:extent cx="3638550" cy="295275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1"/>
                    <a:srcRect/>
                    <a:stretch>
                      <a:fillRect/>
                    </a:stretch>
                  </pic:blipFill>
                  <pic:spPr bwMode="auto">
                    <a:xfrm>
                      <a:off x="0" y="0"/>
                      <a:ext cx="3638550" cy="2952750"/>
                    </a:xfrm>
                    <a:prstGeom prst="rect">
                      <a:avLst/>
                    </a:prstGeom>
                    <a:noFill/>
                    <a:ln w="9525">
                      <a:noFill/>
                      <a:miter lim="800000"/>
                      <a:headEnd/>
                      <a:tailEnd/>
                    </a:ln>
                  </pic:spPr>
                </pic:pic>
              </a:graphicData>
            </a:graphic>
          </wp:inline>
        </w:drawing>
      </w:r>
    </w:p>
    <w:p w:rsidR="0060585A" w:rsidRPr="00EB1728" w:rsidRDefault="0060585A" w:rsidP="004D31F4">
      <w:pPr>
        <w:keepNext/>
        <w:spacing w:before="60" w:after="40"/>
        <w:jc w:val="left"/>
        <w:rPr>
          <w:i/>
          <w:sz w:val="18"/>
          <w:szCs w:val="18"/>
        </w:rPr>
      </w:pPr>
      <w:r w:rsidRPr="00EB1728">
        <w:rPr>
          <w:i/>
          <w:sz w:val="18"/>
          <w:szCs w:val="18"/>
        </w:rPr>
        <w:t xml:space="preserve">Sources: </w:t>
      </w:r>
      <w:r w:rsidRPr="00FC0D33">
        <w:rPr>
          <w:sz w:val="18"/>
          <w:szCs w:val="18"/>
        </w:rPr>
        <w:t>Eurostat, EU11 member country conversion programs, World Bank staff estimates.</w:t>
      </w:r>
    </w:p>
    <w:p w:rsidR="0060585A" w:rsidRDefault="0060585A" w:rsidP="00AB7519">
      <w:pPr>
        <w:autoSpaceDE w:val="0"/>
        <w:autoSpaceDN w:val="0"/>
        <w:adjustRightInd w:val="0"/>
        <w:jc w:val="center"/>
        <w:rPr>
          <w:rFonts w:ascii="Times New Roman" w:hAnsi="Times New Roman"/>
          <w:sz w:val="20"/>
        </w:rPr>
      </w:pPr>
    </w:p>
    <w:p w:rsidR="0060585A" w:rsidRDefault="0060585A" w:rsidP="007C6E13">
      <w:pPr>
        <w:rPr>
          <w:rFonts w:ascii="Batang" w:eastAsia="Batang"/>
          <w:b/>
          <w:bCs/>
          <w:iCs/>
          <w:color w:val="4F81BD"/>
        </w:rPr>
      </w:pPr>
    </w:p>
    <w:p w:rsidR="0060585A" w:rsidRDefault="0060585A" w:rsidP="007C6E13">
      <w:pPr>
        <w:rPr>
          <w:rFonts w:ascii="Batang" w:eastAsia="Batang"/>
          <w:b/>
          <w:bCs/>
          <w:iCs/>
          <w:color w:val="4F81BD"/>
        </w:rPr>
      </w:pPr>
    </w:p>
    <w:p w:rsidR="0060585A" w:rsidRPr="005E38CA" w:rsidRDefault="00C922C7" w:rsidP="00861DDB">
      <w:pPr>
        <w:pStyle w:val="ChapterTitle"/>
      </w:pPr>
      <w:bookmarkStart w:id="75" w:name="_Toc328295603"/>
      <w:r>
        <w:br w:type="page"/>
      </w:r>
      <w:r w:rsidR="0060585A">
        <w:lastRenderedPageBreak/>
        <w:t>How</w:t>
      </w:r>
      <w:r w:rsidR="0060585A" w:rsidRPr="005E38CA">
        <w:t xml:space="preserve"> to Sustain Medium-term Growth in EU11?</w:t>
      </w:r>
      <w:bookmarkEnd w:id="75"/>
      <w:r w:rsidR="0060585A" w:rsidRPr="005E38CA">
        <w:t xml:space="preserve"> </w:t>
      </w:r>
    </w:p>
    <w:p w:rsidR="0060585A" w:rsidRPr="00C922C7" w:rsidRDefault="0060585A" w:rsidP="007C6E13">
      <w:pPr>
        <w:rPr>
          <w:szCs w:val="22"/>
        </w:rPr>
      </w:pPr>
      <w:r w:rsidRPr="00C922C7">
        <w:rPr>
          <w:szCs w:val="22"/>
        </w:rPr>
        <w:t>There are reasons to believe that convergence of EU11 income per capita to Western European levels will continue, but will proceed more slowly. Trade and financial integration have sped along at a spectacular pace in EU11 in the recent past, although trade in modern services and the integration of government bond and equity markets are somewhat behind. As in the rest of Europe, demographic developments will pose huge challenges for the sustainability of public finance in the EU11 economies. In the next several decades the EU11 labor force is expected to contract more than labor forces in the rest of the EU, making it even more urgent that countries in the region reform pension systems, change migration policy, and find incentives to attract talent to the region. Closing the gap with the rest of the EU in educational attainment levels and improving education quality might significantly soften the constraints imposed by the demographic threats and produce sizable returns in terms of additional income convergence.</w:t>
      </w:r>
    </w:p>
    <w:p w:rsidR="0060585A" w:rsidRPr="00C922C7" w:rsidRDefault="0060585A" w:rsidP="007C6E13">
      <w:pPr>
        <w:rPr>
          <w:szCs w:val="22"/>
        </w:rPr>
      </w:pPr>
    </w:p>
    <w:p w:rsidR="0060585A" w:rsidRPr="00B56F2B" w:rsidRDefault="0060585A" w:rsidP="00B8298B">
      <w:pPr>
        <w:autoSpaceDE w:val="0"/>
        <w:autoSpaceDN w:val="0"/>
        <w:adjustRightInd w:val="0"/>
        <w:rPr>
          <w:b/>
          <w:sz w:val="22"/>
          <w:szCs w:val="22"/>
        </w:rPr>
      </w:pPr>
      <w:r w:rsidRPr="00C922C7">
        <w:rPr>
          <w:szCs w:val="22"/>
        </w:rPr>
        <w:t xml:space="preserve">In spite of the good prospects of further income convergence to EU15, the lessons drawn from the recent growth experience in EU15-South bring to the forefront the latent risks in terms of constraints to sustainable medium-run economic growth. The analysis in this paper identifies certain areas where structural features that may be growth-hampering in EU11 economies resemble those of countries in EU15-South. The lessons learned from the EU15-South region should help EU11 countries to optimize reform policies in order to achieve further income growth. In this respect, measures to improve the business environment, the government quality and spending efficiency, all factors which have been claimed responsible for slowing economic growth in EU15-South, need to be prioritized in the policy agenda of the EU11 economies. In </w:t>
      </w:r>
      <w:r w:rsidRPr="00C922C7">
        <w:t>addition, further developing the institutional basis for fostering innovation activities should be given a privileged treatment as an instrument to achieve income convergence. This is more the case since the recent crisis has led to a divergent trend in innovation spending within the EU.</w:t>
      </w:r>
      <w:r w:rsidRPr="00B56F2B">
        <w:rPr>
          <w:sz w:val="22"/>
          <w:szCs w:val="22"/>
        </w:rPr>
        <w:t xml:space="preserve"> </w:t>
      </w:r>
    </w:p>
    <w:p w:rsidR="0060585A" w:rsidRPr="00AB7519" w:rsidRDefault="0060585A" w:rsidP="00AB7519">
      <w:pPr>
        <w:pStyle w:val="ChapterTitle"/>
      </w:pPr>
      <w:r>
        <w:rPr>
          <w:rFonts w:ascii="Times New Roman" w:hAnsi="Times New Roman"/>
          <w:b/>
        </w:rPr>
        <w:br w:type="page"/>
      </w:r>
      <w:bookmarkStart w:id="76" w:name="_Toc328295604"/>
      <w:r w:rsidRPr="00AB7519">
        <w:lastRenderedPageBreak/>
        <w:t>References</w:t>
      </w:r>
      <w:bookmarkEnd w:id="76"/>
      <w:r w:rsidRPr="00AB7519">
        <w:t xml:space="preserve"> </w:t>
      </w:r>
    </w:p>
    <w:p w:rsidR="0060585A" w:rsidRPr="00AB7519" w:rsidRDefault="0060585A" w:rsidP="007C6E13">
      <w:pPr>
        <w:ind w:left="706" w:hanging="706"/>
        <w:rPr>
          <w:szCs w:val="20"/>
        </w:rPr>
      </w:pPr>
      <w:r w:rsidRPr="00AB7519">
        <w:rPr>
          <w:szCs w:val="20"/>
        </w:rPr>
        <w:t xml:space="preserve">Almeida, R. 2007. “The Labor Market Effects of Foreign Owned Firms.” </w:t>
      </w:r>
      <w:r w:rsidRPr="00AB7519">
        <w:rPr>
          <w:i/>
          <w:szCs w:val="20"/>
        </w:rPr>
        <w:t>Journal of International  Economics,</w:t>
      </w:r>
      <w:r w:rsidRPr="00AB7519">
        <w:rPr>
          <w:szCs w:val="20"/>
        </w:rPr>
        <w:t xml:space="preserve"> 72: 75–96.</w:t>
      </w:r>
    </w:p>
    <w:p w:rsidR="0060585A" w:rsidRPr="00AB7519" w:rsidRDefault="0060585A" w:rsidP="007C6E13">
      <w:pPr>
        <w:ind w:left="706" w:hanging="706"/>
        <w:rPr>
          <w:szCs w:val="20"/>
        </w:rPr>
      </w:pPr>
      <w:r w:rsidRPr="00AB7519">
        <w:rPr>
          <w:szCs w:val="20"/>
        </w:rPr>
        <w:t xml:space="preserve">Archibugi, D. and a: Filippetti: 2011. “Is the Crisis Impairing The Convergence In Innovation Performance In Europe?” </w:t>
      </w:r>
      <w:r w:rsidRPr="00AB7519">
        <w:rPr>
          <w:i/>
          <w:szCs w:val="20"/>
        </w:rPr>
        <w:t>Journal of Common Market Studies</w:t>
      </w:r>
      <w:r w:rsidRPr="00AB7519">
        <w:rPr>
          <w:szCs w:val="20"/>
        </w:rPr>
        <w:t>, 49: 1153-1182.</w:t>
      </w:r>
    </w:p>
    <w:p w:rsidR="0060585A" w:rsidRPr="00AB7519" w:rsidRDefault="0060585A" w:rsidP="007C6E13">
      <w:pPr>
        <w:ind w:left="706" w:hanging="706"/>
        <w:rPr>
          <w:szCs w:val="20"/>
        </w:rPr>
      </w:pPr>
      <w:r w:rsidRPr="00AB7519">
        <w:rPr>
          <w:szCs w:val="20"/>
        </w:rPr>
        <w:t xml:space="preserve">Crespo Cuaresma, J., G. Doppelhofer,  and M. Feldkircher. 2009. “Economic Growth Determinants for European Regions: Is Central and Eastern Europe Different?” </w:t>
      </w:r>
      <w:r w:rsidRPr="00AB7519">
        <w:rPr>
          <w:i/>
          <w:szCs w:val="20"/>
        </w:rPr>
        <w:t>Focus on European Economic Integration</w:t>
      </w:r>
      <w:r w:rsidRPr="00AB7519">
        <w:rPr>
          <w:szCs w:val="20"/>
        </w:rPr>
        <w:t>, 3: 22–37.</w:t>
      </w:r>
    </w:p>
    <w:p w:rsidR="0060585A" w:rsidRPr="00AB7519" w:rsidRDefault="0060585A" w:rsidP="007C6E13">
      <w:pPr>
        <w:ind w:left="706" w:hanging="706"/>
        <w:rPr>
          <w:szCs w:val="20"/>
        </w:rPr>
      </w:pPr>
      <w:r w:rsidRPr="00AB7519">
        <w:rPr>
          <w:szCs w:val="20"/>
        </w:rPr>
        <w:t xml:space="preserve">Crespo Cuaresma, J., and M. Feldkircher . 2012. “Spatial Filtering, Model Uncertainty and the Speed of Income Convergence in Europe.” </w:t>
      </w:r>
      <w:r w:rsidRPr="00AB7519">
        <w:rPr>
          <w:i/>
          <w:szCs w:val="20"/>
        </w:rPr>
        <w:t>Journal of Applied Econometrics</w:t>
      </w:r>
      <w:r w:rsidRPr="00AB7519">
        <w:rPr>
          <w:szCs w:val="20"/>
        </w:rPr>
        <w:t>, forthcoming.</w:t>
      </w:r>
    </w:p>
    <w:p w:rsidR="0060585A" w:rsidRPr="00AB7519" w:rsidRDefault="0060585A" w:rsidP="007C6E13">
      <w:pPr>
        <w:ind w:left="706" w:hanging="706"/>
        <w:rPr>
          <w:szCs w:val="20"/>
        </w:rPr>
      </w:pPr>
      <w:r w:rsidRPr="00AB7519">
        <w:rPr>
          <w:szCs w:val="20"/>
        </w:rPr>
        <w:t xml:space="preserve">Crespo Cuaresma, J., M. Havettová, and M. Lábaj. 2012. “Income Convergence Prospects in Europe: Assessing the Role of Human Capital Dynamics.” Photocopy, Vienna University of Economics and Business and University of Economics in Bratislava. </w:t>
      </w:r>
    </w:p>
    <w:p w:rsidR="0060585A" w:rsidRPr="00AB7519" w:rsidRDefault="0060585A" w:rsidP="007C6E13">
      <w:pPr>
        <w:ind w:left="706" w:hanging="706"/>
        <w:rPr>
          <w:szCs w:val="20"/>
        </w:rPr>
      </w:pPr>
      <w:r w:rsidRPr="00AB7519">
        <w:rPr>
          <w:szCs w:val="20"/>
        </w:rPr>
        <w:t xml:space="preserve">Del Gatto, M., A. Di Liberto, and C. Petraglia. 2011.  “Measuring Productivity.” </w:t>
      </w:r>
      <w:r w:rsidRPr="00AB7519">
        <w:rPr>
          <w:i/>
          <w:szCs w:val="20"/>
        </w:rPr>
        <w:t>Journal of Economic Surveys,</w:t>
      </w:r>
      <w:r w:rsidRPr="00AB7519">
        <w:rPr>
          <w:szCs w:val="20"/>
        </w:rPr>
        <w:t xml:space="preserve"> 25: 952–1008. </w:t>
      </w:r>
    </w:p>
    <w:p w:rsidR="0060585A" w:rsidRPr="00AB7519" w:rsidRDefault="0060585A" w:rsidP="007C6E13">
      <w:pPr>
        <w:ind w:left="706" w:hanging="706"/>
        <w:rPr>
          <w:szCs w:val="20"/>
        </w:rPr>
      </w:pPr>
      <w:r w:rsidRPr="00AB7519">
        <w:rPr>
          <w:szCs w:val="20"/>
        </w:rPr>
        <w:t>Escribano, A., and J. L. Guasch. 2008. “Robust Methodology for Investment Climate Assessment on Productivity: Application to Investment Climate Surveys from Central America,” Working Paper # 08-19 (11). Madrid: Universidad Carlos III de Madrid.</w:t>
      </w:r>
    </w:p>
    <w:p w:rsidR="0060585A" w:rsidRPr="00AB7519" w:rsidRDefault="0060585A" w:rsidP="007C6E13">
      <w:pPr>
        <w:ind w:left="706" w:hanging="706"/>
        <w:rPr>
          <w:szCs w:val="20"/>
        </w:rPr>
      </w:pPr>
      <w:r w:rsidRPr="00AB7519">
        <w:rPr>
          <w:szCs w:val="20"/>
        </w:rPr>
        <w:t xml:space="preserve">Gill, Indermit, and Martin Raiser. 2012. </w:t>
      </w:r>
      <w:r w:rsidRPr="00AB7519">
        <w:rPr>
          <w:i/>
          <w:szCs w:val="20"/>
        </w:rPr>
        <w:t>Golden Growth: Restoring the Lustre of the European Economic Model</w:t>
      </w:r>
      <w:r w:rsidRPr="00AB7519">
        <w:rPr>
          <w:szCs w:val="20"/>
        </w:rPr>
        <w:t>. Washington D.C.: World Bank.</w:t>
      </w:r>
    </w:p>
    <w:p w:rsidR="0060585A" w:rsidRPr="00AB7519" w:rsidRDefault="0060585A" w:rsidP="007C6E13">
      <w:pPr>
        <w:ind w:left="706" w:hanging="706"/>
        <w:rPr>
          <w:szCs w:val="20"/>
        </w:rPr>
      </w:pPr>
      <w:r w:rsidRPr="00AB7519">
        <w:rPr>
          <w:szCs w:val="20"/>
        </w:rPr>
        <w:t xml:space="preserve">Harding, T., and B. S. Javorcik. 2011. “Roll Out the Red Carpet and They Will Come: Investment Promotion and FDI Inflows.” </w:t>
      </w:r>
      <w:r w:rsidRPr="00AB7519">
        <w:rPr>
          <w:i/>
          <w:szCs w:val="20"/>
        </w:rPr>
        <w:t xml:space="preserve">Economic Journal, </w:t>
      </w:r>
      <w:r w:rsidRPr="00AB7519">
        <w:rPr>
          <w:szCs w:val="20"/>
        </w:rPr>
        <w:t>121: 1445–76.</w:t>
      </w:r>
    </w:p>
    <w:p w:rsidR="0060585A" w:rsidRPr="00AB7519" w:rsidRDefault="0060585A" w:rsidP="007C6E13">
      <w:pPr>
        <w:ind w:left="706" w:hanging="706"/>
        <w:rPr>
          <w:szCs w:val="20"/>
        </w:rPr>
      </w:pPr>
      <w:r w:rsidRPr="00AB7519">
        <w:rPr>
          <w:szCs w:val="20"/>
        </w:rPr>
        <w:t xml:space="preserve">Hirose, K. (ed.) 2011. </w:t>
      </w:r>
      <w:r w:rsidRPr="00AB7519">
        <w:rPr>
          <w:i/>
          <w:szCs w:val="20"/>
        </w:rPr>
        <w:t>Pension Reform in Central and Eastern Europe in Times of Crisis, Austerity and Beyond</w:t>
      </w:r>
      <w:r w:rsidRPr="00AB7519">
        <w:rPr>
          <w:szCs w:val="20"/>
        </w:rPr>
        <w:t>. [Where?:) International Labor Organization.</w:t>
      </w:r>
    </w:p>
    <w:p w:rsidR="0060585A" w:rsidRPr="00AB7519" w:rsidRDefault="0060585A" w:rsidP="007C6E13">
      <w:pPr>
        <w:ind w:left="706" w:hanging="706"/>
        <w:rPr>
          <w:szCs w:val="20"/>
        </w:rPr>
      </w:pPr>
      <w:r w:rsidRPr="00AB7519">
        <w:rPr>
          <w:szCs w:val="20"/>
        </w:rPr>
        <w:t xml:space="preserve">Hlouskova, J., and M. Wagner. 2005. “CEEC Growth Projections: Certainly Necessary and Necessarily Uncertain.” </w:t>
      </w:r>
      <w:r w:rsidRPr="00AB7519">
        <w:rPr>
          <w:i/>
          <w:szCs w:val="20"/>
        </w:rPr>
        <w:t>The Economics of Transition</w:t>
      </w:r>
      <w:r w:rsidRPr="00AB7519">
        <w:rPr>
          <w:szCs w:val="20"/>
        </w:rPr>
        <w:t>, 13: 341–72.</w:t>
      </w:r>
    </w:p>
    <w:p w:rsidR="0060585A" w:rsidRPr="00AB7519" w:rsidRDefault="0060585A" w:rsidP="007C6E13">
      <w:pPr>
        <w:ind w:left="706" w:hanging="706"/>
        <w:rPr>
          <w:szCs w:val="20"/>
        </w:rPr>
      </w:pPr>
      <w:r w:rsidRPr="00AB7519">
        <w:rPr>
          <w:szCs w:val="20"/>
        </w:rPr>
        <w:t>Iara, A. 2008. “Skill Di</w:t>
      </w:r>
      <w:r w:rsidRPr="00AB7519">
        <w:rPr>
          <w:rFonts w:cs="Cambria Math"/>
          <w:szCs w:val="20"/>
        </w:rPr>
        <w:t>ﬀ</w:t>
      </w:r>
      <w:r w:rsidRPr="00AB7519">
        <w:rPr>
          <w:szCs w:val="20"/>
        </w:rPr>
        <w:t>usion by Temporary Migration? Returns to Western European Working Experience in EU-Accession Countries.” WIIW Working Paper No. 46. Vienna.</w:t>
      </w:r>
    </w:p>
    <w:p w:rsidR="0060585A" w:rsidRPr="00AB7519" w:rsidRDefault="0060585A" w:rsidP="007C6E13">
      <w:pPr>
        <w:ind w:left="706" w:hanging="706"/>
        <w:rPr>
          <w:szCs w:val="20"/>
        </w:rPr>
      </w:pPr>
      <w:r w:rsidRPr="00AB7519">
        <w:rPr>
          <w:szCs w:val="20"/>
        </w:rPr>
        <w:t xml:space="preserve">Kang, J.-K. 1993. “The International Market for Corporate Control: Mergers and Acquisitions of U.S. Firms by Japanese Firms.” </w:t>
      </w:r>
      <w:r w:rsidRPr="00AB7519">
        <w:rPr>
          <w:i/>
          <w:szCs w:val="20"/>
        </w:rPr>
        <w:t>Journal of Financial Economics</w:t>
      </w:r>
      <w:r w:rsidRPr="00AB7519">
        <w:rPr>
          <w:szCs w:val="20"/>
        </w:rPr>
        <w:t xml:space="preserve">, 34: 345–71. </w:t>
      </w:r>
    </w:p>
    <w:p w:rsidR="0060585A" w:rsidRPr="00AB7519" w:rsidRDefault="0060585A" w:rsidP="007C6E13">
      <w:pPr>
        <w:ind w:left="706" w:hanging="706"/>
        <w:rPr>
          <w:szCs w:val="20"/>
        </w:rPr>
      </w:pPr>
      <w:r w:rsidRPr="00AB7519">
        <w:rPr>
          <w:szCs w:val="20"/>
        </w:rPr>
        <w:t xml:space="preserve">KC  S., B. Barakat, A. Goujon, V. Skirbekk, W. Sanderson, and W. Lutz. 2010. “Projection of Populations by Level of Educational Attainment, Age, and Sex for 120 Countries for 2005–2050.” </w:t>
      </w:r>
      <w:r w:rsidRPr="00AB7519">
        <w:rPr>
          <w:i/>
          <w:szCs w:val="20"/>
        </w:rPr>
        <w:t xml:space="preserve">Demographic Research </w:t>
      </w:r>
      <w:r w:rsidRPr="00AB7519">
        <w:rPr>
          <w:szCs w:val="20"/>
        </w:rPr>
        <w:t xml:space="preserve">22: 383–472. </w:t>
      </w:r>
    </w:p>
    <w:p w:rsidR="0060585A" w:rsidRPr="00AB7519" w:rsidRDefault="0060585A" w:rsidP="007C6E13">
      <w:pPr>
        <w:ind w:left="706" w:hanging="706"/>
        <w:rPr>
          <w:szCs w:val="20"/>
        </w:rPr>
      </w:pPr>
      <w:r w:rsidRPr="00AB7519">
        <w:rPr>
          <w:szCs w:val="20"/>
        </w:rPr>
        <w:t xml:space="preserve">LeSage, J. P., and M. Fischer. 2008. “Spatial Growth Regressions, Model Specification, Estimation, and Interpretation.” </w:t>
      </w:r>
      <w:r w:rsidRPr="00AB7519">
        <w:rPr>
          <w:i/>
          <w:szCs w:val="20"/>
        </w:rPr>
        <w:t>Spatial Economic Analysis</w:t>
      </w:r>
      <w:r w:rsidRPr="00AB7519">
        <w:rPr>
          <w:szCs w:val="20"/>
        </w:rPr>
        <w:t>, 3: 275–304.</w:t>
      </w:r>
    </w:p>
    <w:p w:rsidR="0060585A" w:rsidRPr="00AB7519" w:rsidRDefault="0060585A" w:rsidP="007C6E13">
      <w:pPr>
        <w:ind w:left="706" w:hanging="706"/>
        <w:rPr>
          <w:szCs w:val="20"/>
        </w:rPr>
      </w:pPr>
      <w:r w:rsidRPr="00AB7519">
        <w:rPr>
          <w:szCs w:val="20"/>
        </w:rPr>
        <w:t>Loichinger, E. 2012. “Europe’s Future Human Capital: Population Projections by Age, Sex, Education and Labour Force Participation. Photocopy. Vienna University of Economics and Business.</w:t>
      </w:r>
    </w:p>
    <w:p w:rsidR="0060585A" w:rsidRPr="00AB7519" w:rsidRDefault="0060585A" w:rsidP="007C6E13">
      <w:pPr>
        <w:ind w:left="706" w:hanging="706"/>
        <w:rPr>
          <w:szCs w:val="20"/>
        </w:rPr>
      </w:pPr>
      <w:r w:rsidRPr="00AB7519">
        <w:rPr>
          <w:szCs w:val="20"/>
        </w:rPr>
        <w:lastRenderedPageBreak/>
        <w:t xml:space="preserve">Loungani, P., and A. Razin. 2001. “How Beneficial Is Foreign Direct Investment for Developing Countries?” </w:t>
      </w:r>
      <w:r w:rsidRPr="00AB7519">
        <w:rPr>
          <w:i/>
          <w:szCs w:val="20"/>
        </w:rPr>
        <w:t>Finance and Development</w:t>
      </w:r>
      <w:r w:rsidRPr="00AB7519">
        <w:rPr>
          <w:szCs w:val="20"/>
        </w:rPr>
        <w:t>, 38.</w:t>
      </w:r>
    </w:p>
    <w:p w:rsidR="0060585A" w:rsidRPr="00AB7519" w:rsidRDefault="0060585A" w:rsidP="007C6E13">
      <w:pPr>
        <w:ind w:left="706" w:hanging="706"/>
        <w:rPr>
          <w:szCs w:val="20"/>
        </w:rPr>
      </w:pPr>
      <w:r w:rsidRPr="00AB7519">
        <w:rPr>
          <w:szCs w:val="20"/>
        </w:rPr>
        <w:t xml:space="preserve">Mayr, K., and G. Peri (2009). “Brain Drain and Brain Return: Theory and Application to Eastern-Western Europe.” </w:t>
      </w:r>
      <w:r w:rsidRPr="00AB7519">
        <w:rPr>
          <w:i/>
          <w:szCs w:val="20"/>
        </w:rPr>
        <w:t>B.E. Journal of Economic Analysis &amp; Policy, Berkeley Electronic Press</w:t>
      </w:r>
      <w:r w:rsidRPr="00AB7519">
        <w:rPr>
          <w:szCs w:val="20"/>
        </w:rPr>
        <w:t>, 9: 49.</w:t>
      </w:r>
    </w:p>
    <w:p w:rsidR="0060585A" w:rsidRPr="00AB7519" w:rsidRDefault="0060585A" w:rsidP="007C6E13">
      <w:pPr>
        <w:ind w:left="706" w:hanging="706"/>
        <w:rPr>
          <w:szCs w:val="20"/>
        </w:rPr>
      </w:pPr>
      <w:r w:rsidRPr="00AB7519">
        <w:rPr>
          <w:szCs w:val="20"/>
        </w:rPr>
        <w:t>Pilat, P., A. Cimper, K. Olsen, and C. Webb. 2006, “The Changing Nature of Manufacturing in OECD Economies.” STI Working Paper 2006/9. Paris: OECD.</w:t>
      </w:r>
    </w:p>
    <w:p w:rsidR="0060585A" w:rsidRPr="00AB7519" w:rsidRDefault="0060585A" w:rsidP="007C6E13">
      <w:pPr>
        <w:ind w:left="706" w:hanging="706"/>
        <w:rPr>
          <w:szCs w:val="20"/>
        </w:rPr>
      </w:pPr>
      <w:r w:rsidRPr="00AB7519">
        <w:rPr>
          <w:szCs w:val="20"/>
        </w:rPr>
        <w:t xml:space="preserve">Uminski, S. 2001. “Foreign Capital in the Privatization Process of Poland.” </w:t>
      </w:r>
      <w:r w:rsidRPr="00AB7519">
        <w:rPr>
          <w:i/>
          <w:szCs w:val="20"/>
        </w:rPr>
        <w:t>Transnational Corporations</w:t>
      </w:r>
      <w:r w:rsidRPr="00AB7519">
        <w:rPr>
          <w:szCs w:val="20"/>
        </w:rPr>
        <w:t>, 10: 75–94.</w:t>
      </w:r>
    </w:p>
    <w:p w:rsidR="0060585A" w:rsidRPr="00AB7519" w:rsidRDefault="0060585A" w:rsidP="007C6E13">
      <w:pPr>
        <w:ind w:left="706" w:hanging="706"/>
        <w:rPr>
          <w:szCs w:val="20"/>
        </w:rPr>
      </w:pPr>
      <w:r w:rsidRPr="00AB7519">
        <w:rPr>
          <w:szCs w:val="20"/>
        </w:rPr>
        <w:t xml:space="preserve">Van Beveren, I. 2012. “Total Factor Productivity Estimation: A Practical Review.” </w:t>
      </w:r>
      <w:r w:rsidRPr="00AB7519">
        <w:rPr>
          <w:i/>
          <w:szCs w:val="20"/>
        </w:rPr>
        <w:t>Journal of Economic Surveys,</w:t>
      </w:r>
      <w:r w:rsidRPr="00AB7519">
        <w:rPr>
          <w:szCs w:val="20"/>
        </w:rPr>
        <w:t xml:space="preserve"> 26: 98–128. </w:t>
      </w:r>
    </w:p>
    <w:p w:rsidR="0060585A" w:rsidRPr="00AB7519" w:rsidRDefault="0060585A" w:rsidP="007C6E13">
      <w:pPr>
        <w:ind w:left="706" w:hanging="706"/>
        <w:rPr>
          <w:szCs w:val="20"/>
        </w:rPr>
      </w:pPr>
      <w:r w:rsidRPr="00AB7519">
        <w:rPr>
          <w:szCs w:val="20"/>
        </w:rPr>
        <w:t xml:space="preserve">World Bank. 2001. </w:t>
      </w:r>
      <w:r w:rsidRPr="00AB7519">
        <w:rPr>
          <w:i/>
          <w:szCs w:val="20"/>
        </w:rPr>
        <w:t>Global Development Finance: Building Coalitions for Effective Development Finance</w:t>
      </w:r>
      <w:r w:rsidRPr="00AB7519">
        <w:rPr>
          <w:szCs w:val="20"/>
        </w:rPr>
        <w:t xml:space="preserve">. Washington DC: World Bank. </w:t>
      </w:r>
    </w:p>
    <w:p w:rsidR="0060585A" w:rsidRPr="00AB7519" w:rsidRDefault="0060585A" w:rsidP="007C6E13">
      <w:pPr>
        <w:ind w:left="706" w:hanging="706"/>
        <w:rPr>
          <w:szCs w:val="20"/>
        </w:rPr>
      </w:pPr>
      <w:r w:rsidRPr="00AB7519">
        <w:rPr>
          <w:szCs w:val="20"/>
        </w:rPr>
        <w:t>World Bank. 2007</w:t>
      </w:r>
      <w:r w:rsidRPr="00AB7519">
        <w:rPr>
          <w:i/>
          <w:szCs w:val="20"/>
        </w:rPr>
        <w:t>. From Red to Grey. The “Third Transition” of Aging Populations in Eastern Europe and Former Soviet Union</w:t>
      </w:r>
      <w:r w:rsidRPr="00AB7519">
        <w:rPr>
          <w:szCs w:val="20"/>
        </w:rPr>
        <w:t>. Washington, DC: World Bank.</w:t>
      </w:r>
    </w:p>
    <w:p w:rsidR="0060585A" w:rsidRPr="00AB7519" w:rsidRDefault="0060585A" w:rsidP="007C6E13">
      <w:pPr>
        <w:ind w:left="706" w:hanging="706"/>
        <w:rPr>
          <w:szCs w:val="20"/>
        </w:rPr>
      </w:pPr>
      <w:r w:rsidRPr="00AB7519">
        <w:rPr>
          <w:szCs w:val="20"/>
        </w:rPr>
        <w:t>World Bank. 2009. “Pensions in Crisis: Europe and Central Asia Regional Policy Note.” Washington DC: World Bank.</w:t>
      </w:r>
    </w:p>
    <w:p w:rsidR="0060585A" w:rsidRPr="00AB7519" w:rsidRDefault="0060585A" w:rsidP="007C6E13">
      <w:pPr>
        <w:ind w:left="706" w:hanging="706"/>
        <w:rPr>
          <w:szCs w:val="20"/>
        </w:rPr>
      </w:pPr>
    </w:p>
    <w:p w:rsidR="0060585A" w:rsidRPr="00982556" w:rsidRDefault="0060585A" w:rsidP="007C6E13">
      <w:pPr>
        <w:ind w:left="706" w:hanging="706"/>
        <w:rPr>
          <w:rFonts w:ascii="Times New Roman" w:hAnsi="Times New Roman"/>
        </w:rPr>
      </w:pPr>
    </w:p>
    <w:p w:rsidR="0060585A" w:rsidRDefault="0060585A">
      <w:pPr>
        <w:spacing w:after="200" w:line="276" w:lineRule="auto"/>
        <w:jc w:val="left"/>
        <w:rPr>
          <w:rFonts w:ascii="ITCFranklinGothic LT Com MdCn" w:hAnsi="ITCFranklinGothic LT Com MdCn"/>
          <w:color w:val="005BAB"/>
          <w:sz w:val="48"/>
          <w:szCs w:val="22"/>
        </w:rPr>
      </w:pPr>
      <w:r>
        <w:br w:type="page"/>
      </w:r>
    </w:p>
    <w:p w:rsidR="0060585A" w:rsidRPr="00767CCD" w:rsidRDefault="0060585A" w:rsidP="00861DDB">
      <w:pPr>
        <w:pStyle w:val="ChapterTitle"/>
      </w:pPr>
      <w:bookmarkStart w:id="77" w:name="_Toc328295605"/>
      <w:r w:rsidRPr="00767CCD">
        <w:lastRenderedPageBreak/>
        <w:t>Annex 1</w:t>
      </w:r>
      <w:bookmarkEnd w:id="77"/>
      <w:r w:rsidRPr="00767CCD">
        <w:t xml:space="preserve"> </w:t>
      </w:r>
    </w:p>
    <w:p w:rsidR="0060585A" w:rsidRDefault="0060585A" w:rsidP="007C6E13">
      <w:pPr>
        <w:pStyle w:val="IntenseQuote"/>
      </w:pPr>
      <w:r w:rsidRPr="00982556">
        <w:t>Country Groupings</w:t>
      </w:r>
    </w:p>
    <w:p w:rsidR="0060585A" w:rsidRPr="00B56F2B" w:rsidRDefault="0060585A" w:rsidP="007C6E13">
      <w:pPr>
        <w:rPr>
          <w:sz w:val="20"/>
          <w:szCs w:val="20"/>
        </w:rPr>
      </w:pPr>
    </w:p>
    <w:p w:rsidR="0060585A" w:rsidRPr="00AB7519" w:rsidRDefault="0060585A" w:rsidP="007C6E13">
      <w:pPr>
        <w:rPr>
          <w:szCs w:val="20"/>
        </w:rPr>
      </w:pPr>
      <w:r w:rsidRPr="00AB7519">
        <w:rPr>
          <w:b/>
          <w:szCs w:val="20"/>
        </w:rPr>
        <w:t>EU11</w:t>
      </w:r>
      <w:r w:rsidRPr="00AB7519">
        <w:rPr>
          <w:szCs w:val="20"/>
        </w:rPr>
        <w:t>: Bulgaria, the Czech Republic, Croatia, Estonia, Hungary, Latvia, Lithuania, Poland, Romania, the Slovakia, and Slovenia.</w:t>
      </w:r>
    </w:p>
    <w:p w:rsidR="0060585A" w:rsidRPr="00AB7519" w:rsidRDefault="0060585A" w:rsidP="007C6E13">
      <w:pPr>
        <w:rPr>
          <w:szCs w:val="20"/>
        </w:rPr>
      </w:pPr>
    </w:p>
    <w:p w:rsidR="0060585A" w:rsidRPr="00AB7519" w:rsidRDefault="0060585A" w:rsidP="007C6E13">
      <w:pPr>
        <w:rPr>
          <w:szCs w:val="20"/>
        </w:rPr>
      </w:pPr>
      <w:r w:rsidRPr="00AB7519">
        <w:rPr>
          <w:b/>
          <w:szCs w:val="20"/>
        </w:rPr>
        <w:t>EU15</w:t>
      </w:r>
      <w:r w:rsidRPr="00AB7519">
        <w:rPr>
          <w:szCs w:val="20"/>
        </w:rPr>
        <w:t>: Austria, Belgium, Denmark, Finland, France, Germany, Greece, Ireland, Italy, Luxemburg, the Netherlands, Portugal, Spain, Sweden, and the United Kingdom</w:t>
      </w:r>
    </w:p>
    <w:p w:rsidR="0060585A" w:rsidRPr="00AB7519" w:rsidRDefault="0060585A" w:rsidP="007C6E13">
      <w:pPr>
        <w:rPr>
          <w:szCs w:val="20"/>
        </w:rPr>
      </w:pPr>
    </w:p>
    <w:p w:rsidR="0060585A" w:rsidRPr="00AB7519" w:rsidRDefault="0060585A" w:rsidP="007C6E13">
      <w:pPr>
        <w:rPr>
          <w:szCs w:val="20"/>
        </w:rPr>
      </w:pPr>
      <w:r w:rsidRPr="00AB7519">
        <w:rPr>
          <w:b/>
          <w:szCs w:val="20"/>
        </w:rPr>
        <w:t>EU15-South</w:t>
      </w:r>
      <w:r w:rsidRPr="00AB7519">
        <w:rPr>
          <w:szCs w:val="20"/>
        </w:rPr>
        <w:t>: Greece, Italy, Portugal, and Spain</w:t>
      </w:r>
    </w:p>
    <w:p w:rsidR="0060585A" w:rsidRPr="00AB7519" w:rsidRDefault="0060585A" w:rsidP="007C6E13">
      <w:pPr>
        <w:rPr>
          <w:b/>
          <w:szCs w:val="20"/>
        </w:rPr>
      </w:pPr>
    </w:p>
    <w:p w:rsidR="0060585A" w:rsidRPr="00AB7519" w:rsidRDefault="0060585A" w:rsidP="007C6E13">
      <w:pPr>
        <w:rPr>
          <w:szCs w:val="20"/>
        </w:rPr>
      </w:pPr>
      <w:r w:rsidRPr="00AB7519">
        <w:rPr>
          <w:b/>
          <w:szCs w:val="20"/>
        </w:rPr>
        <w:t>EU15-North</w:t>
      </w:r>
      <w:r w:rsidRPr="00AB7519">
        <w:rPr>
          <w:szCs w:val="20"/>
        </w:rPr>
        <w:t>: Denmark, Finland, Ireland, Sweden, and the United Kingdom</w:t>
      </w:r>
    </w:p>
    <w:p w:rsidR="0060585A" w:rsidRPr="00AB7519" w:rsidRDefault="0060585A" w:rsidP="007C6E13">
      <w:pPr>
        <w:rPr>
          <w:szCs w:val="20"/>
        </w:rPr>
      </w:pPr>
    </w:p>
    <w:p w:rsidR="0060585A" w:rsidRPr="00AB7519" w:rsidRDefault="0060585A" w:rsidP="007C6E13">
      <w:pPr>
        <w:rPr>
          <w:szCs w:val="20"/>
        </w:rPr>
      </w:pPr>
      <w:r w:rsidRPr="00AB7519">
        <w:rPr>
          <w:b/>
          <w:szCs w:val="20"/>
        </w:rPr>
        <w:t>EU15-Continental</w:t>
      </w:r>
      <w:r w:rsidRPr="00AB7519">
        <w:rPr>
          <w:szCs w:val="20"/>
        </w:rPr>
        <w:t>: Austria, Belgium, France, Germany, Luxemburg, and the Netherlands</w:t>
      </w:r>
    </w:p>
    <w:p w:rsidR="0060585A" w:rsidRPr="00AB7519" w:rsidRDefault="0060585A" w:rsidP="007C6E13">
      <w:pPr>
        <w:rPr>
          <w:rFonts w:ascii="Times New Roman" w:hAnsi="Times New Roman"/>
          <w:sz w:val="32"/>
        </w:rPr>
      </w:pPr>
    </w:p>
    <w:p w:rsidR="0060585A" w:rsidRDefault="0060585A" w:rsidP="007C6E13">
      <w:pPr>
        <w:rPr>
          <w:rFonts w:ascii="Times New Roman" w:hAnsi="Times New Roman"/>
        </w:rPr>
      </w:pPr>
      <w:r>
        <w:rPr>
          <w:rFonts w:ascii="Times New Roman" w:hAnsi="Times New Roman"/>
        </w:rPr>
        <w:br w:type="page"/>
      </w:r>
    </w:p>
    <w:p w:rsidR="0060585A" w:rsidRPr="00767CCD" w:rsidRDefault="0060585A" w:rsidP="00861DDB">
      <w:pPr>
        <w:pStyle w:val="ChapterTitle"/>
      </w:pPr>
      <w:bookmarkStart w:id="78" w:name="_Toc328295606"/>
      <w:r w:rsidRPr="00767CCD">
        <w:lastRenderedPageBreak/>
        <w:t>Annex 2</w:t>
      </w:r>
      <w:bookmarkEnd w:id="78"/>
    </w:p>
    <w:p w:rsidR="0060585A" w:rsidRPr="00244D32" w:rsidRDefault="0060585A" w:rsidP="007C6E13">
      <w:pPr>
        <w:pStyle w:val="IntenseQuote"/>
      </w:pPr>
      <w:r w:rsidRPr="00244D32">
        <w:t xml:space="preserve">The scale of the demographic </w:t>
      </w:r>
      <w:r>
        <w:t>challenges in EU11</w:t>
      </w:r>
      <w:r>
        <w:rPr>
          <w:rStyle w:val="FootnoteReference"/>
        </w:rPr>
        <w:footnoteReference w:id="27"/>
      </w:r>
    </w:p>
    <w:p w:rsidR="0060585A" w:rsidRPr="00F53D8E" w:rsidRDefault="0060585A" w:rsidP="007C6E13"/>
    <w:p w:rsidR="0060585A" w:rsidRDefault="0060585A" w:rsidP="007C6E13">
      <w:r w:rsidRPr="00F53D8E">
        <w:rPr>
          <w:b/>
        </w:rPr>
        <w:t>The EU11’s population has declined and aged in the past two decades</w:t>
      </w:r>
      <w:r w:rsidRPr="00F53D8E">
        <w:t xml:space="preserve">. The EU11’s population fell from around 106 million people in 1990 to 102 million in 2010. In addition, the age structure of the population in the region has changed towards a larger proportion of the population in older age groups now than two decades ago (Fig 1). Between 1990 and 2010, the share of the population aged 60 and over increased from 9.1 to 12.3 percent. The share of the population aged 80 and over currently accounts for about 4 percent of total. Two key factors drove this change: the large decline in fertility rates (Fig 2) and the fast raising life expectancy (Fig 4). Life expectancy at birth has increased markedly over the last two decades, to about 75 from about 70 in 1990. </w:t>
      </w:r>
    </w:p>
    <w:p w:rsidR="0060585A" w:rsidRPr="00F53D8E" w:rsidRDefault="0060585A" w:rsidP="007C6E13"/>
    <w:p w:rsidR="0060585A" w:rsidRDefault="0060585A" w:rsidP="007C6E13">
      <w:r w:rsidRPr="00F53D8E">
        <w:rPr>
          <w:b/>
        </w:rPr>
        <w:t>The phenomenon of population aging is not uniform across countries.</w:t>
      </w:r>
      <w:r w:rsidRPr="00F53D8E">
        <w:t xml:space="preserve"> Between 1990 and 2010, the EU11 population was aging fastest in Slovenia, which showed 6 percentage point increase in the share of people aged 60 and over. In contrast, in Slovakia the change in the share of the old age population was the smallest. In Bulgaria, Latvia, Croatia and Estonia more than 17 percent of the population is over age 60 today ().</w:t>
      </w:r>
    </w:p>
    <w:p w:rsidR="0060585A" w:rsidRPr="00F53D8E" w:rsidRDefault="0060585A" w:rsidP="007C6E13"/>
    <w:tbl>
      <w:tblPr>
        <w:tblW w:w="9798" w:type="dxa"/>
        <w:tblLook w:val="00A0"/>
      </w:tblPr>
      <w:tblGrid>
        <w:gridCol w:w="4899"/>
        <w:gridCol w:w="4899"/>
      </w:tblGrid>
      <w:tr w:rsidR="0060585A" w:rsidRPr="00321D31" w:rsidTr="00321D31">
        <w:tc>
          <w:tcPr>
            <w:tcW w:w="4899" w:type="dxa"/>
          </w:tcPr>
          <w:p w:rsidR="0060585A" w:rsidRPr="00321D31" w:rsidRDefault="0060585A" w:rsidP="004D31F4">
            <w:pPr>
              <w:autoSpaceDE w:val="0"/>
              <w:autoSpaceDN w:val="0"/>
              <w:adjustRightInd w:val="0"/>
              <w:spacing w:line="276" w:lineRule="auto"/>
              <w:jc w:val="left"/>
              <w:rPr>
                <w:b/>
                <w:bCs/>
                <w:color w:val="4F81BD"/>
              </w:rPr>
            </w:pPr>
            <w:r w:rsidRPr="00321D31">
              <w:rPr>
                <w:b/>
                <w:bCs/>
                <w:color w:val="4F81BD"/>
              </w:rPr>
              <w:t xml:space="preserve">Figure </w:t>
            </w:r>
            <w:r w:rsidR="00185C05" w:rsidRPr="00321D31">
              <w:rPr>
                <w:b/>
                <w:bCs/>
                <w:color w:val="4F81BD"/>
              </w:rPr>
              <w:fldChar w:fldCharType="begin"/>
            </w:r>
            <w:r w:rsidRPr="00321D31">
              <w:rPr>
                <w:b/>
                <w:bCs/>
                <w:color w:val="4F81BD"/>
              </w:rPr>
              <w:instrText xml:space="preserve"> SEQ Figure \* ARABIC </w:instrText>
            </w:r>
            <w:r w:rsidR="00185C05" w:rsidRPr="00321D31">
              <w:rPr>
                <w:b/>
                <w:bCs/>
                <w:color w:val="4F81BD"/>
              </w:rPr>
              <w:fldChar w:fldCharType="separate"/>
            </w:r>
            <w:r w:rsidRPr="00321D31">
              <w:rPr>
                <w:b/>
                <w:bCs/>
                <w:noProof/>
                <w:color w:val="4F81BD"/>
              </w:rPr>
              <w:t>62</w:t>
            </w:r>
            <w:r w:rsidR="00185C05" w:rsidRPr="00321D31">
              <w:rPr>
                <w:b/>
                <w:bCs/>
                <w:color w:val="4F81BD"/>
              </w:rPr>
              <w:fldChar w:fldCharType="end"/>
            </w:r>
            <w:r w:rsidRPr="00321D31">
              <w:rPr>
                <w:b/>
                <w:bCs/>
                <w:color w:val="4F81BD"/>
              </w:rPr>
              <w:t>. Total fertility rate, (live births per woman), 1990, 2000,2009</w:t>
            </w:r>
          </w:p>
        </w:tc>
        <w:tc>
          <w:tcPr>
            <w:tcW w:w="4899" w:type="dxa"/>
          </w:tcPr>
          <w:p w:rsidR="0060585A" w:rsidRPr="00321D31" w:rsidRDefault="0060585A" w:rsidP="004D31F4">
            <w:pPr>
              <w:autoSpaceDE w:val="0"/>
              <w:autoSpaceDN w:val="0"/>
              <w:adjustRightInd w:val="0"/>
              <w:jc w:val="left"/>
              <w:rPr>
                <w:b/>
                <w:bCs/>
                <w:color w:val="4F81BD"/>
              </w:rPr>
            </w:pPr>
            <w:r w:rsidRPr="00321D31">
              <w:rPr>
                <w:b/>
                <w:bCs/>
                <w:color w:val="4F81BD"/>
              </w:rPr>
              <w:t xml:space="preserve">Figure </w:t>
            </w:r>
            <w:r w:rsidR="00185C05" w:rsidRPr="00321D31">
              <w:rPr>
                <w:b/>
                <w:bCs/>
                <w:color w:val="4F81BD"/>
              </w:rPr>
              <w:fldChar w:fldCharType="begin"/>
            </w:r>
            <w:r w:rsidRPr="00321D31">
              <w:rPr>
                <w:b/>
                <w:bCs/>
                <w:color w:val="4F81BD"/>
              </w:rPr>
              <w:instrText xml:space="preserve"> SEQ Figure \* ARABIC </w:instrText>
            </w:r>
            <w:r w:rsidR="00185C05" w:rsidRPr="00321D31">
              <w:rPr>
                <w:b/>
                <w:bCs/>
                <w:color w:val="4F81BD"/>
              </w:rPr>
              <w:fldChar w:fldCharType="separate"/>
            </w:r>
            <w:r w:rsidRPr="00321D31">
              <w:rPr>
                <w:b/>
                <w:bCs/>
                <w:noProof/>
                <w:color w:val="4F81BD"/>
              </w:rPr>
              <w:t>63</w:t>
            </w:r>
            <w:r w:rsidR="00185C05" w:rsidRPr="00321D31">
              <w:rPr>
                <w:b/>
                <w:bCs/>
                <w:color w:val="4F81BD"/>
              </w:rPr>
              <w:fldChar w:fldCharType="end"/>
            </w:r>
            <w:r w:rsidRPr="00321D31">
              <w:rPr>
                <w:b/>
                <w:bCs/>
                <w:color w:val="4F81BD"/>
              </w:rPr>
              <w:t>. Life expectancy at birth</w:t>
            </w:r>
          </w:p>
        </w:tc>
      </w:tr>
      <w:tr w:rsidR="0060585A" w:rsidRPr="00321D31" w:rsidTr="00321D31">
        <w:tc>
          <w:tcPr>
            <w:tcW w:w="4899" w:type="dxa"/>
          </w:tcPr>
          <w:p w:rsidR="0060585A" w:rsidRPr="00321D31" w:rsidRDefault="00A1042F" w:rsidP="007C6E13">
            <w:r>
              <w:rPr>
                <w:noProof/>
              </w:rPr>
              <w:drawing>
                <wp:inline distT="0" distB="0" distL="0" distR="0">
                  <wp:extent cx="2895600" cy="2076450"/>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2"/>
                          <a:srcRect/>
                          <a:stretch>
                            <a:fillRect/>
                          </a:stretch>
                        </pic:blipFill>
                        <pic:spPr bwMode="auto">
                          <a:xfrm>
                            <a:off x="0" y="0"/>
                            <a:ext cx="2895600" cy="2076450"/>
                          </a:xfrm>
                          <a:prstGeom prst="rect">
                            <a:avLst/>
                          </a:prstGeom>
                          <a:noFill/>
                          <a:ln w="9525">
                            <a:noFill/>
                            <a:miter lim="800000"/>
                            <a:headEnd/>
                            <a:tailEnd/>
                          </a:ln>
                        </pic:spPr>
                      </pic:pic>
                    </a:graphicData>
                  </a:graphic>
                </wp:inline>
              </w:drawing>
            </w:r>
          </w:p>
        </w:tc>
        <w:tc>
          <w:tcPr>
            <w:tcW w:w="4899" w:type="dxa"/>
          </w:tcPr>
          <w:p w:rsidR="0060585A" w:rsidRPr="00321D31" w:rsidRDefault="00A1042F" w:rsidP="00321D31">
            <w:pPr>
              <w:keepNext/>
            </w:pPr>
            <w:r>
              <w:rPr>
                <w:noProof/>
              </w:rPr>
              <w:drawing>
                <wp:inline distT="0" distB="0" distL="0" distR="0">
                  <wp:extent cx="2609850" cy="2057400"/>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3"/>
                          <a:srcRect/>
                          <a:stretch>
                            <a:fillRect/>
                          </a:stretch>
                        </pic:blipFill>
                        <pic:spPr bwMode="auto">
                          <a:xfrm>
                            <a:off x="0" y="0"/>
                            <a:ext cx="2609850" cy="2057400"/>
                          </a:xfrm>
                          <a:prstGeom prst="rect">
                            <a:avLst/>
                          </a:prstGeom>
                          <a:noFill/>
                          <a:ln w="9525">
                            <a:noFill/>
                            <a:miter lim="800000"/>
                            <a:headEnd/>
                            <a:tailEnd/>
                          </a:ln>
                        </pic:spPr>
                      </pic:pic>
                    </a:graphicData>
                  </a:graphic>
                </wp:inline>
              </w:drawing>
            </w:r>
          </w:p>
        </w:tc>
      </w:tr>
    </w:tbl>
    <w:p w:rsidR="0060585A" w:rsidRPr="00F53D8E" w:rsidRDefault="0060585A" w:rsidP="007C6E13">
      <w:pPr>
        <w:rPr>
          <w:sz w:val="20"/>
        </w:rPr>
      </w:pPr>
      <w:r w:rsidRPr="00F53D8E">
        <w:rPr>
          <w:i/>
          <w:sz w:val="20"/>
        </w:rPr>
        <w:t>Source</w:t>
      </w:r>
      <w:r w:rsidRPr="003D799F">
        <w:rPr>
          <w:i/>
          <w:sz w:val="20"/>
        </w:rPr>
        <w:t>: Active ageing and solidarity between generations, Eurostat</w:t>
      </w:r>
    </w:p>
    <w:p w:rsidR="0060585A" w:rsidRPr="00F53D8E" w:rsidRDefault="0060585A" w:rsidP="007C6E13"/>
    <w:p w:rsidR="0060585A" w:rsidRPr="00F53D8E" w:rsidRDefault="0060585A" w:rsidP="007C6E13">
      <w:r w:rsidRPr="00F53D8E">
        <w:rPr>
          <w:b/>
        </w:rPr>
        <w:t>Looking ahead, the EU11 countries will be aging fast with unprecedented changes in the size and structure of its population</w:t>
      </w:r>
      <w:r w:rsidRPr="00F53D8E">
        <w:t xml:space="preserve"> (see </w:t>
      </w:r>
      <w:fldSimple w:instr=" REF _Ref325706216 \h  \* MERGEFORMAT ">
        <w:r w:rsidRPr="005D6031">
          <w:t>Figure 64</w:t>
        </w:r>
      </w:fldSimple>
      <w:r w:rsidRPr="00F53D8E">
        <w:t xml:space="preserve">, </w:t>
      </w:r>
      <w:fldSimple w:instr=" REF _Ref325706305 \h  \* MERGEFORMAT ">
        <w:r w:rsidRPr="005D6031">
          <w:t>Figure 65</w:t>
        </w:r>
      </w:fldSimple>
      <w:r w:rsidRPr="00F53D8E">
        <w:t xml:space="preserve">).  The overall EU11 </w:t>
      </w:r>
      <w:r w:rsidRPr="00F53D8E">
        <w:lastRenderedPageBreak/>
        <w:t>population is projected to fall by about 15 percent between 2010 and 2060 due to three factors:</w:t>
      </w:r>
    </w:p>
    <w:p w:rsidR="0060585A" w:rsidRPr="00F53D8E" w:rsidRDefault="0060585A" w:rsidP="007C6E13">
      <w:pPr>
        <w:pStyle w:val="ListParagraph"/>
        <w:numPr>
          <w:ilvl w:val="0"/>
          <w:numId w:val="44"/>
        </w:numPr>
        <w:spacing w:line="276" w:lineRule="auto"/>
      </w:pPr>
      <w:r w:rsidRPr="00F53D8E">
        <w:t>Although the EU11 fertility rate is expected to reach 1.6 in 2060, it will be well below the natural replacement rate. It will also be significantly lower than the aver</w:t>
      </w:r>
      <w:r>
        <w:t>age fertility rate for the EU15</w:t>
      </w:r>
      <w:r w:rsidRPr="00F53D8E">
        <w:t xml:space="preserve">. </w:t>
      </w:r>
    </w:p>
    <w:p w:rsidR="0060585A" w:rsidRPr="00F53D8E" w:rsidRDefault="0060585A" w:rsidP="007C6E13">
      <w:pPr>
        <w:pStyle w:val="ListParagraph"/>
        <w:numPr>
          <w:ilvl w:val="0"/>
          <w:numId w:val="44"/>
        </w:numPr>
        <w:spacing w:line="276" w:lineRule="auto"/>
      </w:pPr>
      <w:r w:rsidRPr="00F53D8E">
        <w:t xml:space="preserve">Between 2010 and 2060, the EU11 countries will experience only limited migration net inflows. Migration flows are hard to predict, but in the absence of major policy changes, they are unlikely to reverse the overall demographic pattern. </w:t>
      </w:r>
    </w:p>
    <w:p w:rsidR="0060585A" w:rsidRPr="00F53D8E" w:rsidRDefault="0060585A" w:rsidP="007C6E13">
      <w:pPr>
        <w:pStyle w:val="ListParagraph"/>
        <w:numPr>
          <w:ilvl w:val="0"/>
          <w:numId w:val="44"/>
        </w:numPr>
        <w:spacing w:line="276" w:lineRule="auto"/>
      </w:pPr>
      <w:r w:rsidRPr="00F53D8E">
        <w:t>Life expectancy is projected to continue to increase by about 1.5 year each decade, which is very similar pace to the rest of EU. According to the EC Aging Report, life expectancy at age 65 in the EU11 will continue to rise in the coming decades, reaching about 20 years for men and 25 years for women by 2060.</w:t>
      </w:r>
    </w:p>
    <w:tbl>
      <w:tblPr>
        <w:tblW w:w="9798" w:type="dxa"/>
        <w:tblLook w:val="00A0"/>
      </w:tblPr>
      <w:tblGrid>
        <w:gridCol w:w="9798"/>
      </w:tblGrid>
      <w:tr w:rsidR="0060585A" w:rsidRPr="00321D31" w:rsidTr="00321D31">
        <w:tc>
          <w:tcPr>
            <w:tcW w:w="9798" w:type="dxa"/>
          </w:tcPr>
          <w:p w:rsidR="0060585A" w:rsidRPr="00321D31" w:rsidRDefault="0060585A" w:rsidP="00321D31">
            <w:pPr>
              <w:autoSpaceDE w:val="0"/>
              <w:autoSpaceDN w:val="0"/>
              <w:adjustRightInd w:val="0"/>
              <w:spacing w:line="276" w:lineRule="auto"/>
              <w:rPr>
                <w:b/>
                <w:bCs/>
                <w:color w:val="4F81BD"/>
              </w:rPr>
            </w:pPr>
          </w:p>
          <w:tbl>
            <w:tblPr>
              <w:tblW w:w="0" w:type="auto"/>
              <w:tblLook w:val="00A0"/>
            </w:tblPr>
            <w:tblGrid>
              <w:gridCol w:w="4938"/>
              <w:gridCol w:w="4644"/>
            </w:tblGrid>
            <w:tr w:rsidR="0060585A" w:rsidRPr="00321D31" w:rsidTr="00321D31">
              <w:tc>
                <w:tcPr>
                  <w:tcW w:w="4938" w:type="dxa"/>
                </w:tcPr>
                <w:p w:rsidR="0060585A" w:rsidRPr="00321D31" w:rsidRDefault="0060585A" w:rsidP="004D31F4">
                  <w:pPr>
                    <w:autoSpaceDE w:val="0"/>
                    <w:autoSpaceDN w:val="0"/>
                    <w:adjustRightInd w:val="0"/>
                    <w:spacing w:line="276" w:lineRule="auto"/>
                    <w:jc w:val="left"/>
                    <w:rPr>
                      <w:b/>
                      <w:bCs/>
                      <w:color w:val="4F81BD"/>
                    </w:rPr>
                  </w:pPr>
                  <w:bookmarkStart w:id="79" w:name="_Ref325706216"/>
                  <w:r w:rsidRPr="00321D31">
                    <w:rPr>
                      <w:b/>
                      <w:bCs/>
                      <w:color w:val="4F81BD"/>
                    </w:rPr>
                    <w:t xml:space="preserve">Figure </w:t>
                  </w:r>
                  <w:r w:rsidR="00185C05" w:rsidRPr="00321D31">
                    <w:rPr>
                      <w:b/>
                      <w:bCs/>
                      <w:color w:val="4F81BD"/>
                    </w:rPr>
                    <w:fldChar w:fldCharType="begin"/>
                  </w:r>
                  <w:r w:rsidRPr="00321D31">
                    <w:rPr>
                      <w:b/>
                      <w:bCs/>
                      <w:color w:val="4F81BD"/>
                    </w:rPr>
                    <w:instrText xml:space="preserve"> SEQ Figure \* ARABIC </w:instrText>
                  </w:r>
                  <w:r w:rsidR="00185C05" w:rsidRPr="00321D31">
                    <w:rPr>
                      <w:b/>
                      <w:bCs/>
                      <w:color w:val="4F81BD"/>
                    </w:rPr>
                    <w:fldChar w:fldCharType="separate"/>
                  </w:r>
                  <w:r w:rsidRPr="00321D31">
                    <w:rPr>
                      <w:b/>
                      <w:bCs/>
                      <w:noProof/>
                      <w:color w:val="4F81BD"/>
                    </w:rPr>
                    <w:t>64</w:t>
                  </w:r>
                  <w:r w:rsidR="00185C05" w:rsidRPr="00321D31">
                    <w:rPr>
                      <w:b/>
                      <w:bCs/>
                      <w:color w:val="4F81BD"/>
                    </w:rPr>
                    <w:fldChar w:fldCharType="end"/>
                  </w:r>
                  <w:bookmarkEnd w:id="79"/>
                  <w:r w:rsidRPr="00321D31">
                    <w:rPr>
                      <w:b/>
                      <w:bCs/>
                      <w:color w:val="4F81BD"/>
                    </w:rPr>
                    <w:t xml:space="preserve">.  Average values for fertility </w:t>
                  </w:r>
                  <w:r>
                    <w:rPr>
                      <w:b/>
                      <w:bCs/>
                      <w:color w:val="4F81BD"/>
                    </w:rPr>
                    <w:br/>
                  </w:r>
                  <w:r w:rsidRPr="00321D31">
                    <w:rPr>
                      <w:b/>
                      <w:bCs/>
                      <w:color w:val="4F81BD"/>
                    </w:rPr>
                    <w:t xml:space="preserve">rate, life expectancy, net migration flows in the period from 2010 to 2060, in the Eu27 , EU15 and  EU10 </w:t>
                  </w:r>
                </w:p>
              </w:tc>
              <w:tc>
                <w:tcPr>
                  <w:tcW w:w="4644" w:type="dxa"/>
                </w:tcPr>
                <w:p w:rsidR="0060585A" w:rsidRPr="00321D31" w:rsidRDefault="0060585A" w:rsidP="004D31F4">
                  <w:pPr>
                    <w:autoSpaceDE w:val="0"/>
                    <w:autoSpaceDN w:val="0"/>
                    <w:adjustRightInd w:val="0"/>
                    <w:spacing w:line="276" w:lineRule="auto"/>
                    <w:jc w:val="left"/>
                    <w:rPr>
                      <w:b/>
                      <w:bCs/>
                      <w:color w:val="4F81BD"/>
                    </w:rPr>
                  </w:pPr>
                  <w:bookmarkStart w:id="80" w:name="_Ref325706305"/>
                  <w:r w:rsidRPr="00321D31">
                    <w:rPr>
                      <w:b/>
                      <w:bCs/>
                      <w:color w:val="4F81BD"/>
                    </w:rPr>
                    <w:t xml:space="preserve">Figure </w:t>
                  </w:r>
                  <w:r w:rsidR="00185C05" w:rsidRPr="00321D31">
                    <w:rPr>
                      <w:b/>
                      <w:bCs/>
                      <w:color w:val="4F81BD"/>
                    </w:rPr>
                    <w:fldChar w:fldCharType="begin"/>
                  </w:r>
                  <w:r w:rsidRPr="00321D31">
                    <w:rPr>
                      <w:b/>
                      <w:bCs/>
                      <w:color w:val="4F81BD"/>
                    </w:rPr>
                    <w:instrText xml:space="preserve"> SEQ Figure \* ARABIC </w:instrText>
                  </w:r>
                  <w:r w:rsidR="00185C05" w:rsidRPr="00321D31">
                    <w:rPr>
                      <w:b/>
                      <w:bCs/>
                      <w:color w:val="4F81BD"/>
                    </w:rPr>
                    <w:fldChar w:fldCharType="separate"/>
                  </w:r>
                  <w:r w:rsidRPr="00321D31">
                    <w:rPr>
                      <w:b/>
                      <w:bCs/>
                      <w:noProof/>
                      <w:color w:val="4F81BD"/>
                    </w:rPr>
                    <w:t>65</w:t>
                  </w:r>
                  <w:r w:rsidR="00185C05" w:rsidRPr="00321D31">
                    <w:rPr>
                      <w:b/>
                      <w:bCs/>
                      <w:color w:val="4F81BD"/>
                    </w:rPr>
                    <w:fldChar w:fldCharType="end"/>
                  </w:r>
                  <w:bookmarkEnd w:id="80"/>
                  <w:r w:rsidRPr="00321D31">
                    <w:rPr>
                      <w:b/>
                      <w:bCs/>
                      <w:color w:val="4F81BD"/>
                    </w:rPr>
                    <w:t xml:space="preserve">. Projected structure of the population by age group, 1 January (% share of total population) </w:t>
                  </w:r>
                </w:p>
              </w:tc>
            </w:tr>
            <w:tr w:rsidR="0060585A" w:rsidRPr="00321D31" w:rsidTr="00321D31">
              <w:tc>
                <w:tcPr>
                  <w:tcW w:w="4938" w:type="dxa"/>
                </w:tcPr>
                <w:p w:rsidR="0060585A" w:rsidRPr="00321D31" w:rsidRDefault="00A1042F" w:rsidP="00321D31">
                  <w:pPr>
                    <w:autoSpaceDE w:val="0"/>
                    <w:autoSpaceDN w:val="0"/>
                    <w:adjustRightInd w:val="0"/>
                    <w:spacing w:line="276" w:lineRule="auto"/>
                    <w:rPr>
                      <w:b/>
                      <w:bCs/>
                      <w:color w:val="4F81BD"/>
                    </w:rPr>
                  </w:pPr>
                  <w:r>
                    <w:rPr>
                      <w:b/>
                      <w:noProof/>
                      <w:color w:val="4F81BD"/>
                    </w:rPr>
                    <w:drawing>
                      <wp:inline distT="0" distB="0" distL="0" distR="0">
                        <wp:extent cx="2952750" cy="2095500"/>
                        <wp:effectExtent l="19050" t="0" r="0" b="0"/>
                        <wp:docPr id="11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24"/>
                                <a:srcRect/>
                                <a:stretch>
                                  <a:fillRect/>
                                </a:stretch>
                              </pic:blipFill>
                              <pic:spPr bwMode="auto">
                                <a:xfrm>
                                  <a:off x="0" y="0"/>
                                  <a:ext cx="2952750" cy="2095500"/>
                                </a:xfrm>
                                <a:prstGeom prst="rect">
                                  <a:avLst/>
                                </a:prstGeom>
                                <a:noFill/>
                                <a:ln w="9525">
                                  <a:noFill/>
                                  <a:miter lim="800000"/>
                                  <a:headEnd/>
                                  <a:tailEnd/>
                                </a:ln>
                              </pic:spPr>
                            </pic:pic>
                          </a:graphicData>
                        </a:graphic>
                      </wp:inline>
                    </w:drawing>
                  </w:r>
                </w:p>
              </w:tc>
              <w:tc>
                <w:tcPr>
                  <w:tcW w:w="4644" w:type="dxa"/>
                </w:tcPr>
                <w:p w:rsidR="0060585A" w:rsidRPr="00321D31" w:rsidRDefault="00A1042F" w:rsidP="00321D31">
                  <w:pPr>
                    <w:autoSpaceDE w:val="0"/>
                    <w:autoSpaceDN w:val="0"/>
                    <w:adjustRightInd w:val="0"/>
                    <w:spacing w:line="276" w:lineRule="auto"/>
                    <w:rPr>
                      <w:b/>
                      <w:bCs/>
                      <w:color w:val="4F81BD"/>
                    </w:rPr>
                  </w:pPr>
                  <w:r>
                    <w:rPr>
                      <w:b/>
                      <w:noProof/>
                      <w:color w:val="4F81BD"/>
                    </w:rPr>
                    <w:drawing>
                      <wp:inline distT="0" distB="0" distL="0" distR="0">
                        <wp:extent cx="2686050" cy="2095500"/>
                        <wp:effectExtent l="19050" t="0" r="0" b="0"/>
                        <wp:docPr id="1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25"/>
                                <a:srcRect/>
                                <a:stretch>
                                  <a:fillRect/>
                                </a:stretch>
                              </pic:blipFill>
                              <pic:spPr bwMode="auto">
                                <a:xfrm>
                                  <a:off x="0" y="0"/>
                                  <a:ext cx="2686050" cy="2095500"/>
                                </a:xfrm>
                                <a:prstGeom prst="rect">
                                  <a:avLst/>
                                </a:prstGeom>
                                <a:noFill/>
                                <a:ln w="9525">
                                  <a:noFill/>
                                  <a:miter lim="800000"/>
                                  <a:headEnd/>
                                  <a:tailEnd/>
                                </a:ln>
                              </pic:spPr>
                            </pic:pic>
                          </a:graphicData>
                        </a:graphic>
                      </wp:inline>
                    </w:drawing>
                  </w:r>
                </w:p>
              </w:tc>
            </w:tr>
            <w:tr w:rsidR="0060585A" w:rsidRPr="00321D31" w:rsidTr="00321D31">
              <w:tc>
                <w:tcPr>
                  <w:tcW w:w="4938" w:type="dxa"/>
                </w:tcPr>
                <w:p w:rsidR="0060585A" w:rsidRPr="00321D31" w:rsidRDefault="0060585A" w:rsidP="00321D31">
                  <w:pPr>
                    <w:spacing w:after="200" w:line="276" w:lineRule="auto"/>
                    <w:rPr>
                      <w:i/>
                      <w:sz w:val="20"/>
                    </w:rPr>
                  </w:pPr>
                  <w:r w:rsidRPr="00321D31">
                    <w:rPr>
                      <w:i/>
                      <w:sz w:val="20"/>
                    </w:rPr>
                    <w:t>Source: The EC  (2012 Ageing Report)</w:t>
                  </w:r>
                </w:p>
              </w:tc>
              <w:tc>
                <w:tcPr>
                  <w:tcW w:w="4644" w:type="dxa"/>
                </w:tcPr>
                <w:p w:rsidR="0060585A" w:rsidRPr="00321D31" w:rsidRDefault="0060585A" w:rsidP="00321D31">
                  <w:pPr>
                    <w:spacing w:after="200" w:line="276" w:lineRule="auto"/>
                    <w:rPr>
                      <w:i/>
                      <w:sz w:val="20"/>
                    </w:rPr>
                  </w:pPr>
                  <w:r w:rsidRPr="00321D31">
                    <w:rPr>
                      <w:i/>
                      <w:sz w:val="20"/>
                    </w:rPr>
                    <w:t>Source: The EC (2012 Ageing Report)</w:t>
                  </w:r>
                </w:p>
              </w:tc>
            </w:tr>
          </w:tbl>
          <w:p w:rsidR="0060585A" w:rsidRPr="00321D31" w:rsidRDefault="0060585A" w:rsidP="00321D31">
            <w:pPr>
              <w:autoSpaceDE w:val="0"/>
              <w:autoSpaceDN w:val="0"/>
              <w:adjustRightInd w:val="0"/>
              <w:spacing w:line="276" w:lineRule="auto"/>
              <w:rPr>
                <w:b/>
                <w:bCs/>
                <w:color w:val="4F81BD"/>
              </w:rPr>
            </w:pPr>
          </w:p>
        </w:tc>
      </w:tr>
    </w:tbl>
    <w:p w:rsidR="0060585A" w:rsidRPr="00982556" w:rsidRDefault="0060585A" w:rsidP="007C6E13">
      <w:pPr>
        <w:autoSpaceDE w:val="0"/>
        <w:autoSpaceDN w:val="0"/>
        <w:adjustRightInd w:val="0"/>
        <w:rPr>
          <w:rFonts w:ascii="Times New Roman" w:hAnsi="Times New Roman"/>
        </w:rPr>
      </w:pPr>
    </w:p>
    <w:p w:rsidR="0060585A" w:rsidRDefault="0060585A" w:rsidP="007C6E13">
      <w:pPr>
        <w:spacing w:after="200" w:line="276" w:lineRule="auto"/>
        <w:jc w:val="left"/>
      </w:pPr>
      <w:r>
        <w:t xml:space="preserve"> </w:t>
      </w:r>
    </w:p>
    <w:p w:rsidR="0060585A" w:rsidRDefault="0060585A" w:rsidP="007C6E13">
      <w:pPr>
        <w:spacing w:after="200" w:line="276" w:lineRule="auto"/>
        <w:jc w:val="left"/>
      </w:pPr>
    </w:p>
    <w:p w:rsidR="0060585A" w:rsidRDefault="0060585A" w:rsidP="007C6E13">
      <w:pPr>
        <w:spacing w:after="200" w:line="276" w:lineRule="auto"/>
        <w:jc w:val="left"/>
      </w:pPr>
    </w:p>
    <w:p w:rsidR="0060585A" w:rsidRDefault="0060585A" w:rsidP="007C6E13">
      <w:pPr>
        <w:spacing w:after="200" w:line="276" w:lineRule="auto"/>
        <w:jc w:val="left"/>
      </w:pPr>
    </w:p>
    <w:p w:rsidR="0060585A" w:rsidRDefault="0060585A" w:rsidP="007C6E13">
      <w:pPr>
        <w:spacing w:after="200" w:line="276" w:lineRule="auto"/>
        <w:jc w:val="left"/>
      </w:pPr>
    </w:p>
    <w:p w:rsidR="0060585A" w:rsidRDefault="0060585A" w:rsidP="007C6E13">
      <w:pPr>
        <w:spacing w:after="200" w:line="276" w:lineRule="auto"/>
        <w:jc w:val="left"/>
      </w:pPr>
    </w:p>
    <w:p w:rsidR="0060585A" w:rsidRDefault="0060585A" w:rsidP="007C6E13">
      <w:pPr>
        <w:spacing w:after="200" w:line="276" w:lineRule="auto"/>
        <w:jc w:val="left"/>
      </w:pPr>
    </w:p>
    <w:p w:rsidR="0060585A" w:rsidRDefault="0060585A" w:rsidP="007C6E13">
      <w:pPr>
        <w:spacing w:after="200" w:line="276" w:lineRule="auto"/>
        <w:jc w:val="left"/>
      </w:pPr>
    </w:p>
    <w:p w:rsidR="0060585A" w:rsidRDefault="0060585A" w:rsidP="007C6E13">
      <w:pPr>
        <w:spacing w:after="200" w:line="276" w:lineRule="auto"/>
        <w:jc w:val="left"/>
        <w:sectPr w:rsidR="0060585A" w:rsidSect="008E64DA">
          <w:footerReference w:type="default" r:id="rId126"/>
          <w:pgSz w:w="12240" w:h="15840"/>
          <w:pgMar w:top="1440" w:right="1440" w:bottom="1440" w:left="1440" w:header="720" w:footer="720" w:gutter="0"/>
          <w:cols w:space="720"/>
          <w:docGrid w:linePitch="360"/>
        </w:sectPr>
      </w:pPr>
    </w:p>
    <w:p w:rsidR="0060585A" w:rsidRDefault="00A1042F" w:rsidP="004B2CBD">
      <w:pPr>
        <w:spacing w:after="200" w:line="276" w:lineRule="auto"/>
        <w:ind w:left="-1440" w:right="-1440"/>
        <w:jc w:val="left"/>
        <w:rPr>
          <w:b/>
          <w:bCs/>
          <w:color w:val="4F81BD"/>
        </w:rPr>
      </w:pPr>
      <w:r>
        <w:rPr>
          <w:noProof/>
        </w:rPr>
        <w:lastRenderedPageBreak/>
        <w:drawing>
          <wp:anchor distT="0" distB="0" distL="114300" distR="114300" simplePos="0" relativeHeight="251657728" behindDoc="1" locked="0" layoutInCell="1" allowOverlap="1">
            <wp:simplePos x="0" y="0"/>
            <wp:positionH relativeFrom="column">
              <wp:posOffset>-914400</wp:posOffset>
            </wp:positionH>
            <wp:positionV relativeFrom="paragraph">
              <wp:posOffset>-635635</wp:posOffset>
            </wp:positionV>
            <wp:extent cx="7785100" cy="10058400"/>
            <wp:effectExtent l="19050" t="0" r="6350" b="0"/>
            <wp:wrapNone/>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7"/>
                    <a:srcRect/>
                    <a:stretch>
                      <a:fillRect/>
                    </a:stretch>
                  </pic:blipFill>
                  <pic:spPr bwMode="auto">
                    <a:xfrm>
                      <a:off x="0" y="0"/>
                      <a:ext cx="7785100" cy="10058400"/>
                    </a:xfrm>
                    <a:prstGeom prst="rect">
                      <a:avLst/>
                    </a:prstGeom>
                    <a:noFill/>
                  </pic:spPr>
                </pic:pic>
              </a:graphicData>
            </a:graphic>
          </wp:anchor>
        </w:drawing>
      </w:r>
    </w:p>
    <w:p w:rsidR="0060585A" w:rsidRPr="00DB1EB1" w:rsidRDefault="0060585A" w:rsidP="00C2194D">
      <w:pPr>
        <w:jc w:val="center"/>
        <w:rPr>
          <w:rFonts w:ascii="Agency FB" w:hAnsi="Agency FB" w:cs="Helv"/>
          <w:b/>
          <w:color w:val="FFFFFF"/>
          <w:sz w:val="40"/>
          <w:szCs w:val="40"/>
        </w:rPr>
      </w:pPr>
    </w:p>
    <w:p w:rsidR="0060585A" w:rsidRDefault="0060585A" w:rsidP="00C2194D">
      <w:pPr>
        <w:pStyle w:val="NoSpacing"/>
        <w:ind w:left="720"/>
        <w:jc w:val="center"/>
        <w:rPr>
          <w:rFonts w:ascii="Batang" w:eastAsia="Batang" w:hAnsi="Batang"/>
          <w:b/>
          <w:smallCaps/>
          <w:color w:val="FFFFFF"/>
          <w:sz w:val="52"/>
          <w:szCs w:val="72"/>
        </w:rPr>
      </w:pPr>
    </w:p>
    <w:p w:rsidR="0060585A" w:rsidRDefault="0060585A" w:rsidP="00C2194D">
      <w:pPr>
        <w:pStyle w:val="NoSpacing"/>
        <w:ind w:left="720"/>
        <w:jc w:val="center"/>
        <w:rPr>
          <w:rFonts w:ascii="Batang" w:eastAsia="Batang" w:hAnsi="Batang"/>
          <w:b/>
          <w:smallCaps/>
          <w:color w:val="FFFFFF"/>
          <w:sz w:val="52"/>
          <w:szCs w:val="72"/>
        </w:rPr>
      </w:pPr>
    </w:p>
    <w:p w:rsidR="0060585A" w:rsidRDefault="0060585A" w:rsidP="00C2194D">
      <w:pPr>
        <w:pStyle w:val="NoSpacing"/>
        <w:ind w:left="720"/>
        <w:jc w:val="center"/>
        <w:rPr>
          <w:rFonts w:ascii="Batang" w:eastAsia="Batang" w:hAnsi="Batang"/>
          <w:b/>
          <w:smallCaps/>
          <w:color w:val="FFFFFF"/>
          <w:sz w:val="52"/>
          <w:szCs w:val="72"/>
        </w:rPr>
      </w:pPr>
    </w:p>
    <w:p w:rsidR="0060585A" w:rsidRDefault="0060585A" w:rsidP="00C2194D">
      <w:pPr>
        <w:pStyle w:val="NoSpacing"/>
        <w:ind w:left="720"/>
        <w:jc w:val="center"/>
        <w:rPr>
          <w:rFonts w:ascii="Batang" w:eastAsia="Batang" w:hAnsi="Batang"/>
          <w:b/>
          <w:smallCaps/>
          <w:color w:val="FFFFFF"/>
          <w:sz w:val="52"/>
          <w:szCs w:val="72"/>
        </w:rPr>
      </w:pPr>
    </w:p>
    <w:p w:rsidR="0060585A" w:rsidRDefault="0060585A" w:rsidP="00C2194D">
      <w:pPr>
        <w:pStyle w:val="NoSpacing"/>
        <w:ind w:left="720"/>
        <w:jc w:val="center"/>
        <w:rPr>
          <w:rFonts w:ascii="Batang" w:eastAsia="Batang" w:hAnsi="Batang"/>
          <w:b/>
          <w:smallCaps/>
          <w:color w:val="FFFFFF"/>
          <w:sz w:val="52"/>
          <w:szCs w:val="72"/>
        </w:rPr>
      </w:pPr>
    </w:p>
    <w:p w:rsidR="0060585A" w:rsidRDefault="0060585A" w:rsidP="00C2194D">
      <w:pPr>
        <w:pStyle w:val="NoSpacing"/>
        <w:ind w:left="720"/>
        <w:jc w:val="center"/>
        <w:rPr>
          <w:rFonts w:ascii="Batang" w:eastAsia="Batang" w:hAnsi="Batang"/>
          <w:b/>
          <w:smallCaps/>
          <w:color w:val="FFFFFF"/>
          <w:sz w:val="52"/>
          <w:szCs w:val="72"/>
        </w:rPr>
      </w:pPr>
    </w:p>
    <w:p w:rsidR="0060585A" w:rsidRDefault="0060585A" w:rsidP="00C2194D">
      <w:pPr>
        <w:pStyle w:val="NoSpacing"/>
        <w:ind w:left="720"/>
        <w:jc w:val="center"/>
        <w:rPr>
          <w:rFonts w:ascii="Batang" w:eastAsia="Batang" w:hAnsi="Batang"/>
          <w:b/>
          <w:smallCaps/>
          <w:color w:val="FFFFFF"/>
          <w:sz w:val="52"/>
          <w:szCs w:val="72"/>
        </w:rPr>
      </w:pPr>
    </w:p>
    <w:p w:rsidR="0060585A" w:rsidRDefault="0060585A" w:rsidP="00C2194D">
      <w:pPr>
        <w:pStyle w:val="NoSpacing"/>
        <w:ind w:left="720"/>
        <w:jc w:val="center"/>
        <w:rPr>
          <w:rFonts w:ascii="Batang" w:eastAsia="Batang" w:hAnsi="Batang"/>
          <w:b/>
          <w:smallCaps/>
          <w:color w:val="FFFFFF"/>
          <w:sz w:val="52"/>
          <w:szCs w:val="72"/>
        </w:rPr>
      </w:pPr>
    </w:p>
    <w:p w:rsidR="0060585A" w:rsidRDefault="0060585A" w:rsidP="00C2194D">
      <w:pPr>
        <w:pStyle w:val="NoSpacing"/>
        <w:ind w:left="720"/>
        <w:jc w:val="center"/>
        <w:rPr>
          <w:rFonts w:ascii="Batang" w:eastAsia="Batang" w:hAnsi="Batang"/>
          <w:b/>
          <w:smallCaps/>
          <w:color w:val="FFFFFF"/>
          <w:sz w:val="52"/>
          <w:szCs w:val="72"/>
        </w:rPr>
      </w:pPr>
    </w:p>
    <w:p w:rsidR="0060585A" w:rsidRDefault="0060585A" w:rsidP="00C2194D">
      <w:pPr>
        <w:pStyle w:val="NoSpacing"/>
        <w:ind w:left="720"/>
        <w:jc w:val="center"/>
        <w:rPr>
          <w:rFonts w:ascii="Batang" w:eastAsia="Batang" w:hAnsi="Batang"/>
          <w:b/>
          <w:smallCaps/>
          <w:color w:val="FFFFFF"/>
          <w:sz w:val="52"/>
          <w:szCs w:val="72"/>
        </w:rPr>
      </w:pPr>
    </w:p>
    <w:p w:rsidR="0060585A" w:rsidRDefault="0060585A" w:rsidP="00C2194D">
      <w:pPr>
        <w:pStyle w:val="NoSpacing"/>
        <w:ind w:left="720"/>
        <w:jc w:val="center"/>
        <w:rPr>
          <w:rFonts w:ascii="Batang" w:eastAsia="Batang" w:hAnsi="Batang"/>
          <w:b/>
          <w:smallCaps/>
          <w:color w:val="FFFFFF"/>
          <w:sz w:val="52"/>
          <w:szCs w:val="72"/>
        </w:rPr>
      </w:pPr>
    </w:p>
    <w:p w:rsidR="0060585A" w:rsidRDefault="0060585A" w:rsidP="00C2194D">
      <w:pPr>
        <w:pStyle w:val="NoSpacing"/>
        <w:ind w:left="720"/>
        <w:jc w:val="center"/>
        <w:rPr>
          <w:rFonts w:ascii="Batang" w:eastAsia="Batang" w:hAnsi="Batang"/>
          <w:b/>
          <w:smallCaps/>
          <w:color w:val="FFFFFF"/>
          <w:sz w:val="52"/>
          <w:szCs w:val="72"/>
        </w:rPr>
      </w:pPr>
    </w:p>
    <w:p w:rsidR="0060585A" w:rsidRDefault="0060585A" w:rsidP="00C2194D">
      <w:pPr>
        <w:pStyle w:val="NoSpacing"/>
        <w:ind w:left="720"/>
        <w:jc w:val="center"/>
        <w:rPr>
          <w:rFonts w:ascii="Batang" w:eastAsia="Batang" w:hAnsi="Batang"/>
          <w:b/>
          <w:smallCaps/>
          <w:color w:val="FFFFFF"/>
          <w:sz w:val="52"/>
          <w:szCs w:val="72"/>
        </w:rPr>
      </w:pPr>
    </w:p>
    <w:p w:rsidR="0060585A" w:rsidRPr="005D4E39" w:rsidRDefault="0060585A" w:rsidP="00C2194D">
      <w:pPr>
        <w:pStyle w:val="Caption"/>
        <w:keepNext/>
        <w:keepLines/>
        <w:spacing w:before="60" w:after="60"/>
        <w:rPr>
          <w:sz w:val="24"/>
          <w:szCs w:val="24"/>
        </w:rPr>
      </w:pPr>
    </w:p>
    <w:p w:rsidR="0060585A" w:rsidRPr="00D16709" w:rsidRDefault="0060585A" w:rsidP="00E41045">
      <w:pPr>
        <w:pStyle w:val="Caption"/>
        <w:keepNext/>
        <w:keepLines/>
        <w:spacing w:before="60" w:after="60" w:line="276" w:lineRule="auto"/>
        <w:rPr>
          <w:sz w:val="24"/>
          <w:szCs w:val="24"/>
        </w:rPr>
      </w:pPr>
    </w:p>
    <w:sectPr w:rsidR="0060585A" w:rsidRPr="00D16709" w:rsidSect="004B2CBD">
      <w:footerReference w:type="default" r:id="rId128"/>
      <w:pgSz w:w="12240" w:h="15840"/>
      <w:pgMar w:top="2" w:right="1440" w:bottom="25"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25F1" w:rsidRDefault="005225F1" w:rsidP="00141486">
      <w:r>
        <w:separator/>
      </w:r>
    </w:p>
  </w:endnote>
  <w:endnote w:type="continuationSeparator" w:id="0">
    <w:p w:rsidR="005225F1" w:rsidRDefault="005225F1" w:rsidP="001414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mbria-Bold">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ITCFranklinGothic LT Com MdCn">
    <w:altName w:val="Franklin Gothic Medium Cond"/>
    <w:charset w:val="00"/>
    <w:family w:val="swiss"/>
    <w:pitch w:val="variable"/>
    <w:sig w:usb0="00000001" w:usb1="5000204A"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ITCFranklinGothic LT Com Bk">
    <w:altName w:val="Corbel"/>
    <w:charset w:val="00"/>
    <w:family w:val="swiss"/>
    <w:pitch w:val="variable"/>
    <w:sig w:usb0="00000001" w:usb1="5000204A" w:usb2="00000000" w:usb3="00000000" w:csb0="0000009B" w:csb1="00000000"/>
  </w:font>
  <w:font w:name="Agency FB">
    <w:altName w:val="Malgun Gothic"/>
    <w:panose1 w:val="020B0503020202020204"/>
    <w:charset w:val="00"/>
    <w:family w:val="swiss"/>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Cambria Math">
    <w:panose1 w:val="02040503050406030204"/>
    <w:charset w:val="00"/>
    <w:family w:val="roman"/>
    <w:pitch w:val="variable"/>
    <w:sig w:usb0="A00002EF" w:usb1="420020EB"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079" w:rsidRPr="00E1566C" w:rsidRDefault="00A24079" w:rsidP="00E1566C">
    <w:pPr>
      <w:pStyle w:val="Footer"/>
      <w:ind w:firstLine="720"/>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079" w:rsidRPr="00E1566C" w:rsidRDefault="00A24079" w:rsidP="00E1566C">
    <w:pPr>
      <w:pStyle w:val="Footer"/>
      <w:ind w:firstLine="720"/>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079" w:rsidRDefault="00A24079" w:rsidP="00555E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42</w:t>
    </w:r>
    <w:r>
      <w:rPr>
        <w:rStyle w:val="PageNumber"/>
      </w:rPr>
      <w:fldChar w:fldCharType="end"/>
    </w:r>
  </w:p>
  <w:p w:rsidR="00A24079" w:rsidRDefault="00A2407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079" w:rsidRDefault="00A2407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079" w:rsidRDefault="00A24079" w:rsidP="004C19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63952">
      <w:rPr>
        <w:rStyle w:val="PageNumber"/>
        <w:noProof/>
      </w:rPr>
      <w:t>46</w:t>
    </w:r>
    <w:r>
      <w:rPr>
        <w:rStyle w:val="PageNumber"/>
      </w:rPr>
      <w:fldChar w:fldCharType="end"/>
    </w:r>
  </w:p>
  <w:p w:rsidR="00A24079" w:rsidRDefault="00A24079">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079" w:rsidRPr="00996780" w:rsidRDefault="00A24079" w:rsidP="00141486">
    <w:pPr>
      <w:pStyle w:val="Footer"/>
      <w:framePr w:wrap="around" w:vAnchor="text" w:hAnchor="margin" w:xAlign="center" w:y="1"/>
      <w:rPr>
        <w:rStyle w:val="PageNumber"/>
        <w:rFonts w:ascii="Trebuchet MS" w:hAnsi="Trebuchet MS"/>
      </w:rPr>
    </w:pPr>
    <w:r w:rsidRPr="00996780">
      <w:rPr>
        <w:rStyle w:val="PageNumber"/>
        <w:rFonts w:ascii="Trebuchet MS" w:hAnsi="Trebuchet MS"/>
      </w:rPr>
      <w:fldChar w:fldCharType="begin"/>
    </w:r>
    <w:r w:rsidRPr="00996780">
      <w:rPr>
        <w:rStyle w:val="PageNumber"/>
        <w:rFonts w:ascii="Trebuchet MS" w:hAnsi="Trebuchet MS"/>
      </w:rPr>
      <w:instrText xml:space="preserve">PAGE  </w:instrText>
    </w:r>
    <w:r w:rsidRPr="00996780">
      <w:rPr>
        <w:rStyle w:val="PageNumber"/>
        <w:rFonts w:ascii="Trebuchet MS" w:hAnsi="Trebuchet MS"/>
      </w:rPr>
      <w:fldChar w:fldCharType="separate"/>
    </w:r>
    <w:r w:rsidR="00563952">
      <w:rPr>
        <w:rStyle w:val="PageNumber"/>
        <w:rFonts w:ascii="Trebuchet MS" w:hAnsi="Trebuchet MS"/>
        <w:noProof/>
      </w:rPr>
      <w:t>50</w:t>
    </w:r>
    <w:r w:rsidRPr="00996780">
      <w:rPr>
        <w:rStyle w:val="PageNumber"/>
        <w:rFonts w:ascii="Trebuchet MS" w:hAnsi="Trebuchet MS"/>
      </w:rPr>
      <w:fldChar w:fldCharType="end"/>
    </w:r>
  </w:p>
  <w:p w:rsidR="00A24079" w:rsidRDefault="00A24079">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079" w:rsidRDefault="00A24079">
    <w:pPr>
      <w:pStyle w:val="Footer"/>
      <w:jc w:val="center"/>
    </w:pPr>
    <w:fldSimple w:instr=" PAGE   \* MERGEFORMAT ">
      <w:r w:rsidR="009B2EAB">
        <w:rPr>
          <w:noProof/>
        </w:rPr>
        <w:t>78</w:t>
      </w:r>
    </w:fldSimple>
  </w:p>
  <w:p w:rsidR="00A24079" w:rsidRDefault="00A240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25F1" w:rsidRDefault="005225F1" w:rsidP="00141486">
      <w:r>
        <w:separator/>
      </w:r>
    </w:p>
  </w:footnote>
  <w:footnote w:type="continuationSeparator" w:id="0">
    <w:p w:rsidR="005225F1" w:rsidRDefault="005225F1" w:rsidP="00141486">
      <w:r>
        <w:continuationSeparator/>
      </w:r>
    </w:p>
  </w:footnote>
  <w:footnote w:id="1">
    <w:p w:rsidR="00A24079" w:rsidRDefault="00A24079" w:rsidP="00F82449">
      <w:pPr>
        <w:pStyle w:val="FootnoteText"/>
        <w:spacing w:before="0" w:after="0"/>
      </w:pPr>
      <w:r w:rsidRPr="003D799F">
        <w:rPr>
          <w:rStyle w:val="FootnoteReference"/>
          <w:rFonts w:ascii="Cambria" w:hAnsi="Cambria"/>
          <w:szCs w:val="18"/>
        </w:rPr>
        <w:footnoteRef/>
      </w:r>
      <w:r w:rsidRPr="003D799F">
        <w:rPr>
          <w:rFonts w:ascii="Cambria" w:hAnsi="Cambria"/>
          <w:szCs w:val="18"/>
        </w:rPr>
        <w:t xml:space="preserve"> </w:t>
      </w:r>
      <w:r w:rsidRPr="003D799F">
        <w:rPr>
          <w:rFonts w:ascii="Cambria" w:hAnsi="Cambria"/>
          <w:bCs/>
          <w:iCs/>
          <w:szCs w:val="18"/>
        </w:rPr>
        <w:t xml:space="preserve">The ECB allotted €529.5 billion to the financial system with the second LTRO to 800 financial institutions. </w:t>
      </w:r>
      <w:r w:rsidRPr="003D799F">
        <w:rPr>
          <w:rFonts w:ascii="Cambria" w:hAnsi="Cambria"/>
          <w:szCs w:val="18"/>
        </w:rPr>
        <w:t>After deducting other operations maturing about the same time, the net injection was about around €310 billion (compared to €190 billion for the first LTRO).</w:t>
      </w:r>
    </w:p>
  </w:footnote>
  <w:footnote w:id="2">
    <w:p w:rsidR="00A24079" w:rsidRDefault="00A24079">
      <w:pPr>
        <w:pStyle w:val="FootnoteText"/>
        <w:spacing w:before="60" w:after="60"/>
      </w:pPr>
      <w:r w:rsidRPr="003D799F">
        <w:rPr>
          <w:rStyle w:val="FootnoteReference"/>
          <w:rFonts w:ascii="Cambria" w:hAnsi="Cambria"/>
          <w:szCs w:val="18"/>
        </w:rPr>
        <w:footnoteRef/>
      </w:r>
      <w:r w:rsidRPr="003D799F">
        <w:rPr>
          <w:rFonts w:ascii="Cambria" w:hAnsi="Cambria"/>
          <w:szCs w:val="18"/>
        </w:rPr>
        <w:t xml:space="preserve"> The group of EU11 countries comprises: Bulgaria (BG), Croatia (HR), the Czech Republic (CZ), Hungary (HU), Estonia (EE), Latvia (LV), Lithuania (LT), Poland (PL), Romania (RO), Slovenia (SI), and Slovakia (SK). Croatia is included in the EU11 group of this Regular Economic Repot in light with its expected upcoming EU entry in July 2013.</w:t>
      </w:r>
    </w:p>
  </w:footnote>
  <w:footnote w:id="3">
    <w:p w:rsidR="00A24079" w:rsidRDefault="00A24079">
      <w:pPr>
        <w:pStyle w:val="FootnoteText"/>
        <w:spacing w:before="60" w:after="60"/>
      </w:pPr>
      <w:r w:rsidRPr="003D799F">
        <w:rPr>
          <w:rStyle w:val="FootnoteReference"/>
          <w:rFonts w:ascii="Cambria" w:hAnsi="Cambria"/>
          <w:szCs w:val="18"/>
        </w:rPr>
        <w:footnoteRef/>
      </w:r>
      <w:r w:rsidRPr="003D799F">
        <w:rPr>
          <w:rFonts w:ascii="Cambria" w:hAnsi="Cambria"/>
          <w:szCs w:val="18"/>
        </w:rPr>
        <w:t xml:space="preserve"> The group of EU15 countries comprises: Austria, Belgium, Denmark, Finland, France, Germany, Greece, Ireland, Italy, Luxemburg, the Netherlands, Portugal, Spain, Sweden, and the United Kingdom.</w:t>
      </w:r>
    </w:p>
  </w:footnote>
  <w:footnote w:id="4">
    <w:p w:rsidR="00A24079" w:rsidRDefault="00A24079">
      <w:pPr>
        <w:pStyle w:val="FootnoteText"/>
      </w:pPr>
      <w:r w:rsidRPr="0048077A">
        <w:rPr>
          <w:rStyle w:val="FootnoteReference"/>
          <w:rFonts w:ascii="Cambria" w:hAnsi="Cambria"/>
        </w:rPr>
        <w:footnoteRef/>
      </w:r>
      <w:r w:rsidRPr="0048077A">
        <w:rPr>
          <w:rFonts w:ascii="Cambria" w:hAnsi="Cambria"/>
        </w:rPr>
        <w:t xml:space="preserve"> See the discussion in the Special Topic note of this report.</w:t>
      </w:r>
    </w:p>
  </w:footnote>
  <w:footnote w:id="5">
    <w:p w:rsidR="00A24079" w:rsidRDefault="00A24079">
      <w:pPr>
        <w:pStyle w:val="FootnoteText"/>
      </w:pPr>
      <w:r w:rsidRPr="003D799F">
        <w:rPr>
          <w:rStyle w:val="FootnoteReference"/>
          <w:rFonts w:ascii="Cambria" w:hAnsi="Cambria"/>
          <w:szCs w:val="18"/>
        </w:rPr>
        <w:footnoteRef/>
      </w:r>
      <w:r w:rsidRPr="003D799F">
        <w:rPr>
          <w:rFonts w:ascii="Cambria" w:hAnsi="Cambria"/>
          <w:szCs w:val="18"/>
        </w:rPr>
        <w:t xml:space="preserve"> See the discussion in the External Development and Labor sections below..</w:t>
      </w:r>
    </w:p>
  </w:footnote>
  <w:footnote w:id="6">
    <w:p w:rsidR="00A24079" w:rsidRDefault="00A24079" w:rsidP="007D552A">
      <w:pPr>
        <w:pStyle w:val="FootnoteText"/>
      </w:pPr>
      <w:r w:rsidRPr="003D799F">
        <w:rPr>
          <w:rStyle w:val="FootnoteReference"/>
          <w:rFonts w:ascii="Cambria" w:hAnsi="Cambria"/>
          <w:szCs w:val="18"/>
        </w:rPr>
        <w:footnoteRef/>
      </w:r>
      <w:r w:rsidRPr="003D799F">
        <w:rPr>
          <w:rFonts w:ascii="Cambria" w:hAnsi="Cambria"/>
          <w:szCs w:val="18"/>
        </w:rPr>
        <w:t xml:space="preserve"> “Youth” refers to those under 24, “low-skilled” to those with no post-secondary education, “long-term” unemployment to those who have been seeking work for more than a year.</w:t>
      </w:r>
    </w:p>
  </w:footnote>
  <w:footnote w:id="7">
    <w:p w:rsidR="00A24079" w:rsidRDefault="00A24079" w:rsidP="002234E6">
      <w:pPr>
        <w:pStyle w:val="FootnoteText"/>
      </w:pPr>
      <w:r w:rsidRPr="003D799F">
        <w:rPr>
          <w:rStyle w:val="FootnoteReference"/>
          <w:rFonts w:ascii="Cambria" w:hAnsi="Cambria"/>
          <w:szCs w:val="18"/>
        </w:rPr>
        <w:footnoteRef/>
      </w:r>
      <w:r w:rsidRPr="003D799F">
        <w:rPr>
          <w:rFonts w:ascii="Cambria" w:hAnsi="Cambria"/>
          <w:szCs w:val="18"/>
        </w:rPr>
        <w:t xml:space="preserve"> As of July 2012, the standard VAT in Latvia will be reduced to 21 percent.</w:t>
      </w:r>
    </w:p>
  </w:footnote>
  <w:footnote w:id="8">
    <w:p w:rsidR="00A24079" w:rsidRDefault="00A24079" w:rsidP="005371B1">
      <w:pPr>
        <w:spacing w:after="200" w:line="276" w:lineRule="auto"/>
        <w:jc w:val="left"/>
      </w:pPr>
      <w:r w:rsidRPr="003D799F">
        <w:rPr>
          <w:rStyle w:val="FootnoteReference"/>
          <w:sz w:val="18"/>
          <w:szCs w:val="18"/>
        </w:rPr>
        <w:footnoteRef/>
      </w:r>
      <w:r w:rsidRPr="003D799F">
        <w:rPr>
          <w:sz w:val="18"/>
          <w:szCs w:val="18"/>
        </w:rPr>
        <w:t xml:space="preserve"> </w:t>
      </w:r>
      <w:r w:rsidRPr="002A4C0C">
        <w:rPr>
          <w:sz w:val="18"/>
          <w:szCs w:val="18"/>
        </w:rPr>
        <w:t xml:space="preserve">Based on </w:t>
      </w:r>
      <w:hyperlink r:id="rId1" w:history="1">
        <w:r w:rsidRPr="002A4C0C">
          <w:rPr>
            <w:rStyle w:val="Hyperlink"/>
            <w:color w:val="auto"/>
            <w:sz w:val="18"/>
            <w:szCs w:val="18"/>
            <w:u w:val="none"/>
            <w:shd w:val="clear" w:color="auto" w:fill="FFFFFF"/>
          </w:rPr>
          <w:t>http://ec.europa.eu/europe2020/index_en.htm</w:t>
        </w:r>
      </w:hyperlink>
    </w:p>
  </w:footnote>
  <w:footnote w:id="9">
    <w:p w:rsidR="00A24079" w:rsidRDefault="00A24079" w:rsidP="00B56F2B">
      <w:pPr>
        <w:pStyle w:val="FootnoteText"/>
        <w:spacing w:before="0" w:after="0"/>
      </w:pPr>
      <w:r w:rsidRPr="003D799F">
        <w:rPr>
          <w:rStyle w:val="FootnoteReference"/>
          <w:rFonts w:ascii="Cambria" w:hAnsi="Cambria"/>
          <w:szCs w:val="18"/>
        </w:rPr>
        <w:footnoteRef/>
      </w:r>
      <w:r w:rsidRPr="003D799F">
        <w:rPr>
          <w:rFonts w:ascii="Cambria" w:hAnsi="Cambria"/>
          <w:szCs w:val="18"/>
        </w:rPr>
        <w:t xml:space="preserve"> The EU11 group of countries comprises Bulgaria, Croatia, the Czech Republic, Estonia, Hungary, Latvia, Lithuania, Poland, Romania, Slovenia, and Slovakia. See Annex 1 for a complete list of country groupings.</w:t>
      </w:r>
    </w:p>
  </w:footnote>
  <w:footnote w:id="10">
    <w:p w:rsidR="00A24079" w:rsidRDefault="00A24079" w:rsidP="00B56F2B">
      <w:pPr>
        <w:pStyle w:val="FootnoteText"/>
        <w:spacing w:before="0" w:after="0"/>
      </w:pPr>
      <w:r w:rsidRPr="003D799F">
        <w:rPr>
          <w:rStyle w:val="FootnoteReference"/>
          <w:rFonts w:ascii="Cambria" w:hAnsi="Cambria"/>
          <w:szCs w:val="18"/>
        </w:rPr>
        <w:footnoteRef/>
      </w:r>
      <w:r w:rsidRPr="003D799F">
        <w:rPr>
          <w:rFonts w:ascii="Cambria" w:hAnsi="Cambria"/>
          <w:szCs w:val="18"/>
        </w:rPr>
        <w:t xml:space="preserve"> This note adopts the thematic framework presented in  Gill and Raiser (2012) “Golden Growth: Restoring the Luster of the European Economic Model.”</w:t>
      </w:r>
    </w:p>
  </w:footnote>
  <w:footnote w:id="11">
    <w:p w:rsidR="00A24079" w:rsidRDefault="00A24079" w:rsidP="00B56F2B">
      <w:pPr>
        <w:pStyle w:val="FootnoteText"/>
        <w:spacing w:before="0" w:after="0"/>
      </w:pPr>
      <w:r w:rsidRPr="003D799F">
        <w:rPr>
          <w:rStyle w:val="FootnoteReference"/>
          <w:rFonts w:ascii="Cambria" w:hAnsi="Cambria"/>
          <w:szCs w:val="18"/>
        </w:rPr>
        <w:footnoteRef/>
      </w:r>
      <w:r w:rsidRPr="003D799F">
        <w:rPr>
          <w:rFonts w:ascii="Cambria" w:hAnsi="Cambria"/>
          <w:szCs w:val="18"/>
        </w:rPr>
        <w:t xml:space="preserve"> The correlation between initial income per capita and economic growth, which had averaged (–0.5) for 2000–2004—an indication that the poorer economies in the region were growing faster than richer ones—was only (–0.23) for 2005–2010.</w:t>
      </w:r>
    </w:p>
  </w:footnote>
  <w:footnote w:id="12">
    <w:p w:rsidR="00A24079" w:rsidRDefault="00A24079" w:rsidP="00B56F2B">
      <w:r w:rsidRPr="003D799F">
        <w:rPr>
          <w:rStyle w:val="FootnoteReference"/>
          <w:sz w:val="18"/>
          <w:szCs w:val="18"/>
        </w:rPr>
        <w:footnoteRef/>
      </w:r>
      <w:r w:rsidRPr="003D799F">
        <w:rPr>
          <w:sz w:val="18"/>
          <w:szCs w:val="18"/>
        </w:rPr>
        <w:t xml:space="preserve"> EU15 South: Greece, Italy, Portugal, and Spain; EU15 North: Denmark, Finland, Ireland, Sweden, and he United Kingdom; EU15-Continental: Austria, Belgium, France, Germany, Luxemburg, and the Netherlands.</w:t>
      </w:r>
    </w:p>
  </w:footnote>
  <w:footnote w:id="13">
    <w:p w:rsidR="00A24079" w:rsidRDefault="00A24079" w:rsidP="00B56F2B">
      <w:pPr>
        <w:pStyle w:val="FootnoteText"/>
        <w:spacing w:before="0" w:after="0"/>
      </w:pPr>
      <w:r w:rsidRPr="003D799F">
        <w:rPr>
          <w:rStyle w:val="FootnoteReference"/>
          <w:rFonts w:ascii="Cambria" w:hAnsi="Cambria"/>
          <w:szCs w:val="18"/>
        </w:rPr>
        <w:footnoteRef/>
      </w:r>
      <w:r w:rsidRPr="003D799F">
        <w:rPr>
          <w:rFonts w:ascii="Cambria" w:hAnsi="Cambria"/>
          <w:szCs w:val="18"/>
        </w:rPr>
        <w:t xml:space="preserve"> We apply a simple income projection model developed to quantify future income convergence prospects for the EU11 region under several scenarios for the future dynamics of physical and human capital accumulation and shifts of the technology frontier. Using the estimated parameters of a panel regression model, Crespo Cuaresma, Havettová, and Lábaj (2012) propose to create income per capita projections for the countries in the European Union based on combinations of paths of physical capital accumulation (high, medium, and low scenarios); human capital dynamics (constant attainment rate and improvement scenarios); and technology frontier shifts (constant and linear extrapolation). By assigning such scenarios to different EU regions (EU11 versus EU15, in our case), the exercise provides 144 potential income paths by country. These can be used to evaluate the potential for EU11 convergence by decade. The combination of scenarios implies that uncertainty about future developments in production factors is explicitly incorporated into the quantification of the income convergence progress (see also Hlouskova and Wagner, 2005, for related income projection models applied to Central and Eastern European economies).</w:t>
      </w:r>
    </w:p>
  </w:footnote>
  <w:footnote w:id="14">
    <w:p w:rsidR="00A24079" w:rsidRDefault="00A24079" w:rsidP="00CB00A7">
      <w:pPr>
        <w:pStyle w:val="FootnoteText"/>
      </w:pPr>
      <w:r w:rsidRPr="003D799F">
        <w:rPr>
          <w:rStyle w:val="FootnoteReference"/>
          <w:rFonts w:ascii="Cambria" w:hAnsi="Cambria"/>
          <w:szCs w:val="18"/>
        </w:rPr>
        <w:footnoteRef/>
      </w:r>
      <w:r w:rsidRPr="003D799F">
        <w:rPr>
          <w:rFonts w:ascii="Cambria" w:hAnsi="Cambria"/>
          <w:szCs w:val="18"/>
        </w:rPr>
        <w:t xml:space="preserve"> The results presented here are based on a simulation design that implicitly assigns equal likelihood to all possible scenarios. Weighting income projections by </w:t>
      </w:r>
      <w:r w:rsidRPr="003D799F">
        <w:rPr>
          <w:rFonts w:ascii="Cambria" w:hAnsi="Cambria"/>
          <w:i/>
          <w:szCs w:val="18"/>
        </w:rPr>
        <w:t>a priori</w:t>
      </w:r>
      <w:r w:rsidRPr="003D799F">
        <w:rPr>
          <w:rFonts w:ascii="Cambria" w:hAnsi="Cambria"/>
          <w:szCs w:val="18"/>
        </w:rPr>
        <w:t xml:space="preserve"> subjective probabilities of occurrence will yield shifts in the projections’ histogram.   </w:t>
      </w:r>
    </w:p>
  </w:footnote>
  <w:footnote w:id="15">
    <w:p w:rsidR="00A24079" w:rsidRDefault="00A24079" w:rsidP="00B56F2B">
      <w:pPr>
        <w:pStyle w:val="FootnoteText"/>
        <w:spacing w:before="0" w:after="0"/>
      </w:pPr>
      <w:r w:rsidRPr="003D799F">
        <w:rPr>
          <w:rStyle w:val="FootnoteReference"/>
          <w:rFonts w:ascii="Cambria" w:hAnsi="Cambria"/>
          <w:szCs w:val="18"/>
          <w:lang w:val="en-GB"/>
        </w:rPr>
        <w:footnoteRef/>
      </w:r>
      <w:r w:rsidRPr="003D799F">
        <w:rPr>
          <w:rFonts w:ascii="Cambria" w:hAnsi="Cambria"/>
          <w:szCs w:val="18"/>
          <w:lang w:val="en-GB"/>
        </w:rPr>
        <w:t xml:space="preserve"> Recently, a number of scholars have emphasized the prominent role of human capital accumulation as a driver of income growth and convergence in Europe in studies of the determinants of economic growth and income convergence patterns in Europe (see LeSage and Fischer 2008; Crespo Cuaresma, Doppelhofer; and Feldkircher 2012; and Crespo Cuaresma and Feldkircher 2012).</w:t>
      </w:r>
    </w:p>
  </w:footnote>
  <w:footnote w:id="16">
    <w:p w:rsidR="00A24079" w:rsidRDefault="00A24079">
      <w:pPr>
        <w:pStyle w:val="FootnoteText"/>
      </w:pPr>
      <w:r w:rsidRPr="003D799F">
        <w:rPr>
          <w:rStyle w:val="FootnoteReference"/>
          <w:rFonts w:ascii="Cambria" w:hAnsi="Cambria"/>
          <w:szCs w:val="18"/>
        </w:rPr>
        <w:footnoteRef/>
      </w:r>
      <w:r w:rsidRPr="003D799F">
        <w:rPr>
          <w:rFonts w:ascii="Cambria" w:hAnsi="Cambria"/>
          <w:szCs w:val="18"/>
        </w:rPr>
        <w:t xml:space="preserve"> While EU15-Continental comprises six EU countries (Austria, Belgium, France, Germany, Luxemburg, and the Netherlands), the aggregates are largely driven by Germany. The latter accounts for almost one half of the EU15-Continental output. </w:t>
      </w:r>
    </w:p>
  </w:footnote>
  <w:footnote w:id="17">
    <w:p w:rsidR="00A24079" w:rsidRDefault="00A24079" w:rsidP="00B56F2B">
      <w:pPr>
        <w:pStyle w:val="FootnoteText"/>
        <w:spacing w:before="0" w:after="0"/>
      </w:pPr>
      <w:r w:rsidRPr="003D799F">
        <w:rPr>
          <w:rStyle w:val="FootnoteReference"/>
          <w:rFonts w:ascii="Cambria" w:hAnsi="Cambria"/>
          <w:szCs w:val="18"/>
        </w:rPr>
        <w:footnoteRef/>
      </w:r>
      <w:r w:rsidRPr="003D799F">
        <w:rPr>
          <w:rFonts w:ascii="Cambria" w:hAnsi="Cambria"/>
          <w:szCs w:val="18"/>
        </w:rPr>
        <w:t xml:space="preserve"> In other parts of the world, capital flows went uphill – from poorer countries like China to richer ones like the United States. This pattern, though puzzling, is well-established.</w:t>
      </w:r>
    </w:p>
  </w:footnote>
  <w:footnote w:id="18">
    <w:p w:rsidR="00A24079" w:rsidRDefault="00A24079">
      <w:pPr>
        <w:pStyle w:val="FootnoteText"/>
      </w:pPr>
      <w:r w:rsidRPr="003D799F">
        <w:rPr>
          <w:rStyle w:val="FootnoteReference"/>
          <w:rFonts w:ascii="Cambria" w:hAnsi="Cambria"/>
          <w:szCs w:val="18"/>
        </w:rPr>
        <w:footnoteRef/>
      </w:r>
      <w:r w:rsidRPr="003D799F">
        <w:rPr>
          <w:rFonts w:ascii="Cambria" w:hAnsi="Cambria"/>
          <w:szCs w:val="18"/>
        </w:rPr>
        <w:t xml:space="preserve"> The European Bank Coordination (“Vienna”) Initiative was established at the height of the global crisis of 2008-09 as a private-public sector platform to secure adequate capital and liquidity support by West European banking groups for their affiliates in Central, Eastern, and Southeastern Europe. The initiative was re-launched in January 2012 in response to renewed risks for the region from the Euro area crisis.</w:t>
      </w:r>
    </w:p>
  </w:footnote>
  <w:footnote w:id="19">
    <w:p w:rsidR="00A24079" w:rsidRDefault="00A24079" w:rsidP="00B56F2B">
      <w:pPr>
        <w:pStyle w:val="FootnoteText"/>
        <w:spacing w:before="0" w:after="0"/>
      </w:pPr>
      <w:r w:rsidRPr="003D799F">
        <w:rPr>
          <w:rStyle w:val="FootnoteReference"/>
          <w:rFonts w:ascii="Cambria" w:hAnsi="Cambria"/>
          <w:szCs w:val="18"/>
        </w:rPr>
        <w:footnoteRef/>
      </w:r>
      <w:r w:rsidRPr="003D799F">
        <w:rPr>
          <w:rFonts w:ascii="Cambria" w:hAnsi="Cambria"/>
          <w:szCs w:val="18"/>
        </w:rPr>
        <w:t xml:space="preserve"> Empirically, Harding and Javorcik (2011) demonstrate that promoting investments in emerging economies increases FDI inflows into these countries. The total economic impact of the improved business environment in EU11 economies deserves more careful scientific treatment. It would be interesting to assess empirically whether similar FDI projects in EU11 economies with different business environments progress differently. Finally, to fully understand how business regulation affects firm size, productivity, etc. it might be helpful to compare firms within each EU11 country. Differences between countries might have other causes than simply differences in the business environment. Studying variation in regulation of different industries within EU11 economies could be a source of information for future studies.</w:t>
      </w:r>
    </w:p>
  </w:footnote>
  <w:footnote w:id="20">
    <w:p w:rsidR="00A24079" w:rsidRDefault="00A24079" w:rsidP="00B56F2B">
      <w:pPr>
        <w:pStyle w:val="FootnoteText"/>
        <w:spacing w:before="0" w:after="0"/>
      </w:pPr>
      <w:r w:rsidRPr="003D799F">
        <w:rPr>
          <w:rStyle w:val="FootnoteReference"/>
          <w:rFonts w:ascii="Cambria" w:hAnsi="Cambria"/>
          <w:szCs w:val="18"/>
        </w:rPr>
        <w:footnoteRef/>
      </w:r>
      <w:r w:rsidRPr="003D799F">
        <w:rPr>
          <w:rFonts w:ascii="Cambria" w:hAnsi="Cambria"/>
          <w:szCs w:val="18"/>
        </w:rPr>
        <w:t xml:space="preserve"> For excellent surveys on estimation and calculation of firm TFP, see  Del Gatto, Di Liberto, and Petraglia (2011) and Van Beveren (2012).</w:t>
      </w:r>
    </w:p>
  </w:footnote>
  <w:footnote w:id="21">
    <w:p w:rsidR="00A24079" w:rsidRDefault="00A24079" w:rsidP="00B56F2B">
      <w:pPr>
        <w:pStyle w:val="FootnoteText"/>
        <w:spacing w:before="0" w:after="0"/>
      </w:pPr>
      <w:r w:rsidRPr="003D799F">
        <w:rPr>
          <w:rStyle w:val="FootnoteReference"/>
          <w:rFonts w:ascii="Cambria" w:hAnsi="Cambria"/>
          <w:szCs w:val="18"/>
        </w:rPr>
        <w:footnoteRef/>
      </w:r>
      <w:r w:rsidRPr="003D799F">
        <w:rPr>
          <w:rFonts w:ascii="Cambria" w:hAnsi="Cambria"/>
          <w:szCs w:val="18"/>
        </w:rPr>
        <w:t xml:space="preserve"> There is variation in the outcome productivity variables that cannot be fully explained by FDI inflows. One remarkable result is that productivity growth varies a lot for countries that attract very similar amounts of FDI (see, e.g., Latvia and the Slovakia).</w:t>
      </w:r>
    </w:p>
  </w:footnote>
  <w:footnote w:id="22">
    <w:p w:rsidR="00A24079" w:rsidRDefault="00A24079" w:rsidP="00B56F2B">
      <w:pPr>
        <w:pStyle w:val="FootnoteText"/>
        <w:spacing w:before="0" w:after="0"/>
      </w:pPr>
      <w:r w:rsidRPr="003D799F">
        <w:rPr>
          <w:rStyle w:val="FootnoteReference"/>
          <w:rFonts w:ascii="Cambria" w:hAnsi="Cambria"/>
          <w:szCs w:val="18"/>
        </w:rPr>
        <w:footnoteRef/>
      </w:r>
      <w:r w:rsidRPr="003D799F">
        <w:rPr>
          <w:rFonts w:ascii="Cambria" w:hAnsi="Cambria"/>
          <w:szCs w:val="18"/>
        </w:rPr>
        <w:t xml:space="preserve"> The demographic prospects of economies in Central and Eastern Europe were discussed extensively in World Bank (2007). See Annex 2 for more detail.</w:t>
      </w:r>
    </w:p>
  </w:footnote>
  <w:footnote w:id="23">
    <w:p w:rsidR="00A24079" w:rsidRDefault="00A24079" w:rsidP="00B56F2B">
      <w:pPr>
        <w:pStyle w:val="FootnoteText"/>
        <w:spacing w:before="0" w:after="0"/>
      </w:pPr>
      <w:r w:rsidRPr="003D799F">
        <w:rPr>
          <w:rStyle w:val="FootnoteReference"/>
          <w:rFonts w:ascii="Cambria" w:hAnsi="Cambria"/>
          <w:szCs w:val="18"/>
        </w:rPr>
        <w:footnoteRef/>
      </w:r>
      <w:r w:rsidRPr="003D799F">
        <w:rPr>
          <w:rFonts w:ascii="Cambria" w:hAnsi="Cambria"/>
          <w:szCs w:val="18"/>
        </w:rPr>
        <w:t xml:space="preserve"> These figures are based on the median scenario of the UN World Population Projections.</w:t>
      </w:r>
    </w:p>
  </w:footnote>
  <w:footnote w:id="24">
    <w:p w:rsidR="00A24079" w:rsidRDefault="00A24079" w:rsidP="00B56F2B">
      <w:pPr>
        <w:pStyle w:val="FootnoteText"/>
        <w:spacing w:before="0" w:after="0"/>
      </w:pPr>
      <w:r w:rsidRPr="003D799F">
        <w:rPr>
          <w:rStyle w:val="FootnoteReference"/>
          <w:rFonts w:ascii="Cambria" w:hAnsi="Cambria"/>
          <w:szCs w:val="18"/>
        </w:rPr>
        <w:footnoteRef/>
      </w:r>
      <w:r w:rsidRPr="003D799F">
        <w:rPr>
          <w:rFonts w:ascii="Cambria" w:hAnsi="Cambria"/>
          <w:szCs w:val="18"/>
        </w:rPr>
        <w:t xml:space="preserve"> The method combines age-, sex-, and educational attainment-specific participation rates obtained from the European Labor Force Survey with population projections by age, sex and education calculated using the probabilistic population projection methods described by KC et at (2010)</w:t>
      </w:r>
    </w:p>
  </w:footnote>
  <w:footnote w:id="25">
    <w:p w:rsidR="00A24079" w:rsidRDefault="00A24079" w:rsidP="00B56F2B">
      <w:pPr>
        <w:pStyle w:val="FootnoteText"/>
        <w:spacing w:before="0" w:after="0"/>
      </w:pPr>
      <w:r w:rsidRPr="003D799F">
        <w:rPr>
          <w:rStyle w:val="FootnoteReference"/>
          <w:rFonts w:ascii="Cambria" w:hAnsi="Cambria"/>
          <w:szCs w:val="18"/>
        </w:rPr>
        <w:footnoteRef/>
      </w:r>
      <w:r w:rsidRPr="003D799F">
        <w:rPr>
          <w:rFonts w:ascii="Cambria" w:hAnsi="Cambria"/>
          <w:szCs w:val="18"/>
        </w:rPr>
        <w:t xml:space="preserve"> See also the theoretical underpinnings in Mayr and Peri (2009).</w:t>
      </w:r>
    </w:p>
  </w:footnote>
  <w:footnote w:id="26">
    <w:p w:rsidR="00A24079" w:rsidRDefault="00A24079" w:rsidP="00B56F2B">
      <w:pPr>
        <w:pStyle w:val="FootnoteText"/>
        <w:spacing w:before="0" w:after="0"/>
      </w:pPr>
      <w:r w:rsidRPr="003D799F">
        <w:rPr>
          <w:rStyle w:val="FootnoteReference"/>
          <w:rFonts w:ascii="Cambria" w:hAnsi="Cambria"/>
          <w:szCs w:val="18"/>
        </w:rPr>
        <w:footnoteRef/>
      </w:r>
      <w:r w:rsidRPr="003D799F">
        <w:rPr>
          <w:rFonts w:ascii="Cambria" w:hAnsi="Cambria"/>
          <w:szCs w:val="18"/>
        </w:rPr>
        <w:t xml:space="preserve"> Following Crespo Cuaresma, Havettová and Lábaj (2012), we assume that this share will grow at a speed estimated from the historical experience of countries at similar levels of educational attainment while tertiary educational attainment rates in the rest of Europe remain constant. That scenario implies that EU11 would over time build up a positive differential in human capital accumulation with respect to the rest of the EU that would materialize in a difference of 8 percentage points in the tertiary education attainment rate by 2050.</w:t>
      </w:r>
    </w:p>
  </w:footnote>
  <w:footnote w:id="27">
    <w:p w:rsidR="00A24079" w:rsidRDefault="00A24079" w:rsidP="003D799F">
      <w:pPr>
        <w:pStyle w:val="FootnoteText"/>
      </w:pPr>
      <w:r w:rsidRPr="003D799F">
        <w:rPr>
          <w:rStyle w:val="FootnoteReference"/>
          <w:rFonts w:ascii="Cambria" w:hAnsi="Cambria"/>
          <w:szCs w:val="18"/>
        </w:rPr>
        <w:footnoteRef/>
      </w:r>
      <w:r w:rsidRPr="003D799F">
        <w:rPr>
          <w:rFonts w:ascii="Cambria" w:hAnsi="Cambria"/>
          <w:szCs w:val="18"/>
        </w:rPr>
        <w:t xml:space="preserve"> This annex is based on the European Commission. (2012).  The 2012 Ageing Report: Underlying Assumptions and Projection Methodologies.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079" w:rsidRDefault="00A2407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4149E"/>
    <w:multiLevelType w:val="hybridMultilevel"/>
    <w:tmpl w:val="5ADAD472"/>
    <w:lvl w:ilvl="0" w:tplc="5B684090">
      <w:start w:val="1"/>
      <w:numFmt w:val="upperLetter"/>
      <w:pStyle w:val="BYPERHeadlineLevel1"/>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AFF0B29"/>
    <w:multiLevelType w:val="hybridMultilevel"/>
    <w:tmpl w:val="9F867E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DCD16B1"/>
    <w:multiLevelType w:val="hybridMultilevel"/>
    <w:tmpl w:val="4E2A02F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F86332A"/>
    <w:multiLevelType w:val="hybridMultilevel"/>
    <w:tmpl w:val="338AB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232EA2"/>
    <w:multiLevelType w:val="hybridMultilevel"/>
    <w:tmpl w:val="69705B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104D19"/>
    <w:multiLevelType w:val="hybridMultilevel"/>
    <w:tmpl w:val="0116F320"/>
    <w:lvl w:ilvl="0" w:tplc="0415000F">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1C267DD"/>
    <w:multiLevelType w:val="hybridMultilevel"/>
    <w:tmpl w:val="B7C8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B90992"/>
    <w:multiLevelType w:val="hybridMultilevel"/>
    <w:tmpl w:val="9FB43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4676C2B"/>
    <w:multiLevelType w:val="hybridMultilevel"/>
    <w:tmpl w:val="51A0E798"/>
    <w:lvl w:ilvl="0" w:tplc="D8A84C38">
      <w:start w:val="3840"/>
      <w:numFmt w:val="bullet"/>
      <w:lvlText w:val="-"/>
      <w:lvlJc w:val="left"/>
      <w:pPr>
        <w:ind w:left="720" w:hanging="360"/>
      </w:pPr>
      <w:rPr>
        <w:rFonts w:ascii="Cambria" w:eastAsia="Times New Roman"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CE1994"/>
    <w:multiLevelType w:val="hybridMultilevel"/>
    <w:tmpl w:val="1368D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0014EE"/>
    <w:multiLevelType w:val="hybridMultilevel"/>
    <w:tmpl w:val="4C70DA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9A5178E"/>
    <w:multiLevelType w:val="hybridMultilevel"/>
    <w:tmpl w:val="F704EEDC"/>
    <w:lvl w:ilvl="0" w:tplc="8B968D1C">
      <w:start w:val="1"/>
      <w:numFmt w:val="decimal"/>
      <w:lvlText w:val="%1)"/>
      <w:lvlJc w:val="left"/>
      <w:pPr>
        <w:ind w:left="720" w:hanging="360"/>
      </w:pPr>
      <w:rPr>
        <w:rFonts w:cs="Times New Roman"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AAE4623"/>
    <w:multiLevelType w:val="hybridMultilevel"/>
    <w:tmpl w:val="84C02AE2"/>
    <w:lvl w:ilvl="0" w:tplc="D6425A10">
      <w:start w:val="1"/>
      <w:numFmt w:val="decimal"/>
      <w:lvlText w:val="%1."/>
      <w:lvlJc w:val="left"/>
      <w:pPr>
        <w:ind w:left="720" w:hanging="360"/>
      </w:pPr>
      <w:rPr>
        <w:rFonts w:eastAsia="Times New Roman" w:cs="Cambria-Bold" w:hint="default"/>
        <w:b/>
        <w:color w:val="4F83B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76B5C5E"/>
    <w:multiLevelType w:val="hybridMultilevel"/>
    <w:tmpl w:val="DEFC1760"/>
    <w:lvl w:ilvl="0" w:tplc="8B968D1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2B5F0B39"/>
    <w:multiLevelType w:val="hybridMultilevel"/>
    <w:tmpl w:val="617064D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2B841B2C"/>
    <w:multiLevelType w:val="hybridMultilevel"/>
    <w:tmpl w:val="17C6734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nsid w:val="3B2B1472"/>
    <w:multiLevelType w:val="hybridMultilevel"/>
    <w:tmpl w:val="97C84B26"/>
    <w:lvl w:ilvl="0" w:tplc="2F66CF76">
      <w:start w:val="57"/>
      <w:numFmt w:val="bullet"/>
      <w:lvlText w:val="-"/>
      <w:lvlJc w:val="left"/>
      <w:pPr>
        <w:ind w:left="720" w:hanging="360"/>
      </w:pPr>
      <w:rPr>
        <w:rFonts w:ascii="Cambria" w:eastAsia="Times New Roman"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872A5A"/>
    <w:multiLevelType w:val="hybridMultilevel"/>
    <w:tmpl w:val="08F635CE"/>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B411B5"/>
    <w:multiLevelType w:val="hybridMultilevel"/>
    <w:tmpl w:val="177424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8315699"/>
    <w:multiLevelType w:val="hybridMultilevel"/>
    <w:tmpl w:val="041640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8565D4D"/>
    <w:multiLevelType w:val="hybridMultilevel"/>
    <w:tmpl w:val="4B0EE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4ACE7C12"/>
    <w:multiLevelType w:val="hybridMultilevel"/>
    <w:tmpl w:val="301268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BD72E4D"/>
    <w:multiLevelType w:val="hybridMultilevel"/>
    <w:tmpl w:val="855201B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84EAA416">
      <w:numFmt w:val="bullet"/>
      <w:lvlText w:val="-"/>
      <w:lvlJc w:val="left"/>
      <w:pPr>
        <w:tabs>
          <w:tab w:val="num" w:pos="1950"/>
        </w:tabs>
        <w:ind w:left="1950" w:hanging="510"/>
      </w:pPr>
      <w:rPr>
        <w:rFonts w:ascii="Trebuchet MS" w:eastAsia="Times New Roman" w:hAnsi="Trebuchet M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4DCA078C"/>
    <w:multiLevelType w:val="hybridMultilevel"/>
    <w:tmpl w:val="88BAC9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DD64C1C"/>
    <w:multiLevelType w:val="hybridMultilevel"/>
    <w:tmpl w:val="69B251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DFD2CD9"/>
    <w:multiLevelType w:val="hybridMultilevel"/>
    <w:tmpl w:val="744CF794"/>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6">
    <w:nsid w:val="4FEF48D3"/>
    <w:multiLevelType w:val="hybridMultilevel"/>
    <w:tmpl w:val="1BAAB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304CFD"/>
    <w:multiLevelType w:val="hybridMultilevel"/>
    <w:tmpl w:val="B19A1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B918C6"/>
    <w:multiLevelType w:val="hybridMultilevel"/>
    <w:tmpl w:val="1B9C9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EF221A0"/>
    <w:multiLevelType w:val="multilevel"/>
    <w:tmpl w:val="731C6F92"/>
    <w:lvl w:ilvl="0">
      <w:start w:val="1"/>
      <w:numFmt w:val="upperRoman"/>
      <w:pStyle w:val="QERH1"/>
      <w:lvlText w:val="%1."/>
      <w:lvlJc w:val="left"/>
      <w:pPr>
        <w:tabs>
          <w:tab w:val="num" w:pos="0"/>
        </w:tabs>
      </w:pPr>
      <w:rPr>
        <w:rFonts w:ascii="Trebuchet MS" w:hAnsi="Trebuchet MS" w:cs="Times New Roman" w:hint="default"/>
        <w:sz w:val="40"/>
        <w:szCs w:val="40"/>
      </w:rPr>
    </w:lvl>
    <w:lvl w:ilvl="1">
      <w:start w:val="1"/>
      <w:numFmt w:val="decimal"/>
      <w:lvlText w:val="%1.%2."/>
      <w:lvlJc w:val="left"/>
      <w:pPr>
        <w:tabs>
          <w:tab w:val="num" w:pos="0"/>
        </w:tabs>
      </w:pPr>
      <w:rPr>
        <w:rFonts w:ascii="Trebuchet MS" w:hAnsi="Trebuchet MS" w:cs="Times New Roman" w:hint="default"/>
      </w:rPr>
    </w:lvl>
    <w:lvl w:ilvl="2">
      <w:start w:val="1"/>
      <w:numFmt w:val="none"/>
      <w:pStyle w:val="QERH3"/>
      <w:lvlText w:val="%3"/>
      <w:lvlJc w:val="left"/>
      <w:pPr>
        <w:tabs>
          <w:tab w:val="num" w:pos="0"/>
        </w:tabs>
      </w:pPr>
      <w:rPr>
        <w:rFonts w:ascii="Trebuchet MS" w:hAnsi="Trebuchet MS" w:cs="Times New Roman" w:hint="default"/>
      </w:rPr>
    </w:lvl>
    <w:lvl w:ilvl="3">
      <w:start w:val="1"/>
      <w:numFmt w:val="lowerLetter"/>
      <w:lvlText w:val="%4)"/>
      <w:lvlJc w:val="left"/>
      <w:pPr>
        <w:tabs>
          <w:tab w:val="num" w:pos="2520"/>
        </w:tabs>
        <w:ind w:left="2160"/>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30">
    <w:nsid w:val="5FC43C66"/>
    <w:multiLevelType w:val="hybridMultilevel"/>
    <w:tmpl w:val="9E64C85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602F266C"/>
    <w:multiLevelType w:val="hybridMultilevel"/>
    <w:tmpl w:val="931893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3767FCF"/>
    <w:multiLevelType w:val="hybridMultilevel"/>
    <w:tmpl w:val="DEE2182E"/>
    <w:lvl w:ilvl="0" w:tplc="1C4026B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657E51DB"/>
    <w:multiLevelType w:val="hybridMultilevel"/>
    <w:tmpl w:val="F1CCB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E669AD"/>
    <w:multiLevelType w:val="hybridMultilevel"/>
    <w:tmpl w:val="A5762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BC156B"/>
    <w:multiLevelType w:val="hybridMultilevel"/>
    <w:tmpl w:val="1C0C7E0E"/>
    <w:lvl w:ilvl="0" w:tplc="88BC310C">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C0722D2"/>
    <w:multiLevelType w:val="hybridMultilevel"/>
    <w:tmpl w:val="48E048D8"/>
    <w:lvl w:ilvl="0" w:tplc="0415000F">
      <w:start w:val="1"/>
      <w:numFmt w:val="bullet"/>
      <w:lvlText w:val=""/>
      <w:lvlJc w:val="left"/>
      <w:pPr>
        <w:tabs>
          <w:tab w:val="num" w:pos="360"/>
        </w:tabs>
        <w:ind w:left="360" w:hanging="360"/>
      </w:pPr>
      <w:rPr>
        <w:rFonts w:ascii="Symbol" w:hAnsi="Symbol" w:hint="default"/>
      </w:rPr>
    </w:lvl>
    <w:lvl w:ilvl="1" w:tplc="B35EBC46">
      <w:start w:val="2"/>
      <w:numFmt w:val="bullet"/>
      <w:lvlText w:val="-"/>
      <w:lvlJc w:val="left"/>
      <w:pPr>
        <w:tabs>
          <w:tab w:val="num" w:pos="1080"/>
        </w:tabs>
        <w:ind w:left="1080" w:hanging="360"/>
      </w:pPr>
      <w:rPr>
        <w:rFonts w:ascii="Trebuchet MS" w:eastAsia="Times New Roman" w:hAnsi="Trebuchet MS" w:hint="default"/>
      </w:rPr>
    </w:lvl>
    <w:lvl w:ilvl="2" w:tplc="0415001B" w:tentative="1">
      <w:start w:val="1"/>
      <w:numFmt w:val="bullet"/>
      <w:lvlText w:val=""/>
      <w:lvlJc w:val="left"/>
      <w:pPr>
        <w:tabs>
          <w:tab w:val="num" w:pos="1800"/>
        </w:tabs>
        <w:ind w:left="1800" w:hanging="360"/>
      </w:pPr>
      <w:rPr>
        <w:rFonts w:ascii="Wingdings" w:hAnsi="Wingdings" w:hint="default"/>
      </w:rPr>
    </w:lvl>
    <w:lvl w:ilvl="3" w:tplc="0415000F" w:tentative="1">
      <w:start w:val="1"/>
      <w:numFmt w:val="bullet"/>
      <w:lvlText w:val=""/>
      <w:lvlJc w:val="left"/>
      <w:pPr>
        <w:tabs>
          <w:tab w:val="num" w:pos="2520"/>
        </w:tabs>
        <w:ind w:left="2520" w:hanging="360"/>
      </w:pPr>
      <w:rPr>
        <w:rFonts w:ascii="Symbol" w:hAnsi="Symbol" w:hint="default"/>
      </w:rPr>
    </w:lvl>
    <w:lvl w:ilvl="4" w:tplc="04150019" w:tentative="1">
      <w:start w:val="1"/>
      <w:numFmt w:val="bullet"/>
      <w:lvlText w:val="o"/>
      <w:lvlJc w:val="left"/>
      <w:pPr>
        <w:tabs>
          <w:tab w:val="num" w:pos="3240"/>
        </w:tabs>
        <w:ind w:left="3240" w:hanging="360"/>
      </w:pPr>
      <w:rPr>
        <w:rFonts w:ascii="Courier New" w:hAnsi="Courier New" w:hint="default"/>
      </w:rPr>
    </w:lvl>
    <w:lvl w:ilvl="5" w:tplc="0415001B" w:tentative="1">
      <w:start w:val="1"/>
      <w:numFmt w:val="bullet"/>
      <w:lvlText w:val=""/>
      <w:lvlJc w:val="left"/>
      <w:pPr>
        <w:tabs>
          <w:tab w:val="num" w:pos="3960"/>
        </w:tabs>
        <w:ind w:left="3960" w:hanging="360"/>
      </w:pPr>
      <w:rPr>
        <w:rFonts w:ascii="Wingdings" w:hAnsi="Wingdings" w:hint="default"/>
      </w:rPr>
    </w:lvl>
    <w:lvl w:ilvl="6" w:tplc="0415000F" w:tentative="1">
      <w:start w:val="1"/>
      <w:numFmt w:val="bullet"/>
      <w:lvlText w:val=""/>
      <w:lvlJc w:val="left"/>
      <w:pPr>
        <w:tabs>
          <w:tab w:val="num" w:pos="4680"/>
        </w:tabs>
        <w:ind w:left="4680" w:hanging="360"/>
      </w:pPr>
      <w:rPr>
        <w:rFonts w:ascii="Symbol" w:hAnsi="Symbol" w:hint="default"/>
      </w:rPr>
    </w:lvl>
    <w:lvl w:ilvl="7" w:tplc="04150019" w:tentative="1">
      <w:start w:val="1"/>
      <w:numFmt w:val="bullet"/>
      <w:lvlText w:val="o"/>
      <w:lvlJc w:val="left"/>
      <w:pPr>
        <w:tabs>
          <w:tab w:val="num" w:pos="5400"/>
        </w:tabs>
        <w:ind w:left="5400" w:hanging="360"/>
      </w:pPr>
      <w:rPr>
        <w:rFonts w:ascii="Courier New" w:hAnsi="Courier New" w:hint="default"/>
      </w:rPr>
    </w:lvl>
    <w:lvl w:ilvl="8" w:tplc="0415001B" w:tentative="1">
      <w:start w:val="1"/>
      <w:numFmt w:val="bullet"/>
      <w:lvlText w:val=""/>
      <w:lvlJc w:val="left"/>
      <w:pPr>
        <w:tabs>
          <w:tab w:val="num" w:pos="6120"/>
        </w:tabs>
        <w:ind w:left="6120" w:hanging="360"/>
      </w:pPr>
      <w:rPr>
        <w:rFonts w:ascii="Wingdings" w:hAnsi="Wingdings" w:hint="default"/>
      </w:rPr>
    </w:lvl>
  </w:abstractNum>
  <w:abstractNum w:abstractNumId="37">
    <w:nsid w:val="6EDD6936"/>
    <w:multiLevelType w:val="hybridMultilevel"/>
    <w:tmpl w:val="FDB25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6733E4"/>
    <w:multiLevelType w:val="hybridMultilevel"/>
    <w:tmpl w:val="84C02AE2"/>
    <w:lvl w:ilvl="0" w:tplc="D6425A10">
      <w:start w:val="1"/>
      <w:numFmt w:val="decimal"/>
      <w:lvlText w:val="%1."/>
      <w:lvlJc w:val="left"/>
      <w:pPr>
        <w:ind w:left="720" w:hanging="360"/>
      </w:pPr>
      <w:rPr>
        <w:rFonts w:eastAsia="Times New Roman" w:cs="Cambria-Bold" w:hint="default"/>
        <w:b/>
        <w:color w:val="4F83B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73C11663"/>
    <w:multiLevelType w:val="multilevel"/>
    <w:tmpl w:val="38322A84"/>
    <w:lvl w:ilvl="0">
      <w:start w:val="1"/>
      <w:numFmt w:val="decimal"/>
      <w:lvlText w:val="%1."/>
      <w:lvlJc w:val="left"/>
      <w:pPr>
        <w:tabs>
          <w:tab w:val="num" w:pos="1170"/>
        </w:tabs>
        <w:ind w:left="1170" w:hanging="360"/>
      </w:pPr>
      <w:rPr>
        <w:rFonts w:cs="Times New Roman" w:hint="default"/>
        <w:color w:val="auto"/>
        <w:sz w:val="28"/>
        <w:szCs w:val="28"/>
      </w:rPr>
    </w:lvl>
    <w:lvl w:ilvl="1">
      <w:start w:val="1"/>
      <w:numFmt w:val="decimal"/>
      <w:pStyle w:val="MainParawithChapter"/>
      <w:lvlText w:val="%1.%2"/>
      <w:lvlJc w:val="left"/>
      <w:pPr>
        <w:tabs>
          <w:tab w:val="num" w:pos="810"/>
        </w:tabs>
        <w:ind w:left="810" w:hanging="720"/>
      </w:pPr>
      <w:rPr>
        <w:rFonts w:cs="Times New Roman" w:hint="default"/>
        <w:b w:val="0"/>
        <w:i w:val="0"/>
        <w:color w:val="auto"/>
      </w:rPr>
    </w:lvl>
    <w:lvl w:ilvl="2">
      <w:start w:val="1"/>
      <w:numFmt w:val="decimal"/>
      <w:lvlText w:val="%3)"/>
      <w:lvlJc w:val="left"/>
      <w:pPr>
        <w:tabs>
          <w:tab w:val="num" w:pos="1440"/>
        </w:tabs>
        <w:ind w:left="1080" w:hanging="360"/>
      </w:pPr>
      <w:rPr>
        <w:rFonts w:cs="Times New Roman" w:hint="default"/>
        <w:b w:val="0"/>
      </w:rPr>
    </w:lvl>
    <w:lvl w:ilvl="3">
      <w:start w:val="1"/>
      <w:numFmt w:val="lowerRoman"/>
      <w:lvlText w:val="(%4)"/>
      <w:lvlJc w:val="left"/>
      <w:pPr>
        <w:tabs>
          <w:tab w:val="num" w:pos="216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520"/>
        </w:tabs>
        <w:ind w:left="2160" w:hanging="360"/>
      </w:pPr>
      <w:rPr>
        <w:rFonts w:cs="Times New Roman" w:hint="default"/>
      </w:rPr>
    </w:lvl>
    <w:lvl w:ilvl="6">
      <w:start w:val="1"/>
      <w:numFmt w:val="decimal"/>
      <w:lvlText w:val="%1.%2.%3.%4.%5.%6.%7."/>
      <w:lvlJc w:val="left"/>
      <w:pPr>
        <w:tabs>
          <w:tab w:val="num" w:pos="7200"/>
        </w:tabs>
        <w:ind w:left="6120" w:hanging="1080"/>
      </w:pPr>
      <w:rPr>
        <w:rFonts w:cs="Times New Roman" w:hint="default"/>
      </w:rPr>
    </w:lvl>
    <w:lvl w:ilvl="7">
      <w:start w:val="1"/>
      <w:numFmt w:val="decimal"/>
      <w:lvlText w:val="%1.%2.%3.%4.%5.%6.%7.%8."/>
      <w:lvlJc w:val="left"/>
      <w:pPr>
        <w:tabs>
          <w:tab w:val="num" w:pos="7560"/>
        </w:tabs>
        <w:ind w:left="6624" w:hanging="1224"/>
      </w:pPr>
      <w:rPr>
        <w:rFonts w:cs="Times New Roman" w:hint="default"/>
      </w:rPr>
    </w:lvl>
    <w:lvl w:ilvl="8">
      <w:start w:val="1"/>
      <w:numFmt w:val="decimal"/>
      <w:lvlText w:val="%1.%2.%3.%4.%5.%6.%7.%8.%9."/>
      <w:lvlJc w:val="left"/>
      <w:pPr>
        <w:tabs>
          <w:tab w:val="num" w:pos="8280"/>
        </w:tabs>
        <w:ind w:left="7200" w:hanging="1440"/>
      </w:pPr>
      <w:rPr>
        <w:rFonts w:cs="Times New Roman" w:hint="default"/>
      </w:rPr>
    </w:lvl>
  </w:abstractNum>
  <w:abstractNum w:abstractNumId="40">
    <w:nsid w:val="75580153"/>
    <w:multiLevelType w:val="hybridMultilevel"/>
    <w:tmpl w:val="D48A28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5CF5D5D"/>
    <w:multiLevelType w:val="hybridMultilevel"/>
    <w:tmpl w:val="EB024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CF4221"/>
    <w:multiLevelType w:val="hybridMultilevel"/>
    <w:tmpl w:val="04E2CB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BCB6A07"/>
    <w:multiLevelType w:val="hybridMultilevel"/>
    <w:tmpl w:val="AF04B05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nsid w:val="7F791CD7"/>
    <w:multiLevelType w:val="hybridMultilevel"/>
    <w:tmpl w:val="1FF8C69A"/>
    <w:lvl w:ilvl="0" w:tplc="D8BC5734">
      <w:start w:val="1"/>
      <w:numFmt w:val="bullet"/>
      <w:lvlText w:val=""/>
      <w:lvlJc w:val="left"/>
      <w:pPr>
        <w:tabs>
          <w:tab w:val="num" w:pos="227"/>
        </w:tabs>
        <w:ind w:left="227" w:hanging="22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22"/>
  </w:num>
  <w:num w:numId="3">
    <w:abstractNumId w:val="32"/>
  </w:num>
  <w:num w:numId="4">
    <w:abstractNumId w:val="43"/>
  </w:num>
  <w:num w:numId="5">
    <w:abstractNumId w:val="20"/>
  </w:num>
  <w:num w:numId="6">
    <w:abstractNumId w:val="4"/>
  </w:num>
  <w:num w:numId="7">
    <w:abstractNumId w:val="44"/>
  </w:num>
  <w:num w:numId="8">
    <w:abstractNumId w:val="5"/>
  </w:num>
  <w:num w:numId="9">
    <w:abstractNumId w:val="40"/>
  </w:num>
  <w:num w:numId="10">
    <w:abstractNumId w:val="29"/>
  </w:num>
  <w:num w:numId="11">
    <w:abstractNumId w:val="42"/>
  </w:num>
  <w:num w:numId="12">
    <w:abstractNumId w:val="15"/>
  </w:num>
  <w:num w:numId="13">
    <w:abstractNumId w:val="1"/>
  </w:num>
  <w:num w:numId="14">
    <w:abstractNumId w:val="3"/>
  </w:num>
  <w:num w:numId="15">
    <w:abstractNumId w:val="23"/>
  </w:num>
  <w:num w:numId="16">
    <w:abstractNumId w:val="28"/>
  </w:num>
  <w:num w:numId="17">
    <w:abstractNumId w:val="18"/>
  </w:num>
  <w:num w:numId="18">
    <w:abstractNumId w:val="19"/>
  </w:num>
  <w:num w:numId="19">
    <w:abstractNumId w:val="7"/>
  </w:num>
  <w:num w:numId="20">
    <w:abstractNumId w:val="24"/>
  </w:num>
  <w:num w:numId="21">
    <w:abstractNumId w:val="31"/>
  </w:num>
  <w:num w:numId="22">
    <w:abstractNumId w:val="30"/>
  </w:num>
  <w:num w:numId="23">
    <w:abstractNumId w:val="6"/>
  </w:num>
  <w:num w:numId="24">
    <w:abstractNumId w:val="10"/>
  </w:num>
  <w:num w:numId="25">
    <w:abstractNumId w:val="13"/>
  </w:num>
  <w:num w:numId="26">
    <w:abstractNumId w:val="11"/>
  </w:num>
  <w:num w:numId="27">
    <w:abstractNumId w:val="35"/>
  </w:num>
  <w:num w:numId="28">
    <w:abstractNumId w:val="2"/>
  </w:num>
  <w:num w:numId="29">
    <w:abstractNumId w:val="12"/>
  </w:num>
  <w:num w:numId="30">
    <w:abstractNumId w:val="38"/>
  </w:num>
  <w:num w:numId="31">
    <w:abstractNumId w:val="14"/>
  </w:num>
  <w:num w:numId="32">
    <w:abstractNumId w:val="25"/>
  </w:num>
  <w:num w:numId="33">
    <w:abstractNumId w:val="27"/>
  </w:num>
  <w:num w:numId="34">
    <w:abstractNumId w:val="34"/>
  </w:num>
  <w:num w:numId="35">
    <w:abstractNumId w:val="21"/>
  </w:num>
  <w:num w:numId="36">
    <w:abstractNumId w:val="8"/>
  </w:num>
  <w:num w:numId="37">
    <w:abstractNumId w:val="26"/>
  </w:num>
  <w:num w:numId="38">
    <w:abstractNumId w:val="16"/>
  </w:num>
  <w:num w:numId="39">
    <w:abstractNumId w:val="33"/>
  </w:num>
  <w:num w:numId="40">
    <w:abstractNumId w:val="17"/>
  </w:num>
  <w:num w:numId="41">
    <w:abstractNumId w:val="9"/>
  </w:num>
  <w:num w:numId="42">
    <w:abstractNumId w:val="0"/>
  </w:num>
  <w:num w:numId="43">
    <w:abstractNumId w:val="37"/>
  </w:num>
  <w:num w:numId="44">
    <w:abstractNumId w:val="41"/>
  </w:num>
  <w:num w:numId="45">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isplayBackgroundShape/>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6C5C11"/>
    <w:rsid w:val="00001EB7"/>
    <w:rsid w:val="0000254E"/>
    <w:rsid w:val="00004575"/>
    <w:rsid w:val="00005D4A"/>
    <w:rsid w:val="00013398"/>
    <w:rsid w:val="000142FA"/>
    <w:rsid w:val="00014AB2"/>
    <w:rsid w:val="000156E0"/>
    <w:rsid w:val="00021AAB"/>
    <w:rsid w:val="00021CCA"/>
    <w:rsid w:val="0002217B"/>
    <w:rsid w:val="00022E61"/>
    <w:rsid w:val="00030526"/>
    <w:rsid w:val="00030C23"/>
    <w:rsid w:val="00031E9E"/>
    <w:rsid w:val="00032615"/>
    <w:rsid w:val="00032E04"/>
    <w:rsid w:val="00033E9C"/>
    <w:rsid w:val="00040B75"/>
    <w:rsid w:val="00041AC0"/>
    <w:rsid w:val="00041D3F"/>
    <w:rsid w:val="00044664"/>
    <w:rsid w:val="00044AEE"/>
    <w:rsid w:val="0004546F"/>
    <w:rsid w:val="00046DAC"/>
    <w:rsid w:val="00050A6C"/>
    <w:rsid w:val="0005186F"/>
    <w:rsid w:val="000530B4"/>
    <w:rsid w:val="00053878"/>
    <w:rsid w:val="00061D32"/>
    <w:rsid w:val="00064A4C"/>
    <w:rsid w:val="0006773A"/>
    <w:rsid w:val="00070A0A"/>
    <w:rsid w:val="00070F3F"/>
    <w:rsid w:val="00072803"/>
    <w:rsid w:val="00075D89"/>
    <w:rsid w:val="000851A1"/>
    <w:rsid w:val="000866B1"/>
    <w:rsid w:val="000878AD"/>
    <w:rsid w:val="00095C13"/>
    <w:rsid w:val="00095E15"/>
    <w:rsid w:val="00096761"/>
    <w:rsid w:val="000A36FA"/>
    <w:rsid w:val="000A4404"/>
    <w:rsid w:val="000A51D8"/>
    <w:rsid w:val="000B1F14"/>
    <w:rsid w:val="000B33E9"/>
    <w:rsid w:val="000B410A"/>
    <w:rsid w:val="000B4464"/>
    <w:rsid w:val="000B46C9"/>
    <w:rsid w:val="000B4776"/>
    <w:rsid w:val="000B50B3"/>
    <w:rsid w:val="000B5425"/>
    <w:rsid w:val="000B7ADB"/>
    <w:rsid w:val="000C01A5"/>
    <w:rsid w:val="000C0FE8"/>
    <w:rsid w:val="000C171A"/>
    <w:rsid w:val="000C50E8"/>
    <w:rsid w:val="000C707E"/>
    <w:rsid w:val="000D0A84"/>
    <w:rsid w:val="000D151D"/>
    <w:rsid w:val="000D4284"/>
    <w:rsid w:val="000D5BC6"/>
    <w:rsid w:val="000E6BF0"/>
    <w:rsid w:val="000F0511"/>
    <w:rsid w:val="000F4B2D"/>
    <w:rsid w:val="000F6041"/>
    <w:rsid w:val="000F71D6"/>
    <w:rsid w:val="000F73E9"/>
    <w:rsid w:val="001077A2"/>
    <w:rsid w:val="001120C9"/>
    <w:rsid w:val="00113FF5"/>
    <w:rsid w:val="0011491B"/>
    <w:rsid w:val="00115C5C"/>
    <w:rsid w:val="00115C72"/>
    <w:rsid w:val="00115E5D"/>
    <w:rsid w:val="001211AC"/>
    <w:rsid w:val="00121670"/>
    <w:rsid w:val="001225AF"/>
    <w:rsid w:val="00122618"/>
    <w:rsid w:val="00123745"/>
    <w:rsid w:val="001245E0"/>
    <w:rsid w:val="001246D7"/>
    <w:rsid w:val="0013125E"/>
    <w:rsid w:val="00132EE1"/>
    <w:rsid w:val="00133428"/>
    <w:rsid w:val="001344E5"/>
    <w:rsid w:val="00134541"/>
    <w:rsid w:val="00140B02"/>
    <w:rsid w:val="00141486"/>
    <w:rsid w:val="00141633"/>
    <w:rsid w:val="0014318F"/>
    <w:rsid w:val="0014539E"/>
    <w:rsid w:val="001462A1"/>
    <w:rsid w:val="00146D50"/>
    <w:rsid w:val="0014724F"/>
    <w:rsid w:val="00150212"/>
    <w:rsid w:val="00150B73"/>
    <w:rsid w:val="001514FC"/>
    <w:rsid w:val="00151633"/>
    <w:rsid w:val="0017621A"/>
    <w:rsid w:val="00180C31"/>
    <w:rsid w:val="001836E3"/>
    <w:rsid w:val="00185C05"/>
    <w:rsid w:val="00186E9C"/>
    <w:rsid w:val="00193C79"/>
    <w:rsid w:val="001942A5"/>
    <w:rsid w:val="00194F13"/>
    <w:rsid w:val="00196F32"/>
    <w:rsid w:val="001A0A0C"/>
    <w:rsid w:val="001A0A0D"/>
    <w:rsid w:val="001A1055"/>
    <w:rsid w:val="001A14BB"/>
    <w:rsid w:val="001A356B"/>
    <w:rsid w:val="001A45DA"/>
    <w:rsid w:val="001A6BBF"/>
    <w:rsid w:val="001B0358"/>
    <w:rsid w:val="001B12FD"/>
    <w:rsid w:val="001B1A60"/>
    <w:rsid w:val="001B424B"/>
    <w:rsid w:val="001B54D5"/>
    <w:rsid w:val="001B78C6"/>
    <w:rsid w:val="001B7EE6"/>
    <w:rsid w:val="001C25CC"/>
    <w:rsid w:val="001C4C2F"/>
    <w:rsid w:val="001C7153"/>
    <w:rsid w:val="001D1E99"/>
    <w:rsid w:val="001D2D0C"/>
    <w:rsid w:val="001D3970"/>
    <w:rsid w:val="001D3C1D"/>
    <w:rsid w:val="001D4504"/>
    <w:rsid w:val="001D4E5C"/>
    <w:rsid w:val="001D4ED6"/>
    <w:rsid w:val="001D6555"/>
    <w:rsid w:val="001E375B"/>
    <w:rsid w:val="001E4BD0"/>
    <w:rsid w:val="001E4C57"/>
    <w:rsid w:val="001E5566"/>
    <w:rsid w:val="001E56ED"/>
    <w:rsid w:val="001E5E71"/>
    <w:rsid w:val="001E7102"/>
    <w:rsid w:val="001E72BE"/>
    <w:rsid w:val="001F20FD"/>
    <w:rsid w:val="001F4533"/>
    <w:rsid w:val="001F484B"/>
    <w:rsid w:val="001F52EA"/>
    <w:rsid w:val="001F7981"/>
    <w:rsid w:val="00200AD4"/>
    <w:rsid w:val="00205924"/>
    <w:rsid w:val="00205E2D"/>
    <w:rsid w:val="00211C7E"/>
    <w:rsid w:val="00214669"/>
    <w:rsid w:val="002167D4"/>
    <w:rsid w:val="00220AFF"/>
    <w:rsid w:val="002218C4"/>
    <w:rsid w:val="002230BA"/>
    <w:rsid w:val="002234E6"/>
    <w:rsid w:val="00223550"/>
    <w:rsid w:val="00227314"/>
    <w:rsid w:val="0022783D"/>
    <w:rsid w:val="002305AD"/>
    <w:rsid w:val="002308CB"/>
    <w:rsid w:val="00231B99"/>
    <w:rsid w:val="002341E8"/>
    <w:rsid w:val="00234825"/>
    <w:rsid w:val="00240AF5"/>
    <w:rsid w:val="00241B53"/>
    <w:rsid w:val="00244D32"/>
    <w:rsid w:val="002547FA"/>
    <w:rsid w:val="002572DA"/>
    <w:rsid w:val="0026206D"/>
    <w:rsid w:val="0026229A"/>
    <w:rsid w:val="00264DF5"/>
    <w:rsid w:val="002651B1"/>
    <w:rsid w:val="002675DC"/>
    <w:rsid w:val="00270515"/>
    <w:rsid w:val="00270C4A"/>
    <w:rsid w:val="00281C4E"/>
    <w:rsid w:val="002837C6"/>
    <w:rsid w:val="002841C6"/>
    <w:rsid w:val="00284EB8"/>
    <w:rsid w:val="00285523"/>
    <w:rsid w:val="002869B5"/>
    <w:rsid w:val="002870EC"/>
    <w:rsid w:val="00290AC9"/>
    <w:rsid w:val="00293BD7"/>
    <w:rsid w:val="00295344"/>
    <w:rsid w:val="00295B01"/>
    <w:rsid w:val="002A0220"/>
    <w:rsid w:val="002A2117"/>
    <w:rsid w:val="002A2AA9"/>
    <w:rsid w:val="002A30EA"/>
    <w:rsid w:val="002A4C0C"/>
    <w:rsid w:val="002A4E8B"/>
    <w:rsid w:val="002A5AAE"/>
    <w:rsid w:val="002A5EAE"/>
    <w:rsid w:val="002B178A"/>
    <w:rsid w:val="002B178E"/>
    <w:rsid w:val="002B1F54"/>
    <w:rsid w:val="002B2759"/>
    <w:rsid w:val="002B301B"/>
    <w:rsid w:val="002B4460"/>
    <w:rsid w:val="002B5CDA"/>
    <w:rsid w:val="002C0861"/>
    <w:rsid w:val="002C119A"/>
    <w:rsid w:val="002C393A"/>
    <w:rsid w:val="002D3331"/>
    <w:rsid w:val="002D3382"/>
    <w:rsid w:val="002D41E3"/>
    <w:rsid w:val="002D5088"/>
    <w:rsid w:val="002D5A57"/>
    <w:rsid w:val="002E269F"/>
    <w:rsid w:val="002E2896"/>
    <w:rsid w:val="002E32E2"/>
    <w:rsid w:val="002E355A"/>
    <w:rsid w:val="002E4E14"/>
    <w:rsid w:val="002E5BFD"/>
    <w:rsid w:val="002F0F91"/>
    <w:rsid w:val="002F11C7"/>
    <w:rsid w:val="002F121A"/>
    <w:rsid w:val="002F4A2C"/>
    <w:rsid w:val="002F5A3A"/>
    <w:rsid w:val="002F750B"/>
    <w:rsid w:val="003019EE"/>
    <w:rsid w:val="00301E0A"/>
    <w:rsid w:val="0030318E"/>
    <w:rsid w:val="00303EBA"/>
    <w:rsid w:val="00306CB5"/>
    <w:rsid w:val="003114E6"/>
    <w:rsid w:val="003143A0"/>
    <w:rsid w:val="003154F2"/>
    <w:rsid w:val="00315CEF"/>
    <w:rsid w:val="00317AE5"/>
    <w:rsid w:val="00321D31"/>
    <w:rsid w:val="0032597E"/>
    <w:rsid w:val="00330DDF"/>
    <w:rsid w:val="00330E6C"/>
    <w:rsid w:val="003350C9"/>
    <w:rsid w:val="00337CE4"/>
    <w:rsid w:val="00341129"/>
    <w:rsid w:val="00341F38"/>
    <w:rsid w:val="003421EA"/>
    <w:rsid w:val="00343A84"/>
    <w:rsid w:val="00350E38"/>
    <w:rsid w:val="00351E9B"/>
    <w:rsid w:val="0035438F"/>
    <w:rsid w:val="00357688"/>
    <w:rsid w:val="00357D13"/>
    <w:rsid w:val="00360162"/>
    <w:rsid w:val="003631E1"/>
    <w:rsid w:val="003645B6"/>
    <w:rsid w:val="00364EB4"/>
    <w:rsid w:val="00365DAD"/>
    <w:rsid w:val="0037039F"/>
    <w:rsid w:val="00371115"/>
    <w:rsid w:val="00377D44"/>
    <w:rsid w:val="00380D9E"/>
    <w:rsid w:val="00382036"/>
    <w:rsid w:val="00384460"/>
    <w:rsid w:val="00387108"/>
    <w:rsid w:val="00390DCF"/>
    <w:rsid w:val="003A153C"/>
    <w:rsid w:val="003A247E"/>
    <w:rsid w:val="003A4DC7"/>
    <w:rsid w:val="003A6F72"/>
    <w:rsid w:val="003B1DE7"/>
    <w:rsid w:val="003C0139"/>
    <w:rsid w:val="003C0C71"/>
    <w:rsid w:val="003D0DBA"/>
    <w:rsid w:val="003D39F7"/>
    <w:rsid w:val="003D799F"/>
    <w:rsid w:val="003D7A87"/>
    <w:rsid w:val="003E0EC9"/>
    <w:rsid w:val="003E3150"/>
    <w:rsid w:val="003E3966"/>
    <w:rsid w:val="003E3AA3"/>
    <w:rsid w:val="003E55CF"/>
    <w:rsid w:val="003E693B"/>
    <w:rsid w:val="003F3C53"/>
    <w:rsid w:val="003F6FAC"/>
    <w:rsid w:val="00401CF6"/>
    <w:rsid w:val="004131DA"/>
    <w:rsid w:val="00413A1C"/>
    <w:rsid w:val="00414D1D"/>
    <w:rsid w:val="0042302B"/>
    <w:rsid w:val="004308CB"/>
    <w:rsid w:val="00433E64"/>
    <w:rsid w:val="00434DA4"/>
    <w:rsid w:val="004357ED"/>
    <w:rsid w:val="00435999"/>
    <w:rsid w:val="004362B4"/>
    <w:rsid w:val="00437287"/>
    <w:rsid w:val="00441CF5"/>
    <w:rsid w:val="004421BF"/>
    <w:rsid w:val="00444FCB"/>
    <w:rsid w:val="00447748"/>
    <w:rsid w:val="00447DD6"/>
    <w:rsid w:val="00451F91"/>
    <w:rsid w:val="00452F42"/>
    <w:rsid w:val="00453269"/>
    <w:rsid w:val="004541D9"/>
    <w:rsid w:val="00456BC3"/>
    <w:rsid w:val="00460B5A"/>
    <w:rsid w:val="00460BAE"/>
    <w:rsid w:val="0047159A"/>
    <w:rsid w:val="004717C4"/>
    <w:rsid w:val="00472997"/>
    <w:rsid w:val="00473CD4"/>
    <w:rsid w:val="004749D8"/>
    <w:rsid w:val="0048077A"/>
    <w:rsid w:val="004827FE"/>
    <w:rsid w:val="00485B06"/>
    <w:rsid w:val="0048623F"/>
    <w:rsid w:val="00486A97"/>
    <w:rsid w:val="0048747C"/>
    <w:rsid w:val="00487D48"/>
    <w:rsid w:val="0049330B"/>
    <w:rsid w:val="00493530"/>
    <w:rsid w:val="00493B41"/>
    <w:rsid w:val="004961F2"/>
    <w:rsid w:val="004A2D0D"/>
    <w:rsid w:val="004A314B"/>
    <w:rsid w:val="004A459E"/>
    <w:rsid w:val="004A4848"/>
    <w:rsid w:val="004A51C1"/>
    <w:rsid w:val="004A555E"/>
    <w:rsid w:val="004A65C7"/>
    <w:rsid w:val="004A70D0"/>
    <w:rsid w:val="004B05BC"/>
    <w:rsid w:val="004B07A7"/>
    <w:rsid w:val="004B2CBD"/>
    <w:rsid w:val="004B773B"/>
    <w:rsid w:val="004C008B"/>
    <w:rsid w:val="004C1335"/>
    <w:rsid w:val="004C1937"/>
    <w:rsid w:val="004C2D3E"/>
    <w:rsid w:val="004C3FFD"/>
    <w:rsid w:val="004C65D5"/>
    <w:rsid w:val="004C7C14"/>
    <w:rsid w:val="004D2006"/>
    <w:rsid w:val="004D2396"/>
    <w:rsid w:val="004D2546"/>
    <w:rsid w:val="004D31F4"/>
    <w:rsid w:val="004D35F0"/>
    <w:rsid w:val="004D4EE3"/>
    <w:rsid w:val="004D57B7"/>
    <w:rsid w:val="004D5968"/>
    <w:rsid w:val="004E2239"/>
    <w:rsid w:val="004E269D"/>
    <w:rsid w:val="004E374D"/>
    <w:rsid w:val="004E51E6"/>
    <w:rsid w:val="004E7D6C"/>
    <w:rsid w:val="004F020E"/>
    <w:rsid w:val="004F0591"/>
    <w:rsid w:val="004F4CB9"/>
    <w:rsid w:val="00502067"/>
    <w:rsid w:val="00502D7D"/>
    <w:rsid w:val="00504B87"/>
    <w:rsid w:val="00506B2C"/>
    <w:rsid w:val="0050758D"/>
    <w:rsid w:val="00514364"/>
    <w:rsid w:val="005225F1"/>
    <w:rsid w:val="005231F3"/>
    <w:rsid w:val="00531B2C"/>
    <w:rsid w:val="00532D47"/>
    <w:rsid w:val="00533ACF"/>
    <w:rsid w:val="0053425E"/>
    <w:rsid w:val="00534E67"/>
    <w:rsid w:val="005371B1"/>
    <w:rsid w:val="0054148A"/>
    <w:rsid w:val="00542507"/>
    <w:rsid w:val="0054257B"/>
    <w:rsid w:val="00544226"/>
    <w:rsid w:val="005451BE"/>
    <w:rsid w:val="0054523C"/>
    <w:rsid w:val="00553733"/>
    <w:rsid w:val="00553A43"/>
    <w:rsid w:val="00554E5A"/>
    <w:rsid w:val="00555E45"/>
    <w:rsid w:val="00560888"/>
    <w:rsid w:val="0056140E"/>
    <w:rsid w:val="005615AA"/>
    <w:rsid w:val="00563952"/>
    <w:rsid w:val="00563BE1"/>
    <w:rsid w:val="005650C2"/>
    <w:rsid w:val="00567F39"/>
    <w:rsid w:val="00573186"/>
    <w:rsid w:val="00574C6A"/>
    <w:rsid w:val="005759BC"/>
    <w:rsid w:val="0058096F"/>
    <w:rsid w:val="00582F71"/>
    <w:rsid w:val="005850BF"/>
    <w:rsid w:val="00585A19"/>
    <w:rsid w:val="0058606B"/>
    <w:rsid w:val="00586DC4"/>
    <w:rsid w:val="00591DC9"/>
    <w:rsid w:val="005922BE"/>
    <w:rsid w:val="00594924"/>
    <w:rsid w:val="00596341"/>
    <w:rsid w:val="005A085B"/>
    <w:rsid w:val="005A0DC7"/>
    <w:rsid w:val="005A21C1"/>
    <w:rsid w:val="005A226C"/>
    <w:rsid w:val="005A2BF1"/>
    <w:rsid w:val="005A34D9"/>
    <w:rsid w:val="005A360A"/>
    <w:rsid w:val="005A3C4A"/>
    <w:rsid w:val="005A42AA"/>
    <w:rsid w:val="005C18C8"/>
    <w:rsid w:val="005C1C2F"/>
    <w:rsid w:val="005C6840"/>
    <w:rsid w:val="005C6AA4"/>
    <w:rsid w:val="005C7BAB"/>
    <w:rsid w:val="005D13E6"/>
    <w:rsid w:val="005D430B"/>
    <w:rsid w:val="005D46E2"/>
    <w:rsid w:val="005D4E39"/>
    <w:rsid w:val="005D536E"/>
    <w:rsid w:val="005D6031"/>
    <w:rsid w:val="005D6707"/>
    <w:rsid w:val="005D679A"/>
    <w:rsid w:val="005E1C75"/>
    <w:rsid w:val="005E38CA"/>
    <w:rsid w:val="005E6534"/>
    <w:rsid w:val="005E7482"/>
    <w:rsid w:val="005E7FBA"/>
    <w:rsid w:val="005F1F22"/>
    <w:rsid w:val="005F2B9E"/>
    <w:rsid w:val="005F3A4F"/>
    <w:rsid w:val="005F5898"/>
    <w:rsid w:val="00603B1A"/>
    <w:rsid w:val="0060585A"/>
    <w:rsid w:val="00607643"/>
    <w:rsid w:val="00610E9D"/>
    <w:rsid w:val="006113F8"/>
    <w:rsid w:val="006132B7"/>
    <w:rsid w:val="00614A67"/>
    <w:rsid w:val="00614E0F"/>
    <w:rsid w:val="00621DC5"/>
    <w:rsid w:val="00624CD1"/>
    <w:rsid w:val="00625A28"/>
    <w:rsid w:val="006303BF"/>
    <w:rsid w:val="006304D8"/>
    <w:rsid w:val="006339A6"/>
    <w:rsid w:val="0063407D"/>
    <w:rsid w:val="00635EF1"/>
    <w:rsid w:val="00636A0E"/>
    <w:rsid w:val="00640C06"/>
    <w:rsid w:val="006430A1"/>
    <w:rsid w:val="006459D5"/>
    <w:rsid w:val="00650847"/>
    <w:rsid w:val="006523FD"/>
    <w:rsid w:val="0065298C"/>
    <w:rsid w:val="006575BE"/>
    <w:rsid w:val="00660BE8"/>
    <w:rsid w:val="00661443"/>
    <w:rsid w:val="006638F0"/>
    <w:rsid w:val="00663D33"/>
    <w:rsid w:val="0066406B"/>
    <w:rsid w:val="00667A6E"/>
    <w:rsid w:val="006718CF"/>
    <w:rsid w:val="00672B2B"/>
    <w:rsid w:val="006748CE"/>
    <w:rsid w:val="006761C9"/>
    <w:rsid w:val="006769A4"/>
    <w:rsid w:val="00677761"/>
    <w:rsid w:val="00680047"/>
    <w:rsid w:val="006804CF"/>
    <w:rsid w:val="006816A0"/>
    <w:rsid w:val="0068289A"/>
    <w:rsid w:val="00683057"/>
    <w:rsid w:val="00687456"/>
    <w:rsid w:val="0069008B"/>
    <w:rsid w:val="00692CAA"/>
    <w:rsid w:val="0069438F"/>
    <w:rsid w:val="006944C6"/>
    <w:rsid w:val="00697947"/>
    <w:rsid w:val="006A11CE"/>
    <w:rsid w:val="006A1AA1"/>
    <w:rsid w:val="006A258A"/>
    <w:rsid w:val="006A5A1D"/>
    <w:rsid w:val="006A5E9F"/>
    <w:rsid w:val="006A64A0"/>
    <w:rsid w:val="006A6E7C"/>
    <w:rsid w:val="006B0847"/>
    <w:rsid w:val="006B30D1"/>
    <w:rsid w:val="006B3D39"/>
    <w:rsid w:val="006B44E9"/>
    <w:rsid w:val="006B487D"/>
    <w:rsid w:val="006B675A"/>
    <w:rsid w:val="006C0BA0"/>
    <w:rsid w:val="006C28A4"/>
    <w:rsid w:val="006C3906"/>
    <w:rsid w:val="006C419B"/>
    <w:rsid w:val="006C5C11"/>
    <w:rsid w:val="006C726E"/>
    <w:rsid w:val="006C7BBD"/>
    <w:rsid w:val="006D038D"/>
    <w:rsid w:val="006D35B4"/>
    <w:rsid w:val="006D36B4"/>
    <w:rsid w:val="006D4F38"/>
    <w:rsid w:val="006E18C7"/>
    <w:rsid w:val="006E1F48"/>
    <w:rsid w:val="006E22C3"/>
    <w:rsid w:val="006E40AB"/>
    <w:rsid w:val="006E4791"/>
    <w:rsid w:val="006E591C"/>
    <w:rsid w:val="006F0F5F"/>
    <w:rsid w:val="006F21A1"/>
    <w:rsid w:val="006F46B3"/>
    <w:rsid w:val="006F615E"/>
    <w:rsid w:val="007001E8"/>
    <w:rsid w:val="00704CAE"/>
    <w:rsid w:val="00706A7B"/>
    <w:rsid w:val="00707EFC"/>
    <w:rsid w:val="0071269C"/>
    <w:rsid w:val="007142B4"/>
    <w:rsid w:val="00715DB9"/>
    <w:rsid w:val="007166E0"/>
    <w:rsid w:val="00721661"/>
    <w:rsid w:val="00724AD6"/>
    <w:rsid w:val="007319BD"/>
    <w:rsid w:val="00731AF6"/>
    <w:rsid w:val="00735B7F"/>
    <w:rsid w:val="0073734A"/>
    <w:rsid w:val="00741BA0"/>
    <w:rsid w:val="0074366C"/>
    <w:rsid w:val="007466FD"/>
    <w:rsid w:val="00747FBD"/>
    <w:rsid w:val="007514D5"/>
    <w:rsid w:val="00752A1B"/>
    <w:rsid w:val="00753EE3"/>
    <w:rsid w:val="007563B9"/>
    <w:rsid w:val="007576FF"/>
    <w:rsid w:val="00761BF7"/>
    <w:rsid w:val="007623F5"/>
    <w:rsid w:val="00762EF7"/>
    <w:rsid w:val="0076462F"/>
    <w:rsid w:val="00765A45"/>
    <w:rsid w:val="00767CCD"/>
    <w:rsid w:val="00770535"/>
    <w:rsid w:val="007813BE"/>
    <w:rsid w:val="00786941"/>
    <w:rsid w:val="00787799"/>
    <w:rsid w:val="00792049"/>
    <w:rsid w:val="007920BC"/>
    <w:rsid w:val="00792A44"/>
    <w:rsid w:val="00792C7C"/>
    <w:rsid w:val="00795AF2"/>
    <w:rsid w:val="007967AE"/>
    <w:rsid w:val="00796E03"/>
    <w:rsid w:val="007A0A13"/>
    <w:rsid w:val="007A2181"/>
    <w:rsid w:val="007A22B8"/>
    <w:rsid w:val="007B12E4"/>
    <w:rsid w:val="007B361D"/>
    <w:rsid w:val="007B4797"/>
    <w:rsid w:val="007B5910"/>
    <w:rsid w:val="007C0D6A"/>
    <w:rsid w:val="007C0E9C"/>
    <w:rsid w:val="007C1B1D"/>
    <w:rsid w:val="007C43B3"/>
    <w:rsid w:val="007C5368"/>
    <w:rsid w:val="007C638E"/>
    <w:rsid w:val="007C6482"/>
    <w:rsid w:val="007C6E13"/>
    <w:rsid w:val="007D0CBC"/>
    <w:rsid w:val="007D41E0"/>
    <w:rsid w:val="007D4A82"/>
    <w:rsid w:val="007D552A"/>
    <w:rsid w:val="007D572D"/>
    <w:rsid w:val="007E1552"/>
    <w:rsid w:val="007E2D14"/>
    <w:rsid w:val="007E6058"/>
    <w:rsid w:val="007E7AFC"/>
    <w:rsid w:val="007E7E45"/>
    <w:rsid w:val="007E7FAC"/>
    <w:rsid w:val="007F0C64"/>
    <w:rsid w:val="007F381B"/>
    <w:rsid w:val="007F6819"/>
    <w:rsid w:val="007F769F"/>
    <w:rsid w:val="00802BDE"/>
    <w:rsid w:val="00802F13"/>
    <w:rsid w:val="00806683"/>
    <w:rsid w:val="00807C3B"/>
    <w:rsid w:val="0081095A"/>
    <w:rsid w:val="00810B62"/>
    <w:rsid w:val="008112E4"/>
    <w:rsid w:val="00811F46"/>
    <w:rsid w:val="00812C74"/>
    <w:rsid w:val="008179D3"/>
    <w:rsid w:val="00817C64"/>
    <w:rsid w:val="00821641"/>
    <w:rsid w:val="00821AB2"/>
    <w:rsid w:val="008220DD"/>
    <w:rsid w:val="008244AA"/>
    <w:rsid w:val="0082652C"/>
    <w:rsid w:val="00826E10"/>
    <w:rsid w:val="00827ABC"/>
    <w:rsid w:val="0083145C"/>
    <w:rsid w:val="008321AA"/>
    <w:rsid w:val="00832308"/>
    <w:rsid w:val="008323A9"/>
    <w:rsid w:val="00833D4D"/>
    <w:rsid w:val="0083407E"/>
    <w:rsid w:val="00835C4E"/>
    <w:rsid w:val="00836675"/>
    <w:rsid w:val="00836C96"/>
    <w:rsid w:val="00843A1C"/>
    <w:rsid w:val="0084530E"/>
    <w:rsid w:val="00846466"/>
    <w:rsid w:val="00847637"/>
    <w:rsid w:val="00852DAB"/>
    <w:rsid w:val="00852FCE"/>
    <w:rsid w:val="00856253"/>
    <w:rsid w:val="008574E8"/>
    <w:rsid w:val="00860E23"/>
    <w:rsid w:val="00861DDB"/>
    <w:rsid w:val="008626A7"/>
    <w:rsid w:val="0086314D"/>
    <w:rsid w:val="008640FD"/>
    <w:rsid w:val="008641C1"/>
    <w:rsid w:val="00866430"/>
    <w:rsid w:val="0087298A"/>
    <w:rsid w:val="00874ECA"/>
    <w:rsid w:val="00875179"/>
    <w:rsid w:val="00880954"/>
    <w:rsid w:val="0088384E"/>
    <w:rsid w:val="00887375"/>
    <w:rsid w:val="00887908"/>
    <w:rsid w:val="008909F6"/>
    <w:rsid w:val="00891307"/>
    <w:rsid w:val="0089150A"/>
    <w:rsid w:val="008926D5"/>
    <w:rsid w:val="00895BCB"/>
    <w:rsid w:val="008A06DC"/>
    <w:rsid w:val="008A1126"/>
    <w:rsid w:val="008A1576"/>
    <w:rsid w:val="008A1A98"/>
    <w:rsid w:val="008A7973"/>
    <w:rsid w:val="008B5AC6"/>
    <w:rsid w:val="008B6439"/>
    <w:rsid w:val="008C06B9"/>
    <w:rsid w:val="008C0923"/>
    <w:rsid w:val="008C0D52"/>
    <w:rsid w:val="008C13B8"/>
    <w:rsid w:val="008C38F1"/>
    <w:rsid w:val="008C489D"/>
    <w:rsid w:val="008C48A5"/>
    <w:rsid w:val="008C79C2"/>
    <w:rsid w:val="008D079F"/>
    <w:rsid w:val="008D1E78"/>
    <w:rsid w:val="008D313D"/>
    <w:rsid w:val="008D5FBE"/>
    <w:rsid w:val="008D6930"/>
    <w:rsid w:val="008D7BDA"/>
    <w:rsid w:val="008E0EA2"/>
    <w:rsid w:val="008E64DA"/>
    <w:rsid w:val="008E69EF"/>
    <w:rsid w:val="008E78CA"/>
    <w:rsid w:val="008F0117"/>
    <w:rsid w:val="008F12C3"/>
    <w:rsid w:val="008F2D9E"/>
    <w:rsid w:val="008F4448"/>
    <w:rsid w:val="008F6773"/>
    <w:rsid w:val="00900E22"/>
    <w:rsid w:val="009018CE"/>
    <w:rsid w:val="00901C95"/>
    <w:rsid w:val="00902D0C"/>
    <w:rsid w:val="009054A4"/>
    <w:rsid w:val="00915549"/>
    <w:rsid w:val="00922000"/>
    <w:rsid w:val="00925577"/>
    <w:rsid w:val="00927182"/>
    <w:rsid w:val="00927527"/>
    <w:rsid w:val="009319BE"/>
    <w:rsid w:val="00931B6F"/>
    <w:rsid w:val="00932E00"/>
    <w:rsid w:val="00932E83"/>
    <w:rsid w:val="009350A7"/>
    <w:rsid w:val="0093680B"/>
    <w:rsid w:val="00941F93"/>
    <w:rsid w:val="009443B3"/>
    <w:rsid w:val="0094451D"/>
    <w:rsid w:val="00950E3A"/>
    <w:rsid w:val="00952277"/>
    <w:rsid w:val="0095419A"/>
    <w:rsid w:val="00954980"/>
    <w:rsid w:val="00954FD7"/>
    <w:rsid w:val="009568C9"/>
    <w:rsid w:val="00960534"/>
    <w:rsid w:val="00963EEF"/>
    <w:rsid w:val="0096480E"/>
    <w:rsid w:val="00966198"/>
    <w:rsid w:val="009702B9"/>
    <w:rsid w:val="0097046D"/>
    <w:rsid w:val="0097351C"/>
    <w:rsid w:val="00974FF7"/>
    <w:rsid w:val="00975128"/>
    <w:rsid w:val="00977A26"/>
    <w:rsid w:val="00980E57"/>
    <w:rsid w:val="00982556"/>
    <w:rsid w:val="00982C21"/>
    <w:rsid w:val="009839AF"/>
    <w:rsid w:val="00986527"/>
    <w:rsid w:val="009870A6"/>
    <w:rsid w:val="0098732F"/>
    <w:rsid w:val="00987A1E"/>
    <w:rsid w:val="00991C5D"/>
    <w:rsid w:val="0099271D"/>
    <w:rsid w:val="00993271"/>
    <w:rsid w:val="00993860"/>
    <w:rsid w:val="00993BA0"/>
    <w:rsid w:val="00996780"/>
    <w:rsid w:val="009A119A"/>
    <w:rsid w:val="009A1E58"/>
    <w:rsid w:val="009A1F87"/>
    <w:rsid w:val="009A6789"/>
    <w:rsid w:val="009A682B"/>
    <w:rsid w:val="009A79B5"/>
    <w:rsid w:val="009B0B00"/>
    <w:rsid w:val="009B2EAB"/>
    <w:rsid w:val="009B3A5B"/>
    <w:rsid w:val="009C00D4"/>
    <w:rsid w:val="009C3084"/>
    <w:rsid w:val="009C5B60"/>
    <w:rsid w:val="009D2FAB"/>
    <w:rsid w:val="009D32B7"/>
    <w:rsid w:val="009D63D0"/>
    <w:rsid w:val="009D6B29"/>
    <w:rsid w:val="009D7BB0"/>
    <w:rsid w:val="009D7FF8"/>
    <w:rsid w:val="009E0A54"/>
    <w:rsid w:val="009E3363"/>
    <w:rsid w:val="009E4E44"/>
    <w:rsid w:val="009E680D"/>
    <w:rsid w:val="009E7F3A"/>
    <w:rsid w:val="009F0074"/>
    <w:rsid w:val="009F068E"/>
    <w:rsid w:val="009F15E8"/>
    <w:rsid w:val="00A017A8"/>
    <w:rsid w:val="00A019B8"/>
    <w:rsid w:val="00A02401"/>
    <w:rsid w:val="00A0456E"/>
    <w:rsid w:val="00A062AF"/>
    <w:rsid w:val="00A07B8E"/>
    <w:rsid w:val="00A1042F"/>
    <w:rsid w:val="00A10A24"/>
    <w:rsid w:val="00A12622"/>
    <w:rsid w:val="00A23127"/>
    <w:rsid w:val="00A24079"/>
    <w:rsid w:val="00A24D65"/>
    <w:rsid w:val="00A26DF4"/>
    <w:rsid w:val="00A27191"/>
    <w:rsid w:val="00A33F99"/>
    <w:rsid w:val="00A346CD"/>
    <w:rsid w:val="00A35D8E"/>
    <w:rsid w:val="00A370DC"/>
    <w:rsid w:val="00A372E0"/>
    <w:rsid w:val="00A37A6C"/>
    <w:rsid w:val="00A37BFB"/>
    <w:rsid w:val="00A40D59"/>
    <w:rsid w:val="00A426D5"/>
    <w:rsid w:val="00A427D9"/>
    <w:rsid w:val="00A4326B"/>
    <w:rsid w:val="00A45261"/>
    <w:rsid w:val="00A45795"/>
    <w:rsid w:val="00A5339E"/>
    <w:rsid w:val="00A5481D"/>
    <w:rsid w:val="00A60F8A"/>
    <w:rsid w:val="00A62D5B"/>
    <w:rsid w:val="00A64C9B"/>
    <w:rsid w:val="00A655F4"/>
    <w:rsid w:val="00A666F8"/>
    <w:rsid w:val="00A70910"/>
    <w:rsid w:val="00A7151D"/>
    <w:rsid w:val="00A715EE"/>
    <w:rsid w:val="00A73A55"/>
    <w:rsid w:val="00A74A43"/>
    <w:rsid w:val="00A77F9F"/>
    <w:rsid w:val="00A82DEE"/>
    <w:rsid w:val="00A83DC5"/>
    <w:rsid w:val="00A841C0"/>
    <w:rsid w:val="00A84CF5"/>
    <w:rsid w:val="00A905F8"/>
    <w:rsid w:val="00A9109D"/>
    <w:rsid w:val="00A927C1"/>
    <w:rsid w:val="00A92B84"/>
    <w:rsid w:val="00A940FF"/>
    <w:rsid w:val="00A94491"/>
    <w:rsid w:val="00A96EE8"/>
    <w:rsid w:val="00A971DC"/>
    <w:rsid w:val="00AA33CE"/>
    <w:rsid w:val="00AB0411"/>
    <w:rsid w:val="00AB08A5"/>
    <w:rsid w:val="00AB13B4"/>
    <w:rsid w:val="00AB2CF0"/>
    <w:rsid w:val="00AB7519"/>
    <w:rsid w:val="00AC0C98"/>
    <w:rsid w:val="00AC33CE"/>
    <w:rsid w:val="00AC4A38"/>
    <w:rsid w:val="00AC53E0"/>
    <w:rsid w:val="00AC6D60"/>
    <w:rsid w:val="00AC73D5"/>
    <w:rsid w:val="00AC7895"/>
    <w:rsid w:val="00AD1C11"/>
    <w:rsid w:val="00AD2D43"/>
    <w:rsid w:val="00AD6DD8"/>
    <w:rsid w:val="00AD71A8"/>
    <w:rsid w:val="00AE2AEE"/>
    <w:rsid w:val="00AE416D"/>
    <w:rsid w:val="00AE508E"/>
    <w:rsid w:val="00AE7771"/>
    <w:rsid w:val="00AE7DB2"/>
    <w:rsid w:val="00AF0BAD"/>
    <w:rsid w:val="00AF1490"/>
    <w:rsid w:val="00AF17AA"/>
    <w:rsid w:val="00B11C59"/>
    <w:rsid w:val="00B12028"/>
    <w:rsid w:val="00B155A3"/>
    <w:rsid w:val="00B202C8"/>
    <w:rsid w:val="00B22084"/>
    <w:rsid w:val="00B22D59"/>
    <w:rsid w:val="00B265C2"/>
    <w:rsid w:val="00B279C7"/>
    <w:rsid w:val="00B32A3D"/>
    <w:rsid w:val="00B34AC1"/>
    <w:rsid w:val="00B445DE"/>
    <w:rsid w:val="00B52C47"/>
    <w:rsid w:val="00B541E4"/>
    <w:rsid w:val="00B561F2"/>
    <w:rsid w:val="00B565E2"/>
    <w:rsid w:val="00B56F2B"/>
    <w:rsid w:val="00B60060"/>
    <w:rsid w:val="00B634E4"/>
    <w:rsid w:val="00B6590B"/>
    <w:rsid w:val="00B74895"/>
    <w:rsid w:val="00B7643E"/>
    <w:rsid w:val="00B804D4"/>
    <w:rsid w:val="00B804DF"/>
    <w:rsid w:val="00B8216D"/>
    <w:rsid w:val="00B8298B"/>
    <w:rsid w:val="00B834E6"/>
    <w:rsid w:val="00B83DE4"/>
    <w:rsid w:val="00B840B0"/>
    <w:rsid w:val="00B84D3A"/>
    <w:rsid w:val="00B863E2"/>
    <w:rsid w:val="00B86422"/>
    <w:rsid w:val="00B912E6"/>
    <w:rsid w:val="00BA17BF"/>
    <w:rsid w:val="00BA4E83"/>
    <w:rsid w:val="00BA6910"/>
    <w:rsid w:val="00BA7310"/>
    <w:rsid w:val="00BB1250"/>
    <w:rsid w:val="00BB2A57"/>
    <w:rsid w:val="00BB2CF7"/>
    <w:rsid w:val="00BB3AF8"/>
    <w:rsid w:val="00BB6F7F"/>
    <w:rsid w:val="00BC07E4"/>
    <w:rsid w:val="00BC0E04"/>
    <w:rsid w:val="00BC1A8A"/>
    <w:rsid w:val="00BC3AB2"/>
    <w:rsid w:val="00BC7B97"/>
    <w:rsid w:val="00BD02E7"/>
    <w:rsid w:val="00BD0A86"/>
    <w:rsid w:val="00BD0C09"/>
    <w:rsid w:val="00BD1D25"/>
    <w:rsid w:val="00BD22CF"/>
    <w:rsid w:val="00BD34FE"/>
    <w:rsid w:val="00BD3E91"/>
    <w:rsid w:val="00BD4065"/>
    <w:rsid w:val="00BD5472"/>
    <w:rsid w:val="00BD6F8E"/>
    <w:rsid w:val="00BD76FB"/>
    <w:rsid w:val="00BD7A74"/>
    <w:rsid w:val="00BD7B2B"/>
    <w:rsid w:val="00BE136B"/>
    <w:rsid w:val="00BE5313"/>
    <w:rsid w:val="00BE6AD2"/>
    <w:rsid w:val="00BE7D12"/>
    <w:rsid w:val="00BE7D3E"/>
    <w:rsid w:val="00BF16B0"/>
    <w:rsid w:val="00BF339D"/>
    <w:rsid w:val="00BF736F"/>
    <w:rsid w:val="00C0199D"/>
    <w:rsid w:val="00C01DF1"/>
    <w:rsid w:val="00C10F04"/>
    <w:rsid w:val="00C11390"/>
    <w:rsid w:val="00C136D7"/>
    <w:rsid w:val="00C1552C"/>
    <w:rsid w:val="00C17B8D"/>
    <w:rsid w:val="00C20A7F"/>
    <w:rsid w:val="00C20E47"/>
    <w:rsid w:val="00C2194D"/>
    <w:rsid w:val="00C21CD7"/>
    <w:rsid w:val="00C227B2"/>
    <w:rsid w:val="00C253AA"/>
    <w:rsid w:val="00C27BE8"/>
    <w:rsid w:val="00C27C32"/>
    <w:rsid w:val="00C30095"/>
    <w:rsid w:val="00C3083E"/>
    <w:rsid w:val="00C309B3"/>
    <w:rsid w:val="00C30F5A"/>
    <w:rsid w:val="00C311CB"/>
    <w:rsid w:val="00C315BF"/>
    <w:rsid w:val="00C31B90"/>
    <w:rsid w:val="00C32FCE"/>
    <w:rsid w:val="00C33338"/>
    <w:rsid w:val="00C43847"/>
    <w:rsid w:val="00C4465F"/>
    <w:rsid w:val="00C45552"/>
    <w:rsid w:val="00C45D02"/>
    <w:rsid w:val="00C461FA"/>
    <w:rsid w:val="00C51860"/>
    <w:rsid w:val="00C52F11"/>
    <w:rsid w:val="00C54FF7"/>
    <w:rsid w:val="00C57E32"/>
    <w:rsid w:val="00C60FAC"/>
    <w:rsid w:val="00C618E6"/>
    <w:rsid w:val="00C61E37"/>
    <w:rsid w:val="00C62491"/>
    <w:rsid w:val="00C63694"/>
    <w:rsid w:val="00C636EF"/>
    <w:rsid w:val="00C6564B"/>
    <w:rsid w:val="00C65926"/>
    <w:rsid w:val="00C65EDB"/>
    <w:rsid w:val="00C66EC5"/>
    <w:rsid w:val="00C723E8"/>
    <w:rsid w:val="00C76C72"/>
    <w:rsid w:val="00C76DAA"/>
    <w:rsid w:val="00C83391"/>
    <w:rsid w:val="00C844C0"/>
    <w:rsid w:val="00C849A8"/>
    <w:rsid w:val="00C86C9F"/>
    <w:rsid w:val="00C870CC"/>
    <w:rsid w:val="00C87AAB"/>
    <w:rsid w:val="00C911EF"/>
    <w:rsid w:val="00C922C7"/>
    <w:rsid w:val="00C92734"/>
    <w:rsid w:val="00C9565A"/>
    <w:rsid w:val="00C965DF"/>
    <w:rsid w:val="00CA13DA"/>
    <w:rsid w:val="00CA1AD2"/>
    <w:rsid w:val="00CA263F"/>
    <w:rsid w:val="00CA5597"/>
    <w:rsid w:val="00CB00A7"/>
    <w:rsid w:val="00CB13D1"/>
    <w:rsid w:val="00CB31E6"/>
    <w:rsid w:val="00CB5053"/>
    <w:rsid w:val="00CC0D22"/>
    <w:rsid w:val="00CC2C2E"/>
    <w:rsid w:val="00CC73C1"/>
    <w:rsid w:val="00CD0197"/>
    <w:rsid w:val="00CD0429"/>
    <w:rsid w:val="00CD2A96"/>
    <w:rsid w:val="00CD3BD4"/>
    <w:rsid w:val="00CD6439"/>
    <w:rsid w:val="00CE16F5"/>
    <w:rsid w:val="00CE1A1D"/>
    <w:rsid w:val="00CE200B"/>
    <w:rsid w:val="00CE56D4"/>
    <w:rsid w:val="00CF35DC"/>
    <w:rsid w:val="00CF5586"/>
    <w:rsid w:val="00CF5EF0"/>
    <w:rsid w:val="00CF69C4"/>
    <w:rsid w:val="00D05380"/>
    <w:rsid w:val="00D0584D"/>
    <w:rsid w:val="00D07BB5"/>
    <w:rsid w:val="00D10DF0"/>
    <w:rsid w:val="00D11BA4"/>
    <w:rsid w:val="00D129D8"/>
    <w:rsid w:val="00D13650"/>
    <w:rsid w:val="00D1593B"/>
    <w:rsid w:val="00D16709"/>
    <w:rsid w:val="00D2415F"/>
    <w:rsid w:val="00D24517"/>
    <w:rsid w:val="00D304FC"/>
    <w:rsid w:val="00D316AA"/>
    <w:rsid w:val="00D31D19"/>
    <w:rsid w:val="00D3276B"/>
    <w:rsid w:val="00D34C49"/>
    <w:rsid w:val="00D3511D"/>
    <w:rsid w:val="00D36923"/>
    <w:rsid w:val="00D37213"/>
    <w:rsid w:val="00D40355"/>
    <w:rsid w:val="00D40FDC"/>
    <w:rsid w:val="00D41255"/>
    <w:rsid w:val="00D44B10"/>
    <w:rsid w:val="00D47340"/>
    <w:rsid w:val="00D52791"/>
    <w:rsid w:val="00D52D7C"/>
    <w:rsid w:val="00D54BEC"/>
    <w:rsid w:val="00D557FE"/>
    <w:rsid w:val="00D6182B"/>
    <w:rsid w:val="00D6450B"/>
    <w:rsid w:val="00D7170A"/>
    <w:rsid w:val="00D7271A"/>
    <w:rsid w:val="00D73495"/>
    <w:rsid w:val="00D74846"/>
    <w:rsid w:val="00D76889"/>
    <w:rsid w:val="00D771BC"/>
    <w:rsid w:val="00D80A1D"/>
    <w:rsid w:val="00D80D00"/>
    <w:rsid w:val="00D8321D"/>
    <w:rsid w:val="00D840C6"/>
    <w:rsid w:val="00D846CA"/>
    <w:rsid w:val="00D90615"/>
    <w:rsid w:val="00D91A88"/>
    <w:rsid w:val="00D91E9E"/>
    <w:rsid w:val="00D930DF"/>
    <w:rsid w:val="00D93C2D"/>
    <w:rsid w:val="00D93CDB"/>
    <w:rsid w:val="00D95235"/>
    <w:rsid w:val="00D95794"/>
    <w:rsid w:val="00D970C7"/>
    <w:rsid w:val="00DA3D99"/>
    <w:rsid w:val="00DA5012"/>
    <w:rsid w:val="00DA52E9"/>
    <w:rsid w:val="00DA5E54"/>
    <w:rsid w:val="00DA6814"/>
    <w:rsid w:val="00DA7745"/>
    <w:rsid w:val="00DB13E7"/>
    <w:rsid w:val="00DB18DF"/>
    <w:rsid w:val="00DB1EB1"/>
    <w:rsid w:val="00DB29F5"/>
    <w:rsid w:val="00DC0989"/>
    <w:rsid w:val="00DC4ADF"/>
    <w:rsid w:val="00DC5390"/>
    <w:rsid w:val="00DD2712"/>
    <w:rsid w:val="00DD2E84"/>
    <w:rsid w:val="00DD461E"/>
    <w:rsid w:val="00DE1A8E"/>
    <w:rsid w:val="00DE1DD9"/>
    <w:rsid w:val="00DE4902"/>
    <w:rsid w:val="00DE5128"/>
    <w:rsid w:val="00DE6704"/>
    <w:rsid w:val="00DE7AC4"/>
    <w:rsid w:val="00DF5E93"/>
    <w:rsid w:val="00DF7203"/>
    <w:rsid w:val="00DF72A6"/>
    <w:rsid w:val="00E008ED"/>
    <w:rsid w:val="00E029B7"/>
    <w:rsid w:val="00E031A7"/>
    <w:rsid w:val="00E06B52"/>
    <w:rsid w:val="00E102E0"/>
    <w:rsid w:val="00E1566C"/>
    <w:rsid w:val="00E15FC9"/>
    <w:rsid w:val="00E16CEC"/>
    <w:rsid w:val="00E21B40"/>
    <w:rsid w:val="00E21DED"/>
    <w:rsid w:val="00E21E97"/>
    <w:rsid w:val="00E31054"/>
    <w:rsid w:val="00E33A6B"/>
    <w:rsid w:val="00E36872"/>
    <w:rsid w:val="00E36ED7"/>
    <w:rsid w:val="00E379B0"/>
    <w:rsid w:val="00E41045"/>
    <w:rsid w:val="00E455DF"/>
    <w:rsid w:val="00E46369"/>
    <w:rsid w:val="00E468C1"/>
    <w:rsid w:val="00E46D6B"/>
    <w:rsid w:val="00E47E03"/>
    <w:rsid w:val="00E52584"/>
    <w:rsid w:val="00E533F1"/>
    <w:rsid w:val="00E56ADB"/>
    <w:rsid w:val="00E6183B"/>
    <w:rsid w:val="00E64ED8"/>
    <w:rsid w:val="00E65028"/>
    <w:rsid w:val="00E667F5"/>
    <w:rsid w:val="00E66FC2"/>
    <w:rsid w:val="00E728EF"/>
    <w:rsid w:val="00E732E5"/>
    <w:rsid w:val="00E76A8F"/>
    <w:rsid w:val="00E819F3"/>
    <w:rsid w:val="00E82E39"/>
    <w:rsid w:val="00E85F17"/>
    <w:rsid w:val="00E91AE9"/>
    <w:rsid w:val="00E9680D"/>
    <w:rsid w:val="00EA1A34"/>
    <w:rsid w:val="00EA593B"/>
    <w:rsid w:val="00EA680E"/>
    <w:rsid w:val="00EA6E1E"/>
    <w:rsid w:val="00EA7312"/>
    <w:rsid w:val="00EB1728"/>
    <w:rsid w:val="00EB342A"/>
    <w:rsid w:val="00EB370A"/>
    <w:rsid w:val="00EB5E59"/>
    <w:rsid w:val="00EB66B8"/>
    <w:rsid w:val="00EB748E"/>
    <w:rsid w:val="00EC0840"/>
    <w:rsid w:val="00EC0C4C"/>
    <w:rsid w:val="00EC10B3"/>
    <w:rsid w:val="00EC39E8"/>
    <w:rsid w:val="00EC6152"/>
    <w:rsid w:val="00ED4B82"/>
    <w:rsid w:val="00ED56CD"/>
    <w:rsid w:val="00ED56DC"/>
    <w:rsid w:val="00ED5921"/>
    <w:rsid w:val="00ED5C0C"/>
    <w:rsid w:val="00EE10F9"/>
    <w:rsid w:val="00EE15BF"/>
    <w:rsid w:val="00EE1857"/>
    <w:rsid w:val="00EE4DCE"/>
    <w:rsid w:val="00EE5C71"/>
    <w:rsid w:val="00EE6754"/>
    <w:rsid w:val="00EF102C"/>
    <w:rsid w:val="00EF18CC"/>
    <w:rsid w:val="00EF3659"/>
    <w:rsid w:val="00EF77DD"/>
    <w:rsid w:val="00F00A1F"/>
    <w:rsid w:val="00F01A51"/>
    <w:rsid w:val="00F02F58"/>
    <w:rsid w:val="00F03C08"/>
    <w:rsid w:val="00F03D99"/>
    <w:rsid w:val="00F05706"/>
    <w:rsid w:val="00F07304"/>
    <w:rsid w:val="00F1039F"/>
    <w:rsid w:val="00F12F36"/>
    <w:rsid w:val="00F2076D"/>
    <w:rsid w:val="00F21E6B"/>
    <w:rsid w:val="00F236B2"/>
    <w:rsid w:val="00F25E6D"/>
    <w:rsid w:val="00F264D9"/>
    <w:rsid w:val="00F26F5B"/>
    <w:rsid w:val="00F27E04"/>
    <w:rsid w:val="00F27E87"/>
    <w:rsid w:val="00F35533"/>
    <w:rsid w:val="00F36048"/>
    <w:rsid w:val="00F3759E"/>
    <w:rsid w:val="00F37FD4"/>
    <w:rsid w:val="00F40436"/>
    <w:rsid w:val="00F463DE"/>
    <w:rsid w:val="00F5260D"/>
    <w:rsid w:val="00F530D0"/>
    <w:rsid w:val="00F53681"/>
    <w:rsid w:val="00F53D8E"/>
    <w:rsid w:val="00F5515A"/>
    <w:rsid w:val="00F558A3"/>
    <w:rsid w:val="00F5593D"/>
    <w:rsid w:val="00F566C8"/>
    <w:rsid w:val="00F63E12"/>
    <w:rsid w:val="00F70CBF"/>
    <w:rsid w:val="00F70DC4"/>
    <w:rsid w:val="00F71DCA"/>
    <w:rsid w:val="00F72C22"/>
    <w:rsid w:val="00F72EC5"/>
    <w:rsid w:val="00F737D4"/>
    <w:rsid w:val="00F739EE"/>
    <w:rsid w:val="00F8203E"/>
    <w:rsid w:val="00F82449"/>
    <w:rsid w:val="00F85FBC"/>
    <w:rsid w:val="00F92ABA"/>
    <w:rsid w:val="00F94D1D"/>
    <w:rsid w:val="00F950E0"/>
    <w:rsid w:val="00F9737A"/>
    <w:rsid w:val="00F97B38"/>
    <w:rsid w:val="00F97EB9"/>
    <w:rsid w:val="00FA0EB2"/>
    <w:rsid w:val="00FA29E9"/>
    <w:rsid w:val="00FA42D0"/>
    <w:rsid w:val="00FA5E6E"/>
    <w:rsid w:val="00FA609D"/>
    <w:rsid w:val="00FA65C7"/>
    <w:rsid w:val="00FB1A3B"/>
    <w:rsid w:val="00FB4535"/>
    <w:rsid w:val="00FB55BA"/>
    <w:rsid w:val="00FB5A89"/>
    <w:rsid w:val="00FB61B3"/>
    <w:rsid w:val="00FC0D33"/>
    <w:rsid w:val="00FC1991"/>
    <w:rsid w:val="00FC3211"/>
    <w:rsid w:val="00FC7B52"/>
    <w:rsid w:val="00FD3219"/>
    <w:rsid w:val="00FD4E62"/>
    <w:rsid w:val="00FD7E55"/>
    <w:rsid w:val="00FE357E"/>
    <w:rsid w:val="00FE5F32"/>
    <w:rsid w:val="00FE6CAF"/>
    <w:rsid w:val="00FF01E8"/>
    <w:rsid w:val="00FF0E01"/>
    <w:rsid w:val="00FF32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6450B"/>
    <w:pPr>
      <w:jc w:val="both"/>
    </w:pPr>
    <w:rPr>
      <w:rFonts w:ascii="Cambria" w:eastAsia="Times New Roman" w:hAnsi="Cambria"/>
      <w:sz w:val="24"/>
      <w:szCs w:val="24"/>
      <w:lang w:val="en-US" w:eastAsia="en-US"/>
    </w:rPr>
  </w:style>
  <w:style w:type="paragraph" w:styleId="Heading1">
    <w:name w:val="heading 1"/>
    <w:basedOn w:val="Normal"/>
    <w:next w:val="Normal"/>
    <w:link w:val="Heading1Char"/>
    <w:uiPriority w:val="99"/>
    <w:qFormat/>
    <w:rsid w:val="00072803"/>
    <w:pPr>
      <w:keepNext/>
      <w:keepLines/>
      <w:spacing w:before="480"/>
      <w:outlineLvl w:val="0"/>
    </w:pPr>
    <w:rPr>
      <w:b/>
      <w:bCs/>
      <w:color w:val="365F91"/>
      <w:sz w:val="28"/>
      <w:szCs w:val="28"/>
    </w:rPr>
  </w:style>
  <w:style w:type="paragraph" w:styleId="Heading2">
    <w:name w:val="heading 2"/>
    <w:basedOn w:val="Normal"/>
    <w:next w:val="Normal"/>
    <w:link w:val="Heading2Char"/>
    <w:uiPriority w:val="99"/>
    <w:qFormat/>
    <w:rsid w:val="00141486"/>
    <w:pPr>
      <w:keepNext/>
      <w:spacing w:before="240" w:after="60"/>
      <w:outlineLvl w:val="1"/>
    </w:pPr>
    <w:rPr>
      <w:rFonts w:ascii="Arial" w:hAnsi="Arial" w:cs="Arial"/>
      <w:b/>
      <w:bCs/>
      <w:i/>
      <w:iCs/>
      <w:sz w:val="28"/>
      <w:szCs w:val="28"/>
      <w:lang w:val="pl-PL" w:eastAsia="pl-PL"/>
    </w:rPr>
  </w:style>
  <w:style w:type="paragraph" w:styleId="Heading3">
    <w:name w:val="heading 3"/>
    <w:basedOn w:val="Normal"/>
    <w:next w:val="Normal"/>
    <w:link w:val="Heading3Char"/>
    <w:uiPriority w:val="99"/>
    <w:qFormat/>
    <w:rsid w:val="00141486"/>
    <w:pPr>
      <w:keepNext/>
      <w:spacing w:before="240" w:after="60"/>
      <w:outlineLvl w:val="2"/>
    </w:pPr>
    <w:rPr>
      <w:rFonts w:ascii="Arial" w:hAnsi="Arial" w:cs="Arial"/>
      <w:b/>
      <w:bCs/>
      <w:sz w:val="26"/>
      <w:szCs w:val="26"/>
      <w:lang w:val="pl-PL" w:eastAsia="pl-PL"/>
    </w:rPr>
  </w:style>
  <w:style w:type="paragraph" w:styleId="Heading4">
    <w:name w:val="heading 4"/>
    <w:basedOn w:val="Normal"/>
    <w:next w:val="Normal"/>
    <w:link w:val="Heading4Char"/>
    <w:uiPriority w:val="99"/>
    <w:qFormat/>
    <w:rsid w:val="00141486"/>
    <w:pPr>
      <w:keepNext/>
      <w:tabs>
        <w:tab w:val="num" w:pos="864"/>
      </w:tabs>
      <w:spacing w:before="240" w:after="60"/>
      <w:ind w:left="864" w:hanging="864"/>
      <w:outlineLvl w:val="3"/>
    </w:pPr>
    <w:rPr>
      <w:b/>
      <w:bCs/>
      <w:sz w:val="28"/>
      <w:szCs w:val="28"/>
    </w:rPr>
  </w:style>
  <w:style w:type="paragraph" w:styleId="Heading5">
    <w:name w:val="heading 5"/>
    <w:basedOn w:val="Normal"/>
    <w:next w:val="Normal"/>
    <w:link w:val="Heading5Char"/>
    <w:uiPriority w:val="99"/>
    <w:qFormat/>
    <w:rsid w:val="00141486"/>
    <w:pPr>
      <w:tabs>
        <w:tab w:val="num" w:pos="1008"/>
      </w:tabs>
      <w:spacing w:before="240" w:after="60"/>
      <w:ind w:left="1008" w:hanging="1008"/>
      <w:outlineLvl w:val="4"/>
    </w:pPr>
    <w:rPr>
      <w:b/>
      <w:bCs/>
      <w:i/>
      <w:iCs/>
      <w:sz w:val="26"/>
      <w:szCs w:val="26"/>
    </w:rPr>
  </w:style>
  <w:style w:type="paragraph" w:styleId="Heading6">
    <w:name w:val="heading 6"/>
    <w:basedOn w:val="Normal"/>
    <w:next w:val="Normal"/>
    <w:link w:val="Heading6Char"/>
    <w:uiPriority w:val="99"/>
    <w:qFormat/>
    <w:rsid w:val="00141486"/>
    <w:pPr>
      <w:tabs>
        <w:tab w:val="num" w:pos="1152"/>
      </w:tabs>
      <w:spacing w:before="240" w:after="60"/>
      <w:ind w:left="1152" w:hanging="1152"/>
      <w:outlineLvl w:val="5"/>
    </w:pPr>
    <w:rPr>
      <w:b/>
      <w:bCs/>
      <w:sz w:val="22"/>
      <w:szCs w:val="22"/>
    </w:rPr>
  </w:style>
  <w:style w:type="paragraph" w:styleId="Heading7">
    <w:name w:val="heading 7"/>
    <w:basedOn w:val="Normal"/>
    <w:next w:val="Normal"/>
    <w:link w:val="Heading7Char"/>
    <w:uiPriority w:val="99"/>
    <w:qFormat/>
    <w:rsid w:val="00141486"/>
    <w:pPr>
      <w:tabs>
        <w:tab w:val="num" w:pos="1296"/>
      </w:tabs>
      <w:spacing w:before="240" w:after="60"/>
      <w:ind w:left="1296" w:hanging="1296"/>
      <w:outlineLvl w:val="6"/>
    </w:pPr>
  </w:style>
  <w:style w:type="paragraph" w:styleId="Heading8">
    <w:name w:val="heading 8"/>
    <w:basedOn w:val="Normal"/>
    <w:next w:val="Normal"/>
    <w:link w:val="Heading8Char"/>
    <w:uiPriority w:val="99"/>
    <w:qFormat/>
    <w:rsid w:val="00141486"/>
    <w:pPr>
      <w:tabs>
        <w:tab w:val="num" w:pos="1440"/>
      </w:tabs>
      <w:spacing w:before="240" w:after="60"/>
      <w:ind w:left="1440" w:hanging="1440"/>
      <w:outlineLvl w:val="7"/>
    </w:pPr>
    <w:rPr>
      <w:i/>
      <w:iCs/>
    </w:rPr>
  </w:style>
  <w:style w:type="paragraph" w:styleId="Heading9">
    <w:name w:val="heading 9"/>
    <w:basedOn w:val="Normal"/>
    <w:next w:val="Normal"/>
    <w:link w:val="Heading9Char"/>
    <w:uiPriority w:val="99"/>
    <w:qFormat/>
    <w:rsid w:val="00141486"/>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72803"/>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141486"/>
    <w:rPr>
      <w:rFonts w:ascii="Arial" w:hAnsi="Arial" w:cs="Arial"/>
      <w:b/>
      <w:bCs/>
      <w:i/>
      <w:iCs/>
      <w:sz w:val="28"/>
      <w:szCs w:val="28"/>
      <w:lang w:val="pl-PL" w:eastAsia="pl-PL"/>
    </w:rPr>
  </w:style>
  <w:style w:type="character" w:customStyle="1" w:styleId="Heading3Char">
    <w:name w:val="Heading 3 Char"/>
    <w:basedOn w:val="DefaultParagraphFont"/>
    <w:link w:val="Heading3"/>
    <w:uiPriority w:val="99"/>
    <w:locked/>
    <w:rsid w:val="00141486"/>
    <w:rPr>
      <w:rFonts w:ascii="Arial" w:hAnsi="Arial" w:cs="Arial"/>
      <w:b/>
      <w:bCs/>
      <w:sz w:val="26"/>
      <w:szCs w:val="26"/>
      <w:lang w:val="pl-PL" w:eastAsia="pl-PL"/>
    </w:rPr>
  </w:style>
  <w:style w:type="character" w:customStyle="1" w:styleId="Heading4Char">
    <w:name w:val="Heading 4 Char"/>
    <w:basedOn w:val="DefaultParagraphFont"/>
    <w:link w:val="Heading4"/>
    <w:uiPriority w:val="99"/>
    <w:locked/>
    <w:rsid w:val="00141486"/>
    <w:rPr>
      <w:rFonts w:ascii="Times New Roman" w:hAnsi="Times New Roman" w:cs="Times New Roman"/>
      <w:b/>
      <w:bCs/>
      <w:sz w:val="28"/>
      <w:szCs w:val="28"/>
    </w:rPr>
  </w:style>
  <w:style w:type="character" w:customStyle="1" w:styleId="Heading5Char">
    <w:name w:val="Heading 5 Char"/>
    <w:basedOn w:val="DefaultParagraphFont"/>
    <w:link w:val="Heading5"/>
    <w:uiPriority w:val="99"/>
    <w:locked/>
    <w:rsid w:val="00141486"/>
    <w:rPr>
      <w:rFonts w:ascii="Times New Roman" w:hAnsi="Times New Roman" w:cs="Times New Roman"/>
      <w:b/>
      <w:bCs/>
      <w:i/>
      <w:iCs/>
      <w:sz w:val="26"/>
      <w:szCs w:val="26"/>
    </w:rPr>
  </w:style>
  <w:style w:type="character" w:customStyle="1" w:styleId="Heading6Char">
    <w:name w:val="Heading 6 Char"/>
    <w:basedOn w:val="DefaultParagraphFont"/>
    <w:link w:val="Heading6"/>
    <w:uiPriority w:val="99"/>
    <w:locked/>
    <w:rsid w:val="00141486"/>
    <w:rPr>
      <w:rFonts w:ascii="Times New Roman" w:hAnsi="Times New Roman" w:cs="Times New Roman"/>
      <w:b/>
      <w:bCs/>
    </w:rPr>
  </w:style>
  <w:style w:type="character" w:customStyle="1" w:styleId="Heading7Char">
    <w:name w:val="Heading 7 Char"/>
    <w:basedOn w:val="DefaultParagraphFont"/>
    <w:link w:val="Heading7"/>
    <w:uiPriority w:val="99"/>
    <w:locked/>
    <w:rsid w:val="00141486"/>
    <w:rPr>
      <w:rFonts w:ascii="Times New Roman" w:hAnsi="Times New Roman" w:cs="Times New Roman"/>
      <w:sz w:val="24"/>
      <w:szCs w:val="24"/>
    </w:rPr>
  </w:style>
  <w:style w:type="character" w:customStyle="1" w:styleId="Heading8Char">
    <w:name w:val="Heading 8 Char"/>
    <w:basedOn w:val="DefaultParagraphFont"/>
    <w:link w:val="Heading8"/>
    <w:uiPriority w:val="99"/>
    <w:locked/>
    <w:rsid w:val="00141486"/>
    <w:rPr>
      <w:rFonts w:ascii="Times New Roman" w:hAnsi="Times New Roman" w:cs="Times New Roman"/>
      <w:i/>
      <w:iCs/>
      <w:sz w:val="24"/>
      <w:szCs w:val="24"/>
    </w:rPr>
  </w:style>
  <w:style w:type="character" w:customStyle="1" w:styleId="Heading9Char">
    <w:name w:val="Heading 9 Char"/>
    <w:basedOn w:val="DefaultParagraphFont"/>
    <w:link w:val="Heading9"/>
    <w:uiPriority w:val="99"/>
    <w:locked/>
    <w:rsid w:val="00141486"/>
    <w:rPr>
      <w:rFonts w:ascii="Arial" w:hAnsi="Arial" w:cs="Arial"/>
    </w:rPr>
  </w:style>
  <w:style w:type="table" w:styleId="TableGrid">
    <w:name w:val="Table Grid"/>
    <w:basedOn w:val="TableNormal"/>
    <w:uiPriority w:val="99"/>
    <w:rsid w:val="006C5C11"/>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aliases w:val="Caption Char Char Char,Caption1 Char,Caption1,Table title,Figure Head,Figure Head Znak Znak,Figure Head Znak,WB Caption"/>
    <w:basedOn w:val="Normal"/>
    <w:next w:val="Normal"/>
    <w:link w:val="CaptionChar"/>
    <w:uiPriority w:val="99"/>
    <w:qFormat/>
    <w:rsid w:val="006C5C11"/>
    <w:pPr>
      <w:spacing w:after="200"/>
    </w:pPr>
    <w:rPr>
      <w:b/>
      <w:bCs/>
      <w:color w:val="4F81BD"/>
      <w:sz w:val="18"/>
      <w:szCs w:val="18"/>
    </w:rPr>
  </w:style>
  <w:style w:type="paragraph" w:styleId="BalloonText">
    <w:name w:val="Balloon Text"/>
    <w:basedOn w:val="Normal"/>
    <w:link w:val="BalloonTextChar"/>
    <w:uiPriority w:val="99"/>
    <w:semiHidden/>
    <w:rsid w:val="006C5C1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C5C11"/>
    <w:rPr>
      <w:rFonts w:ascii="Tahoma" w:hAnsi="Tahoma" w:cs="Tahoma"/>
      <w:sz w:val="16"/>
      <w:szCs w:val="16"/>
    </w:rPr>
  </w:style>
  <w:style w:type="character" w:styleId="CommentReference">
    <w:name w:val="annotation reference"/>
    <w:basedOn w:val="DefaultParagraphFont"/>
    <w:uiPriority w:val="99"/>
    <w:semiHidden/>
    <w:rsid w:val="00141486"/>
    <w:rPr>
      <w:rFonts w:cs="Times New Roman"/>
      <w:sz w:val="16"/>
      <w:szCs w:val="16"/>
    </w:rPr>
  </w:style>
  <w:style w:type="paragraph" w:styleId="CommentText">
    <w:name w:val="annotation text"/>
    <w:basedOn w:val="Normal"/>
    <w:link w:val="CommentTextChar"/>
    <w:uiPriority w:val="99"/>
    <w:semiHidden/>
    <w:rsid w:val="00141486"/>
    <w:rPr>
      <w:sz w:val="20"/>
      <w:szCs w:val="20"/>
      <w:lang w:val="pl-PL" w:eastAsia="pl-PL"/>
    </w:rPr>
  </w:style>
  <w:style w:type="character" w:customStyle="1" w:styleId="CommentTextChar">
    <w:name w:val="Comment Text Char"/>
    <w:basedOn w:val="DefaultParagraphFont"/>
    <w:link w:val="CommentText"/>
    <w:uiPriority w:val="99"/>
    <w:semiHidden/>
    <w:locked/>
    <w:rsid w:val="00141486"/>
    <w:rPr>
      <w:rFonts w:ascii="Times New Roman" w:hAnsi="Times New Roman" w:cs="Times New Roman"/>
      <w:sz w:val="20"/>
      <w:szCs w:val="20"/>
      <w:lang w:val="pl-PL" w:eastAsia="pl-PL"/>
    </w:rPr>
  </w:style>
  <w:style w:type="paragraph" w:styleId="CommentSubject">
    <w:name w:val="annotation subject"/>
    <w:basedOn w:val="CommentText"/>
    <w:next w:val="CommentText"/>
    <w:link w:val="CommentSubjectChar"/>
    <w:uiPriority w:val="99"/>
    <w:semiHidden/>
    <w:rsid w:val="00141486"/>
    <w:rPr>
      <w:b/>
      <w:bCs/>
    </w:rPr>
  </w:style>
  <w:style w:type="character" w:customStyle="1" w:styleId="CommentSubjectChar">
    <w:name w:val="Comment Subject Char"/>
    <w:basedOn w:val="CommentTextChar"/>
    <w:link w:val="CommentSubject"/>
    <w:uiPriority w:val="99"/>
    <w:semiHidden/>
    <w:locked/>
    <w:rsid w:val="00141486"/>
    <w:rPr>
      <w:b/>
      <w:bCs/>
    </w:rPr>
  </w:style>
  <w:style w:type="paragraph" w:customStyle="1" w:styleId="QERcaption">
    <w:name w:val="QER caption"/>
    <w:basedOn w:val="Normal"/>
    <w:link w:val="QERcaptionChar"/>
    <w:uiPriority w:val="99"/>
    <w:rsid w:val="00141486"/>
    <w:pPr>
      <w:spacing w:before="60"/>
    </w:pPr>
    <w:rPr>
      <w:rFonts w:ascii="Trebuchet MS" w:hAnsi="Trebuchet MS"/>
      <w:b/>
      <w:lang w:eastAsia="pl-PL"/>
    </w:rPr>
  </w:style>
  <w:style w:type="paragraph" w:customStyle="1" w:styleId="QERnotes">
    <w:name w:val="QER notes"/>
    <w:basedOn w:val="Normal"/>
    <w:link w:val="QERnotesChar"/>
    <w:uiPriority w:val="99"/>
    <w:rsid w:val="00141486"/>
    <w:pPr>
      <w:spacing w:before="20" w:after="20"/>
    </w:pPr>
    <w:rPr>
      <w:rFonts w:ascii="Trebuchet MS" w:hAnsi="Trebuchet MS"/>
      <w:sz w:val="20"/>
      <w:lang w:eastAsia="pl-PL"/>
    </w:rPr>
  </w:style>
  <w:style w:type="character" w:customStyle="1" w:styleId="QERcaptionChar">
    <w:name w:val="QER caption Char"/>
    <w:basedOn w:val="DefaultParagraphFont"/>
    <w:link w:val="QERcaption"/>
    <w:uiPriority w:val="99"/>
    <w:locked/>
    <w:rsid w:val="00141486"/>
    <w:rPr>
      <w:rFonts w:ascii="Trebuchet MS" w:hAnsi="Trebuchet MS" w:cs="Times New Roman"/>
      <w:b/>
      <w:sz w:val="24"/>
      <w:szCs w:val="24"/>
      <w:lang w:eastAsia="pl-PL"/>
    </w:rPr>
  </w:style>
  <w:style w:type="character" w:customStyle="1" w:styleId="QERnotesChar">
    <w:name w:val="QER notes Char"/>
    <w:basedOn w:val="DefaultParagraphFont"/>
    <w:link w:val="QERnotes"/>
    <w:uiPriority w:val="99"/>
    <w:locked/>
    <w:rsid w:val="00141486"/>
    <w:rPr>
      <w:rFonts w:ascii="Trebuchet MS" w:hAnsi="Trebuchet MS" w:cs="Times New Roman"/>
      <w:sz w:val="24"/>
      <w:szCs w:val="24"/>
      <w:lang w:eastAsia="pl-PL"/>
    </w:rPr>
  </w:style>
  <w:style w:type="table" w:styleId="TableSimple1">
    <w:name w:val="Table Simple 1"/>
    <w:basedOn w:val="TableNormal"/>
    <w:uiPriority w:val="99"/>
    <w:rsid w:val="00141486"/>
    <w:rPr>
      <w:rFonts w:ascii="Times New Roman" w:eastAsia="Times New Roman" w:hAnsi="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fiscalstudynotes">
    <w:name w:val="fiscal study notes"/>
    <w:basedOn w:val="Footer"/>
    <w:link w:val="fiscalstudynotesChar"/>
    <w:uiPriority w:val="99"/>
    <w:rsid w:val="00141486"/>
    <w:pPr>
      <w:tabs>
        <w:tab w:val="clear" w:pos="4536"/>
        <w:tab w:val="clear" w:pos="9072"/>
        <w:tab w:val="center" w:pos="4320"/>
        <w:tab w:val="right" w:pos="8640"/>
      </w:tabs>
      <w:spacing w:after="120"/>
    </w:pPr>
    <w:rPr>
      <w:rFonts w:ascii="Arial" w:hAnsi="Arial"/>
      <w:sz w:val="14"/>
      <w:szCs w:val="16"/>
      <w:lang w:val="en-US" w:eastAsia="en-US"/>
    </w:rPr>
  </w:style>
  <w:style w:type="character" w:customStyle="1" w:styleId="fiscalstudynotesChar">
    <w:name w:val="fiscal study notes Char"/>
    <w:basedOn w:val="DefaultParagraphFont"/>
    <w:link w:val="fiscalstudynotes"/>
    <w:uiPriority w:val="99"/>
    <w:locked/>
    <w:rsid w:val="00141486"/>
    <w:rPr>
      <w:rFonts w:ascii="Arial" w:hAnsi="Arial" w:cs="Times New Roman"/>
      <w:sz w:val="16"/>
      <w:szCs w:val="16"/>
    </w:rPr>
  </w:style>
  <w:style w:type="paragraph" w:styleId="Footer">
    <w:name w:val="footer"/>
    <w:basedOn w:val="Normal"/>
    <w:link w:val="FooterChar"/>
    <w:uiPriority w:val="99"/>
    <w:rsid w:val="00141486"/>
    <w:pPr>
      <w:tabs>
        <w:tab w:val="center" w:pos="4536"/>
        <w:tab w:val="right" w:pos="9072"/>
      </w:tabs>
    </w:pPr>
    <w:rPr>
      <w:lang w:val="pl-PL" w:eastAsia="pl-PL"/>
    </w:rPr>
  </w:style>
  <w:style w:type="character" w:customStyle="1" w:styleId="FooterChar">
    <w:name w:val="Footer Char"/>
    <w:basedOn w:val="DefaultParagraphFont"/>
    <w:link w:val="Footer"/>
    <w:uiPriority w:val="99"/>
    <w:locked/>
    <w:rsid w:val="00141486"/>
    <w:rPr>
      <w:rFonts w:ascii="Times New Roman" w:hAnsi="Times New Roman" w:cs="Times New Roman"/>
      <w:sz w:val="24"/>
      <w:szCs w:val="24"/>
      <w:lang w:val="pl-PL" w:eastAsia="pl-PL"/>
    </w:rPr>
  </w:style>
  <w:style w:type="paragraph" w:customStyle="1" w:styleId="StyleQERJustified">
    <w:name w:val="Style QER + Justified"/>
    <w:basedOn w:val="Normal"/>
    <w:uiPriority w:val="99"/>
    <w:rsid w:val="00141486"/>
    <w:pPr>
      <w:spacing w:after="120"/>
    </w:pPr>
    <w:rPr>
      <w:rFonts w:ascii="Trebuchet MS" w:hAnsi="Trebuchet MS"/>
      <w:sz w:val="20"/>
      <w:szCs w:val="20"/>
      <w:lang w:eastAsia="pl-PL"/>
    </w:rPr>
  </w:style>
  <w:style w:type="character" w:styleId="PageNumber">
    <w:name w:val="page number"/>
    <w:basedOn w:val="DefaultParagraphFont"/>
    <w:uiPriority w:val="99"/>
    <w:rsid w:val="00141486"/>
    <w:rPr>
      <w:rFonts w:cs="Times New Roman"/>
    </w:rPr>
  </w:style>
  <w:style w:type="paragraph" w:styleId="TOC1">
    <w:name w:val="toc 1"/>
    <w:basedOn w:val="Normal"/>
    <w:next w:val="Normal"/>
    <w:autoRedefine/>
    <w:uiPriority w:val="99"/>
    <w:rsid w:val="00861DDB"/>
    <w:pPr>
      <w:tabs>
        <w:tab w:val="right" w:leader="dot" w:pos="8630"/>
      </w:tabs>
      <w:spacing w:before="120" w:after="120"/>
      <w:jc w:val="center"/>
    </w:pPr>
    <w:rPr>
      <w:rFonts w:ascii="Calibri" w:hAnsi="Calibri"/>
      <w:b/>
      <w:bCs/>
      <w:caps/>
      <w:sz w:val="20"/>
      <w:szCs w:val="20"/>
    </w:rPr>
  </w:style>
  <w:style w:type="paragraph" w:styleId="TOC2">
    <w:name w:val="toc 2"/>
    <w:basedOn w:val="Normal"/>
    <w:next w:val="Normal"/>
    <w:autoRedefine/>
    <w:uiPriority w:val="99"/>
    <w:rsid w:val="00141486"/>
    <w:pPr>
      <w:ind w:left="240"/>
      <w:jc w:val="left"/>
    </w:pPr>
    <w:rPr>
      <w:rFonts w:ascii="Calibri" w:hAnsi="Calibri"/>
      <w:smallCaps/>
      <w:sz w:val="20"/>
      <w:szCs w:val="20"/>
    </w:rPr>
  </w:style>
  <w:style w:type="character" w:styleId="Hyperlink">
    <w:name w:val="Hyperlink"/>
    <w:basedOn w:val="DefaultParagraphFont"/>
    <w:uiPriority w:val="99"/>
    <w:rsid w:val="00141486"/>
    <w:rPr>
      <w:rFonts w:cs="Times New Roman"/>
      <w:color w:val="0000FF"/>
      <w:u w:val="single"/>
    </w:rPr>
  </w:style>
  <w:style w:type="character" w:customStyle="1" w:styleId="szoveg1">
    <w:name w:val="szoveg1"/>
    <w:basedOn w:val="DefaultParagraphFont"/>
    <w:uiPriority w:val="99"/>
    <w:rsid w:val="00141486"/>
    <w:rPr>
      <w:rFonts w:ascii="Arial" w:hAnsi="Arial" w:cs="Arial"/>
      <w:color w:val="303630"/>
      <w:sz w:val="20"/>
      <w:szCs w:val="20"/>
    </w:rPr>
  </w:style>
  <w:style w:type="paragraph" w:styleId="TOC3">
    <w:name w:val="toc 3"/>
    <w:basedOn w:val="Normal"/>
    <w:next w:val="Normal"/>
    <w:autoRedefine/>
    <w:uiPriority w:val="99"/>
    <w:semiHidden/>
    <w:rsid w:val="00141486"/>
    <w:pPr>
      <w:ind w:left="480"/>
      <w:jc w:val="left"/>
    </w:pPr>
    <w:rPr>
      <w:rFonts w:ascii="Calibri" w:hAnsi="Calibri"/>
      <w:i/>
      <w:iCs/>
      <w:sz w:val="20"/>
      <w:szCs w:val="20"/>
    </w:rPr>
  </w:style>
  <w:style w:type="paragraph" w:customStyle="1" w:styleId="StyleQERH2Blue">
    <w:name w:val="Style QER H2 + Blue"/>
    <w:basedOn w:val="Normal"/>
    <w:uiPriority w:val="99"/>
    <w:rsid w:val="00141486"/>
    <w:pPr>
      <w:keepNext/>
      <w:spacing w:before="240" w:after="120"/>
      <w:outlineLvl w:val="1"/>
    </w:pPr>
    <w:rPr>
      <w:rFonts w:ascii="Trebuchet MS" w:hAnsi="Trebuchet MS" w:cs="Arial"/>
      <w:b/>
      <w:bCs/>
      <w:color w:val="0000FF"/>
      <w:sz w:val="26"/>
      <w:szCs w:val="28"/>
      <w:lang w:eastAsia="pl-PL"/>
    </w:rPr>
  </w:style>
  <w:style w:type="paragraph" w:customStyle="1" w:styleId="QER">
    <w:name w:val="QER"/>
    <w:basedOn w:val="Normal"/>
    <w:link w:val="QERChar"/>
    <w:uiPriority w:val="99"/>
    <w:rsid w:val="00141486"/>
    <w:pPr>
      <w:spacing w:before="60" w:after="120"/>
    </w:pPr>
    <w:rPr>
      <w:rFonts w:ascii="Trebuchet MS" w:hAnsi="Trebuchet MS"/>
      <w:lang w:eastAsia="pl-PL"/>
    </w:rPr>
  </w:style>
  <w:style w:type="character" w:styleId="FootnoteReference">
    <w:name w:val="footnote reference"/>
    <w:basedOn w:val="DefaultParagraphFont"/>
    <w:uiPriority w:val="99"/>
    <w:semiHidden/>
    <w:rsid w:val="00141486"/>
    <w:rPr>
      <w:rFonts w:cs="Times New Roman"/>
      <w:vertAlign w:val="superscript"/>
    </w:rPr>
  </w:style>
  <w:style w:type="paragraph" w:styleId="FootnoteText">
    <w:name w:val="footnote text"/>
    <w:aliases w:val="Footnote Text qer,fn,single space,FOOTNOTES"/>
    <w:basedOn w:val="Normal"/>
    <w:next w:val="Normal"/>
    <w:link w:val="FootnoteTextChar1"/>
    <w:uiPriority w:val="99"/>
    <w:semiHidden/>
    <w:rsid w:val="00141486"/>
    <w:pPr>
      <w:spacing w:before="120" w:after="240"/>
    </w:pPr>
    <w:rPr>
      <w:rFonts w:ascii="Trebuchet MS" w:hAnsi="Trebuchet MS"/>
      <w:sz w:val="18"/>
      <w:szCs w:val="20"/>
    </w:rPr>
  </w:style>
  <w:style w:type="character" w:customStyle="1" w:styleId="FootnoteTextChar">
    <w:name w:val="Footnote Text Char"/>
    <w:aliases w:val="Footnote Text qer Char,fn Char,single space Char,FOOTNOTES Char"/>
    <w:basedOn w:val="DefaultParagraphFont"/>
    <w:link w:val="FootnoteText"/>
    <w:uiPriority w:val="99"/>
    <w:semiHidden/>
    <w:locked/>
    <w:rsid w:val="00EF77DD"/>
    <w:rPr>
      <w:rFonts w:ascii="Cambria" w:hAnsi="Cambria" w:cs="Times New Roman"/>
      <w:sz w:val="20"/>
      <w:szCs w:val="20"/>
      <w:lang w:val="en-US" w:eastAsia="en-US"/>
    </w:rPr>
  </w:style>
  <w:style w:type="character" w:customStyle="1" w:styleId="FootnoteTextChar1">
    <w:name w:val="Footnote Text Char1"/>
    <w:aliases w:val="Footnote Text qer Char1,fn Char1,single space Char1,FOOTNOTES Char1"/>
    <w:basedOn w:val="DefaultParagraphFont"/>
    <w:link w:val="FootnoteText"/>
    <w:uiPriority w:val="99"/>
    <w:semiHidden/>
    <w:locked/>
    <w:rsid w:val="00141486"/>
    <w:rPr>
      <w:rFonts w:ascii="Trebuchet MS" w:hAnsi="Trebuchet MS" w:cs="Times New Roman"/>
      <w:sz w:val="20"/>
      <w:szCs w:val="20"/>
    </w:rPr>
  </w:style>
  <w:style w:type="character" w:customStyle="1" w:styleId="QERChar">
    <w:name w:val="QER Char"/>
    <w:basedOn w:val="DefaultParagraphFont"/>
    <w:link w:val="QER"/>
    <w:uiPriority w:val="99"/>
    <w:locked/>
    <w:rsid w:val="00141486"/>
    <w:rPr>
      <w:rFonts w:ascii="Trebuchet MS" w:hAnsi="Trebuchet MS" w:cs="Times New Roman"/>
      <w:sz w:val="24"/>
      <w:szCs w:val="24"/>
      <w:lang w:eastAsia="pl-PL"/>
    </w:rPr>
  </w:style>
  <w:style w:type="paragraph" w:styleId="NormalWeb">
    <w:name w:val="Normal (Web)"/>
    <w:basedOn w:val="Normal"/>
    <w:uiPriority w:val="99"/>
    <w:rsid w:val="00141486"/>
    <w:pPr>
      <w:spacing w:before="100" w:beforeAutospacing="1" w:after="100" w:afterAutospacing="1"/>
    </w:pPr>
  </w:style>
  <w:style w:type="character" w:styleId="Emphasis">
    <w:name w:val="Emphasis"/>
    <w:basedOn w:val="DefaultParagraphFont"/>
    <w:uiPriority w:val="99"/>
    <w:qFormat/>
    <w:rsid w:val="00141486"/>
    <w:rPr>
      <w:rFonts w:cs="Times New Roman"/>
      <w:i/>
      <w:iCs/>
    </w:rPr>
  </w:style>
  <w:style w:type="character" w:styleId="Strong">
    <w:name w:val="Strong"/>
    <w:basedOn w:val="DefaultParagraphFont"/>
    <w:uiPriority w:val="99"/>
    <w:qFormat/>
    <w:rsid w:val="00141486"/>
    <w:rPr>
      <w:rFonts w:cs="Times New Roman"/>
      <w:b/>
      <w:bCs/>
    </w:rPr>
  </w:style>
  <w:style w:type="paragraph" w:styleId="BodyText">
    <w:name w:val="Body Text"/>
    <w:basedOn w:val="Normal"/>
    <w:link w:val="BodyTextChar"/>
    <w:uiPriority w:val="99"/>
    <w:rsid w:val="00141486"/>
    <w:pPr>
      <w:spacing w:before="120" w:after="120"/>
    </w:pPr>
    <w:rPr>
      <w:rFonts w:ascii="Trebuchet MS" w:hAnsi="Trebuchet MS"/>
      <w:i/>
      <w:lang w:eastAsia="pl-PL"/>
    </w:rPr>
  </w:style>
  <w:style w:type="character" w:customStyle="1" w:styleId="BodyTextChar">
    <w:name w:val="Body Text Char"/>
    <w:basedOn w:val="DefaultParagraphFont"/>
    <w:link w:val="BodyText"/>
    <w:uiPriority w:val="99"/>
    <w:locked/>
    <w:rsid w:val="00141486"/>
    <w:rPr>
      <w:rFonts w:ascii="Trebuchet MS" w:hAnsi="Trebuchet MS" w:cs="Times New Roman"/>
      <w:i/>
      <w:sz w:val="24"/>
      <w:szCs w:val="24"/>
      <w:lang w:eastAsia="pl-PL"/>
    </w:rPr>
  </w:style>
  <w:style w:type="paragraph" w:styleId="Header">
    <w:name w:val="header"/>
    <w:basedOn w:val="Normal"/>
    <w:link w:val="HeaderChar"/>
    <w:uiPriority w:val="99"/>
    <w:rsid w:val="00141486"/>
    <w:pPr>
      <w:tabs>
        <w:tab w:val="center" w:pos="4320"/>
        <w:tab w:val="right" w:pos="8640"/>
      </w:tabs>
    </w:pPr>
    <w:rPr>
      <w:lang w:val="pl-PL" w:eastAsia="pl-PL"/>
    </w:rPr>
  </w:style>
  <w:style w:type="character" w:customStyle="1" w:styleId="HeaderChar">
    <w:name w:val="Header Char"/>
    <w:basedOn w:val="DefaultParagraphFont"/>
    <w:link w:val="Header"/>
    <w:uiPriority w:val="99"/>
    <w:locked/>
    <w:rsid w:val="00141486"/>
    <w:rPr>
      <w:rFonts w:ascii="Times New Roman" w:hAnsi="Times New Roman" w:cs="Times New Roman"/>
      <w:sz w:val="24"/>
      <w:szCs w:val="24"/>
      <w:lang w:val="pl-PL" w:eastAsia="pl-PL"/>
    </w:rPr>
  </w:style>
  <w:style w:type="paragraph" w:customStyle="1" w:styleId="fiscalstudytable">
    <w:name w:val="fiscal study table"/>
    <w:basedOn w:val="TableofFigures"/>
    <w:uiPriority w:val="99"/>
    <w:rsid w:val="00141486"/>
    <w:rPr>
      <w:rFonts w:ascii="Arial" w:hAnsi="Arial"/>
      <w:b/>
      <w:sz w:val="20"/>
      <w:szCs w:val="20"/>
      <w:lang w:val="en-US" w:eastAsia="en-US"/>
    </w:rPr>
  </w:style>
  <w:style w:type="paragraph" w:styleId="TableofFigures">
    <w:name w:val="table of figures"/>
    <w:basedOn w:val="Normal"/>
    <w:next w:val="Normal"/>
    <w:uiPriority w:val="99"/>
    <w:rsid w:val="00141486"/>
    <w:rPr>
      <w:lang w:val="pl-PL" w:eastAsia="pl-PL"/>
    </w:rPr>
  </w:style>
  <w:style w:type="paragraph" w:customStyle="1" w:styleId="StyleQER10ptJustifiedLinespacingDouble">
    <w:name w:val="Style QER + 10 pt Justified Line spacing:  Double"/>
    <w:basedOn w:val="QER"/>
    <w:uiPriority w:val="99"/>
    <w:rsid w:val="00141486"/>
    <w:rPr>
      <w:sz w:val="20"/>
      <w:szCs w:val="20"/>
    </w:rPr>
  </w:style>
  <w:style w:type="paragraph" w:customStyle="1" w:styleId="CommentSubject1">
    <w:name w:val="Comment Subject1"/>
    <w:basedOn w:val="CommentText"/>
    <w:next w:val="CommentText"/>
    <w:uiPriority w:val="99"/>
    <w:semiHidden/>
    <w:rsid w:val="00141486"/>
    <w:rPr>
      <w:b/>
      <w:bCs/>
    </w:rPr>
  </w:style>
  <w:style w:type="paragraph" w:customStyle="1" w:styleId="BalloonText1">
    <w:name w:val="Balloon Text1"/>
    <w:basedOn w:val="Normal"/>
    <w:uiPriority w:val="99"/>
    <w:semiHidden/>
    <w:rsid w:val="00141486"/>
    <w:rPr>
      <w:rFonts w:ascii="Tahoma" w:hAnsi="Tahoma" w:cs="Courier New"/>
      <w:sz w:val="16"/>
      <w:szCs w:val="16"/>
      <w:lang w:val="pl-PL" w:eastAsia="pl-PL"/>
    </w:rPr>
  </w:style>
  <w:style w:type="paragraph" w:customStyle="1" w:styleId="NormalWeb1">
    <w:name w:val="Normal (Web)1"/>
    <w:basedOn w:val="Normal"/>
    <w:uiPriority w:val="99"/>
    <w:rsid w:val="00141486"/>
    <w:pPr>
      <w:spacing w:before="100" w:beforeAutospacing="1" w:after="100" w:afterAutospacing="1"/>
    </w:pPr>
  </w:style>
  <w:style w:type="paragraph" w:customStyle="1" w:styleId="QERH1">
    <w:name w:val="QER H1"/>
    <w:basedOn w:val="Heading1"/>
    <w:next w:val="QER"/>
    <w:uiPriority w:val="99"/>
    <w:rsid w:val="00141486"/>
    <w:pPr>
      <w:keepLines w:val="0"/>
      <w:pageBreakBefore/>
      <w:numPr>
        <w:numId w:val="10"/>
      </w:numPr>
      <w:spacing w:before="240" w:after="180"/>
    </w:pPr>
    <w:rPr>
      <w:rFonts w:ascii="Trebuchet MS" w:hAnsi="Trebuchet MS" w:cs="Arial"/>
      <w:smallCaps/>
      <w:color w:val="auto"/>
      <w:kern w:val="32"/>
      <w:sz w:val="40"/>
      <w:szCs w:val="40"/>
      <w:lang w:eastAsia="pl-PL"/>
    </w:rPr>
  </w:style>
  <w:style w:type="paragraph" w:customStyle="1" w:styleId="QERH3">
    <w:name w:val="QER H3"/>
    <w:basedOn w:val="Heading3"/>
    <w:next w:val="QER"/>
    <w:uiPriority w:val="99"/>
    <w:rsid w:val="00141486"/>
    <w:pPr>
      <w:numPr>
        <w:ilvl w:val="2"/>
        <w:numId w:val="10"/>
      </w:numPr>
    </w:pPr>
    <w:rPr>
      <w:sz w:val="24"/>
      <w:szCs w:val="24"/>
    </w:rPr>
  </w:style>
  <w:style w:type="paragraph" w:customStyle="1" w:styleId="QERlink">
    <w:name w:val="QER link"/>
    <w:basedOn w:val="Normal"/>
    <w:next w:val="QER"/>
    <w:uiPriority w:val="99"/>
    <w:rsid w:val="00141486"/>
    <w:rPr>
      <w:rFonts w:ascii="Trebuchet MS" w:hAnsi="Trebuchet MS"/>
      <w:i/>
      <w:sz w:val="20"/>
      <w:u w:val="single"/>
      <w:lang w:eastAsia="pl-PL"/>
    </w:rPr>
  </w:style>
  <w:style w:type="table" w:styleId="TableGrid1">
    <w:name w:val="Table Grid 1"/>
    <w:basedOn w:val="TableNormal"/>
    <w:uiPriority w:val="99"/>
    <w:rsid w:val="00141486"/>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styleId="FollowedHyperlink">
    <w:name w:val="FollowedHyperlink"/>
    <w:basedOn w:val="DefaultParagraphFont"/>
    <w:uiPriority w:val="99"/>
    <w:rsid w:val="00141486"/>
    <w:rPr>
      <w:rFonts w:cs="Times New Roman"/>
      <w:color w:val="606420"/>
      <w:u w:val="single"/>
    </w:rPr>
  </w:style>
  <w:style w:type="character" w:customStyle="1" w:styleId="CaptionChar">
    <w:name w:val="Caption Char"/>
    <w:aliases w:val="Caption Char Char Char Char,Caption1 Char Char,Caption1 Char1,Table title Char,Figure Head Char,Figure Head Znak Znak Char,Figure Head Znak Char,WB Caption Char"/>
    <w:basedOn w:val="DefaultParagraphFont"/>
    <w:link w:val="Caption"/>
    <w:uiPriority w:val="99"/>
    <w:locked/>
    <w:rsid w:val="00E031A7"/>
    <w:rPr>
      <w:rFonts w:ascii="Times New Roman" w:hAnsi="Times New Roman" w:cs="Times New Roman"/>
      <w:b/>
      <w:bCs/>
      <w:color w:val="4F81BD"/>
      <w:sz w:val="18"/>
      <w:szCs w:val="18"/>
    </w:rPr>
  </w:style>
  <w:style w:type="table" w:customStyle="1" w:styleId="LightList-Accent11">
    <w:name w:val="Light List - Accent 11"/>
    <w:uiPriority w:val="99"/>
    <w:rsid w:val="00437287"/>
    <w:rPr>
      <w:rFonts w:ascii="Times New Roman" w:eastAsia="Times New Roman" w:hAnsi="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5C7BAB"/>
    <w:pPr>
      <w:ind w:left="720"/>
      <w:contextualSpacing/>
    </w:pPr>
  </w:style>
  <w:style w:type="paragraph" w:customStyle="1" w:styleId="Style1">
    <w:name w:val="Style1"/>
    <w:basedOn w:val="Normal"/>
    <w:link w:val="Style1Char"/>
    <w:autoRedefine/>
    <w:uiPriority w:val="99"/>
    <w:rsid w:val="00932E00"/>
    <w:rPr>
      <w:bCs/>
    </w:rPr>
  </w:style>
  <w:style w:type="character" w:customStyle="1" w:styleId="Style1Char">
    <w:name w:val="Style1 Char"/>
    <w:basedOn w:val="DefaultParagraphFont"/>
    <w:link w:val="Style1"/>
    <w:uiPriority w:val="99"/>
    <w:locked/>
    <w:rsid w:val="00932E00"/>
    <w:rPr>
      <w:rFonts w:ascii="Cambria" w:hAnsi="Cambria" w:cs="Times New Roman"/>
      <w:bCs/>
      <w:sz w:val="24"/>
      <w:szCs w:val="24"/>
    </w:rPr>
  </w:style>
  <w:style w:type="table" w:customStyle="1" w:styleId="LightList-Accent12">
    <w:name w:val="Light List - Accent 12"/>
    <w:uiPriority w:val="99"/>
    <w:rsid w:val="00350E38"/>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Default">
    <w:name w:val="Default"/>
    <w:uiPriority w:val="99"/>
    <w:rsid w:val="00CD6439"/>
    <w:pPr>
      <w:autoSpaceDE w:val="0"/>
      <w:autoSpaceDN w:val="0"/>
      <w:adjustRightInd w:val="0"/>
    </w:pPr>
    <w:rPr>
      <w:rFonts w:ascii="Trebuchet MS" w:hAnsi="Trebuchet MS" w:cs="Trebuchet MS"/>
      <w:color w:val="000000"/>
      <w:sz w:val="24"/>
      <w:szCs w:val="24"/>
      <w:lang w:val="en-US" w:eastAsia="en-US"/>
    </w:rPr>
  </w:style>
  <w:style w:type="paragraph" w:customStyle="1" w:styleId="MainParanoChapter">
    <w:name w:val="Main Para no Chapter #"/>
    <w:basedOn w:val="Normal"/>
    <w:link w:val="MainParanoChapterChar"/>
    <w:uiPriority w:val="99"/>
    <w:rsid w:val="00CD6439"/>
    <w:pPr>
      <w:spacing w:after="240"/>
      <w:jc w:val="left"/>
      <w:outlineLvl w:val="1"/>
    </w:pPr>
    <w:rPr>
      <w:rFonts w:ascii="Times New Roman" w:hAnsi="Times New Roman"/>
    </w:rPr>
  </w:style>
  <w:style w:type="character" w:customStyle="1" w:styleId="MainParanoChapterChar">
    <w:name w:val="Main Para no Chapter # Char"/>
    <w:basedOn w:val="DefaultParagraphFont"/>
    <w:link w:val="MainParanoChapter"/>
    <w:uiPriority w:val="99"/>
    <w:locked/>
    <w:rsid w:val="00CD6439"/>
    <w:rPr>
      <w:rFonts w:ascii="Times New Roman" w:hAnsi="Times New Roman" w:cs="Times New Roman"/>
      <w:sz w:val="24"/>
      <w:szCs w:val="24"/>
    </w:rPr>
  </w:style>
  <w:style w:type="paragraph" w:styleId="NoSpacing">
    <w:name w:val="No Spacing"/>
    <w:link w:val="NoSpacingChar"/>
    <w:uiPriority w:val="99"/>
    <w:qFormat/>
    <w:rsid w:val="00C54FF7"/>
    <w:rPr>
      <w:rFonts w:eastAsia="Times New Roman"/>
      <w:lang w:val="en-US" w:eastAsia="en-US"/>
    </w:rPr>
  </w:style>
  <w:style w:type="character" w:customStyle="1" w:styleId="NoSpacingChar">
    <w:name w:val="No Spacing Char"/>
    <w:basedOn w:val="DefaultParagraphFont"/>
    <w:link w:val="NoSpacing"/>
    <w:uiPriority w:val="99"/>
    <w:locked/>
    <w:rsid w:val="00C54FF7"/>
    <w:rPr>
      <w:rFonts w:eastAsia="Times New Roman" w:cs="Times New Roman"/>
      <w:sz w:val="22"/>
      <w:szCs w:val="22"/>
      <w:lang w:val="en-US" w:eastAsia="en-US" w:bidi="ar-SA"/>
    </w:rPr>
  </w:style>
  <w:style w:type="paragraph" w:customStyle="1" w:styleId="ChapterTitle">
    <w:name w:val="Chapter Title"/>
    <w:basedOn w:val="Normal"/>
    <w:autoRedefine/>
    <w:uiPriority w:val="99"/>
    <w:rsid w:val="00861DDB"/>
    <w:pPr>
      <w:keepNext/>
      <w:spacing w:after="600" w:line="276" w:lineRule="auto"/>
      <w:jc w:val="center"/>
    </w:pPr>
    <w:rPr>
      <w:rFonts w:ascii="ITCFranklinGothic LT Com MdCn" w:eastAsia="Calibri" w:hAnsi="ITCFranklinGothic LT Com MdCn"/>
      <w:color w:val="005BAB"/>
      <w:sz w:val="48"/>
      <w:szCs w:val="22"/>
    </w:rPr>
  </w:style>
  <w:style w:type="paragraph" w:styleId="IntenseQuote">
    <w:name w:val="Intense Quote"/>
    <w:aliases w:val="Section header"/>
    <w:basedOn w:val="Normal"/>
    <w:next w:val="Normal"/>
    <w:link w:val="IntenseQuoteChar"/>
    <w:autoRedefine/>
    <w:uiPriority w:val="99"/>
    <w:qFormat/>
    <w:rsid w:val="00B634E4"/>
    <w:pPr>
      <w:spacing w:after="240" w:line="276" w:lineRule="auto"/>
      <w:jc w:val="center"/>
    </w:pPr>
    <w:rPr>
      <w:rFonts w:ascii="Batang" w:eastAsia="Batang" w:hAnsi="Batang"/>
      <w:bCs/>
      <w:iCs/>
      <w:smallCaps/>
      <w:color w:val="005BAB"/>
      <w:szCs w:val="26"/>
    </w:rPr>
  </w:style>
  <w:style w:type="character" w:customStyle="1" w:styleId="IntenseQuoteChar">
    <w:name w:val="Intense Quote Char"/>
    <w:aliases w:val="Section header Char"/>
    <w:basedOn w:val="DefaultParagraphFont"/>
    <w:link w:val="IntenseQuote"/>
    <w:uiPriority w:val="99"/>
    <w:locked/>
    <w:rsid w:val="00B634E4"/>
    <w:rPr>
      <w:rFonts w:ascii="Batang" w:eastAsia="Batang" w:hAnsi="Batang" w:cs="Times New Roman"/>
      <w:bCs/>
      <w:iCs/>
      <w:smallCaps/>
      <w:color w:val="005BAB"/>
      <w:sz w:val="26"/>
      <w:szCs w:val="26"/>
    </w:rPr>
  </w:style>
  <w:style w:type="paragraph" w:styleId="Revision">
    <w:name w:val="Revision"/>
    <w:hidden/>
    <w:uiPriority w:val="99"/>
    <w:semiHidden/>
    <w:rsid w:val="00FA42D0"/>
    <w:rPr>
      <w:rFonts w:ascii="Cambria" w:eastAsia="Times New Roman" w:hAnsi="Cambria"/>
      <w:sz w:val="24"/>
      <w:szCs w:val="24"/>
      <w:lang w:val="en-US" w:eastAsia="en-US"/>
    </w:rPr>
  </w:style>
  <w:style w:type="paragraph" w:customStyle="1" w:styleId="BYPERBasicParagraph">
    <w:name w:val="BYPER Basic Paragraph"/>
    <w:uiPriority w:val="99"/>
    <w:rsid w:val="00E47E03"/>
    <w:pPr>
      <w:spacing w:after="264" w:line="264" w:lineRule="exact"/>
      <w:jc w:val="both"/>
    </w:pPr>
    <w:rPr>
      <w:rFonts w:ascii="ITCFranklinGothic LT Com Bk" w:eastAsia="Times New Roman" w:hAnsi="ITCFranklinGothic LT Com Bk"/>
      <w:sz w:val="24"/>
      <w:lang w:val="en-US" w:eastAsia="en-US"/>
    </w:rPr>
  </w:style>
  <w:style w:type="paragraph" w:customStyle="1" w:styleId="BYPERHeadlineLevel1">
    <w:name w:val="BYPER Headline Level 1"/>
    <w:basedOn w:val="BYPERBasicParagraph"/>
    <w:next w:val="BYPERBasicParagraph"/>
    <w:uiPriority w:val="99"/>
    <w:rsid w:val="00E47E03"/>
    <w:pPr>
      <w:numPr>
        <w:numId w:val="42"/>
      </w:numPr>
      <w:spacing w:before="454" w:after="340" w:line="336" w:lineRule="exact"/>
      <w:jc w:val="left"/>
    </w:pPr>
    <w:rPr>
      <w:rFonts w:ascii="ITCFranklinGothic LT Com MdCn" w:hAnsi="ITCFranklinGothic LT Com MdCn"/>
      <w:color w:val="005BAB"/>
      <w:sz w:val="28"/>
    </w:rPr>
  </w:style>
  <w:style w:type="character" w:customStyle="1" w:styleId="ListParagraphChar">
    <w:name w:val="List Paragraph Char"/>
    <w:basedOn w:val="DefaultParagraphFont"/>
    <w:link w:val="ListParagraph"/>
    <w:uiPriority w:val="99"/>
    <w:locked/>
    <w:rsid w:val="00E47E03"/>
    <w:rPr>
      <w:rFonts w:ascii="Cambria" w:hAnsi="Cambria" w:cs="Times New Roman"/>
      <w:sz w:val="24"/>
      <w:szCs w:val="24"/>
    </w:rPr>
  </w:style>
  <w:style w:type="paragraph" w:styleId="Title">
    <w:name w:val="Title"/>
    <w:basedOn w:val="Normal"/>
    <w:next w:val="Normal"/>
    <w:link w:val="TitleChar"/>
    <w:uiPriority w:val="99"/>
    <w:qFormat/>
    <w:rsid w:val="00A666F8"/>
    <w:pPr>
      <w:pBdr>
        <w:bottom w:val="single" w:sz="8" w:space="4" w:color="4F81BD"/>
      </w:pBdr>
      <w:spacing w:after="300"/>
      <w:contextualSpacing/>
    </w:pPr>
    <w:rPr>
      <w:color w:val="17365D"/>
      <w:spacing w:val="5"/>
      <w:kern w:val="28"/>
      <w:sz w:val="52"/>
      <w:szCs w:val="52"/>
    </w:rPr>
  </w:style>
  <w:style w:type="character" w:customStyle="1" w:styleId="TitleChar">
    <w:name w:val="Title Char"/>
    <w:basedOn w:val="DefaultParagraphFont"/>
    <w:link w:val="Title"/>
    <w:uiPriority w:val="99"/>
    <w:locked/>
    <w:rsid w:val="00A666F8"/>
    <w:rPr>
      <w:rFonts w:ascii="Cambria" w:hAnsi="Cambria" w:cs="Times New Roman"/>
      <w:color w:val="17365D"/>
      <w:spacing w:val="5"/>
      <w:kern w:val="28"/>
      <w:sz w:val="52"/>
      <w:szCs w:val="52"/>
    </w:rPr>
  </w:style>
  <w:style w:type="paragraph" w:styleId="TOCHeading">
    <w:name w:val="TOC Heading"/>
    <w:basedOn w:val="Heading1"/>
    <w:next w:val="Normal"/>
    <w:uiPriority w:val="99"/>
    <w:qFormat/>
    <w:rsid w:val="002B4460"/>
    <w:pPr>
      <w:spacing w:line="276" w:lineRule="auto"/>
      <w:jc w:val="left"/>
      <w:outlineLvl w:val="9"/>
    </w:pPr>
  </w:style>
  <w:style w:type="paragraph" w:styleId="TOC4">
    <w:name w:val="toc 4"/>
    <w:basedOn w:val="Normal"/>
    <w:next w:val="Normal"/>
    <w:autoRedefine/>
    <w:uiPriority w:val="99"/>
    <w:rsid w:val="002B4460"/>
    <w:pPr>
      <w:ind w:left="720"/>
      <w:jc w:val="left"/>
    </w:pPr>
    <w:rPr>
      <w:rFonts w:ascii="Calibri" w:hAnsi="Calibri"/>
      <w:sz w:val="18"/>
      <w:szCs w:val="18"/>
    </w:rPr>
  </w:style>
  <w:style w:type="paragraph" w:styleId="TOC5">
    <w:name w:val="toc 5"/>
    <w:basedOn w:val="Normal"/>
    <w:next w:val="Normal"/>
    <w:autoRedefine/>
    <w:uiPriority w:val="99"/>
    <w:rsid w:val="002B4460"/>
    <w:pPr>
      <w:ind w:left="960"/>
      <w:jc w:val="left"/>
    </w:pPr>
    <w:rPr>
      <w:rFonts w:ascii="Calibri" w:hAnsi="Calibri"/>
      <w:sz w:val="18"/>
      <w:szCs w:val="18"/>
    </w:rPr>
  </w:style>
  <w:style w:type="paragraph" w:styleId="TOC6">
    <w:name w:val="toc 6"/>
    <w:basedOn w:val="Normal"/>
    <w:next w:val="Normal"/>
    <w:autoRedefine/>
    <w:uiPriority w:val="99"/>
    <w:rsid w:val="002B4460"/>
    <w:pPr>
      <w:ind w:left="1200"/>
      <w:jc w:val="left"/>
    </w:pPr>
    <w:rPr>
      <w:rFonts w:ascii="Calibri" w:hAnsi="Calibri"/>
      <w:sz w:val="18"/>
      <w:szCs w:val="18"/>
    </w:rPr>
  </w:style>
  <w:style w:type="paragraph" w:styleId="TOC7">
    <w:name w:val="toc 7"/>
    <w:basedOn w:val="Normal"/>
    <w:next w:val="Normal"/>
    <w:autoRedefine/>
    <w:uiPriority w:val="99"/>
    <w:rsid w:val="002B4460"/>
    <w:pPr>
      <w:ind w:left="1440"/>
      <w:jc w:val="left"/>
    </w:pPr>
    <w:rPr>
      <w:rFonts w:ascii="Calibri" w:hAnsi="Calibri"/>
      <w:sz w:val="18"/>
      <w:szCs w:val="18"/>
    </w:rPr>
  </w:style>
  <w:style w:type="paragraph" w:styleId="TOC8">
    <w:name w:val="toc 8"/>
    <w:basedOn w:val="Normal"/>
    <w:next w:val="Normal"/>
    <w:autoRedefine/>
    <w:uiPriority w:val="99"/>
    <w:rsid w:val="002B4460"/>
    <w:pPr>
      <w:ind w:left="1680"/>
      <w:jc w:val="left"/>
    </w:pPr>
    <w:rPr>
      <w:rFonts w:ascii="Calibri" w:hAnsi="Calibri"/>
      <w:sz w:val="18"/>
      <w:szCs w:val="18"/>
    </w:rPr>
  </w:style>
  <w:style w:type="paragraph" w:styleId="TOC9">
    <w:name w:val="toc 9"/>
    <w:basedOn w:val="Normal"/>
    <w:next w:val="Normal"/>
    <w:autoRedefine/>
    <w:uiPriority w:val="99"/>
    <w:rsid w:val="002B4460"/>
    <w:pPr>
      <w:ind w:left="1920"/>
      <w:jc w:val="left"/>
    </w:pPr>
    <w:rPr>
      <w:rFonts w:ascii="Calibri" w:hAnsi="Calibri"/>
      <w:sz w:val="18"/>
      <w:szCs w:val="18"/>
    </w:rPr>
  </w:style>
  <w:style w:type="paragraph" w:customStyle="1" w:styleId="MainParawithChapter">
    <w:name w:val="Main Para with Chapter#"/>
    <w:basedOn w:val="Normal"/>
    <w:link w:val="MainParawithChapterChar"/>
    <w:autoRedefine/>
    <w:uiPriority w:val="99"/>
    <w:rsid w:val="00004575"/>
    <w:pPr>
      <w:numPr>
        <w:ilvl w:val="1"/>
        <w:numId w:val="45"/>
      </w:numPr>
      <w:spacing w:after="240"/>
      <w:outlineLvl w:val="1"/>
    </w:pPr>
    <w:rPr>
      <w:rFonts w:eastAsia="Calibri"/>
    </w:rPr>
  </w:style>
  <w:style w:type="character" w:customStyle="1" w:styleId="MainParawithChapterChar">
    <w:name w:val="Main Para with Chapter# Char"/>
    <w:basedOn w:val="DefaultParagraphFont"/>
    <w:link w:val="MainParawithChapter"/>
    <w:uiPriority w:val="99"/>
    <w:locked/>
    <w:rsid w:val="00004575"/>
    <w:rPr>
      <w:rFonts w:ascii="Cambria" w:hAnsi="Cambria" w:cs="Times New Roman"/>
      <w:sz w:val="24"/>
      <w:szCs w:val="24"/>
      <w:lang w:val="en-US" w:eastAsia="en-US" w:bidi="ar-SA"/>
    </w:rPr>
  </w:style>
</w:styles>
</file>

<file path=word/webSettings.xml><?xml version="1.0" encoding="utf-8"?>
<w:webSettings xmlns:r="http://schemas.openxmlformats.org/officeDocument/2006/relationships" xmlns:w="http://schemas.openxmlformats.org/wordprocessingml/2006/main">
  <w:divs>
    <w:div w:id="2060205443">
      <w:marLeft w:val="0"/>
      <w:marRight w:val="0"/>
      <w:marTop w:val="0"/>
      <w:marBottom w:val="0"/>
      <w:divBdr>
        <w:top w:val="none" w:sz="0" w:space="0" w:color="auto"/>
        <w:left w:val="none" w:sz="0" w:space="0" w:color="auto"/>
        <w:bottom w:val="none" w:sz="0" w:space="0" w:color="auto"/>
        <w:right w:val="none" w:sz="0" w:space="0" w:color="auto"/>
      </w:divBdr>
    </w:div>
    <w:div w:id="2060205444">
      <w:marLeft w:val="0"/>
      <w:marRight w:val="0"/>
      <w:marTop w:val="0"/>
      <w:marBottom w:val="0"/>
      <w:divBdr>
        <w:top w:val="none" w:sz="0" w:space="0" w:color="auto"/>
        <w:left w:val="none" w:sz="0" w:space="0" w:color="auto"/>
        <w:bottom w:val="none" w:sz="0" w:space="0" w:color="auto"/>
        <w:right w:val="none" w:sz="0" w:space="0" w:color="auto"/>
      </w:divBdr>
    </w:div>
    <w:div w:id="2060205445">
      <w:marLeft w:val="0"/>
      <w:marRight w:val="0"/>
      <w:marTop w:val="0"/>
      <w:marBottom w:val="0"/>
      <w:divBdr>
        <w:top w:val="none" w:sz="0" w:space="0" w:color="auto"/>
        <w:left w:val="none" w:sz="0" w:space="0" w:color="auto"/>
        <w:bottom w:val="none" w:sz="0" w:space="0" w:color="auto"/>
        <w:right w:val="none" w:sz="0" w:space="0" w:color="auto"/>
      </w:divBdr>
    </w:div>
    <w:div w:id="2060205446">
      <w:marLeft w:val="0"/>
      <w:marRight w:val="0"/>
      <w:marTop w:val="0"/>
      <w:marBottom w:val="0"/>
      <w:divBdr>
        <w:top w:val="none" w:sz="0" w:space="0" w:color="auto"/>
        <w:left w:val="none" w:sz="0" w:space="0" w:color="auto"/>
        <w:bottom w:val="none" w:sz="0" w:space="0" w:color="auto"/>
        <w:right w:val="none" w:sz="0" w:space="0" w:color="auto"/>
      </w:divBdr>
    </w:div>
    <w:div w:id="2060205447">
      <w:marLeft w:val="0"/>
      <w:marRight w:val="0"/>
      <w:marTop w:val="0"/>
      <w:marBottom w:val="0"/>
      <w:divBdr>
        <w:top w:val="none" w:sz="0" w:space="0" w:color="auto"/>
        <w:left w:val="none" w:sz="0" w:space="0" w:color="auto"/>
        <w:bottom w:val="none" w:sz="0" w:space="0" w:color="auto"/>
        <w:right w:val="none" w:sz="0" w:space="0" w:color="auto"/>
      </w:divBdr>
    </w:div>
    <w:div w:id="2060205448">
      <w:marLeft w:val="0"/>
      <w:marRight w:val="0"/>
      <w:marTop w:val="0"/>
      <w:marBottom w:val="0"/>
      <w:divBdr>
        <w:top w:val="none" w:sz="0" w:space="0" w:color="auto"/>
        <w:left w:val="none" w:sz="0" w:space="0" w:color="auto"/>
        <w:bottom w:val="none" w:sz="0" w:space="0" w:color="auto"/>
        <w:right w:val="none" w:sz="0" w:space="0" w:color="auto"/>
      </w:divBdr>
    </w:div>
    <w:div w:id="20602054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image" Target="media/image105.emf"/><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1.png"/><Relationship Id="rId68" Type="http://schemas.openxmlformats.org/officeDocument/2006/relationships/image" Target="media/image56.emf"/><Relationship Id="rId84" Type="http://schemas.openxmlformats.org/officeDocument/2006/relationships/image" Target="media/image72.emf"/><Relationship Id="rId89" Type="http://schemas.openxmlformats.org/officeDocument/2006/relationships/image" Target="media/image77.emf"/><Relationship Id="rId112" Type="http://schemas.openxmlformats.org/officeDocument/2006/relationships/image" Target="media/image100.emf"/><Relationship Id="rId16" Type="http://schemas.openxmlformats.org/officeDocument/2006/relationships/image" Target="media/image4.emf"/><Relationship Id="rId107" Type="http://schemas.openxmlformats.org/officeDocument/2006/relationships/image" Target="media/image95.emf"/><Relationship Id="rId11" Type="http://schemas.openxmlformats.org/officeDocument/2006/relationships/footer" Target="footer3.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image" Target="media/image62.emf"/><Relationship Id="rId79" Type="http://schemas.openxmlformats.org/officeDocument/2006/relationships/image" Target="media/image67.emf"/><Relationship Id="rId102" Type="http://schemas.openxmlformats.org/officeDocument/2006/relationships/image" Target="media/image90.emf"/><Relationship Id="rId123" Type="http://schemas.openxmlformats.org/officeDocument/2006/relationships/image" Target="media/image111.emf"/><Relationship Id="rId128" Type="http://schemas.openxmlformats.org/officeDocument/2006/relationships/footer" Target="footer7.xml"/><Relationship Id="rId5" Type="http://schemas.openxmlformats.org/officeDocument/2006/relationships/footnotes" Target="footnotes.xml"/><Relationship Id="rId90" Type="http://schemas.openxmlformats.org/officeDocument/2006/relationships/image" Target="media/image78.wmf"/><Relationship Id="rId95" Type="http://schemas.openxmlformats.org/officeDocument/2006/relationships/image" Target="media/image83.emf"/><Relationship Id="rId19" Type="http://schemas.openxmlformats.org/officeDocument/2006/relationships/image" Target="media/image7.emf"/><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image" Target="media/image52.emf"/><Relationship Id="rId69" Type="http://schemas.openxmlformats.org/officeDocument/2006/relationships/image" Target="media/image57.emf"/><Relationship Id="rId77" Type="http://schemas.openxmlformats.org/officeDocument/2006/relationships/image" Target="media/image65.emf"/><Relationship Id="rId100" Type="http://schemas.openxmlformats.org/officeDocument/2006/relationships/image" Target="media/image88.emf"/><Relationship Id="rId105" Type="http://schemas.openxmlformats.org/officeDocument/2006/relationships/image" Target="media/image93.emf"/><Relationship Id="rId113" Type="http://schemas.openxmlformats.org/officeDocument/2006/relationships/image" Target="media/image101.wmf"/><Relationship Id="rId118" Type="http://schemas.openxmlformats.org/officeDocument/2006/relationships/image" Target="media/image106.wmf"/><Relationship Id="rId126" Type="http://schemas.openxmlformats.org/officeDocument/2006/relationships/footer" Target="footer6.xml"/><Relationship Id="rId8" Type="http://schemas.openxmlformats.org/officeDocument/2006/relationships/footer" Target="footer1.xml"/><Relationship Id="rId51" Type="http://schemas.openxmlformats.org/officeDocument/2006/relationships/image" Target="media/image39.emf"/><Relationship Id="rId72" Type="http://schemas.openxmlformats.org/officeDocument/2006/relationships/image" Target="media/image60.emf"/><Relationship Id="rId80" Type="http://schemas.openxmlformats.org/officeDocument/2006/relationships/image" Target="media/image68.emf"/><Relationship Id="rId85" Type="http://schemas.openxmlformats.org/officeDocument/2006/relationships/image" Target="media/image73.emf"/><Relationship Id="rId93" Type="http://schemas.openxmlformats.org/officeDocument/2006/relationships/image" Target="media/image81.emf"/><Relationship Id="rId98" Type="http://schemas.openxmlformats.org/officeDocument/2006/relationships/image" Target="media/image86.emf"/><Relationship Id="rId121" Type="http://schemas.openxmlformats.org/officeDocument/2006/relationships/image" Target="media/image109.emf"/><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image" Target="media/image55.emf"/><Relationship Id="rId103" Type="http://schemas.openxmlformats.org/officeDocument/2006/relationships/image" Target="media/image91.emf"/><Relationship Id="rId108" Type="http://schemas.openxmlformats.org/officeDocument/2006/relationships/image" Target="media/image96.wmf"/><Relationship Id="rId116" Type="http://schemas.openxmlformats.org/officeDocument/2006/relationships/image" Target="media/image104.emf"/><Relationship Id="rId124" Type="http://schemas.openxmlformats.org/officeDocument/2006/relationships/image" Target="media/image112.wmf"/><Relationship Id="rId129"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image" Target="media/image58.emf"/><Relationship Id="rId75" Type="http://schemas.openxmlformats.org/officeDocument/2006/relationships/image" Target="media/image63.emf"/><Relationship Id="rId83" Type="http://schemas.openxmlformats.org/officeDocument/2006/relationships/image" Target="media/image71.emf"/><Relationship Id="rId88" Type="http://schemas.openxmlformats.org/officeDocument/2006/relationships/image" Target="media/image76.emf"/><Relationship Id="rId91" Type="http://schemas.openxmlformats.org/officeDocument/2006/relationships/image" Target="media/image79.emf"/><Relationship Id="rId96" Type="http://schemas.openxmlformats.org/officeDocument/2006/relationships/image" Target="media/image84.wmf"/><Relationship Id="rId111" Type="http://schemas.openxmlformats.org/officeDocument/2006/relationships/image" Target="media/image99.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106" Type="http://schemas.openxmlformats.org/officeDocument/2006/relationships/image" Target="media/image94.emf"/><Relationship Id="rId114" Type="http://schemas.openxmlformats.org/officeDocument/2006/relationships/image" Target="media/image102.wmf"/><Relationship Id="rId119" Type="http://schemas.openxmlformats.org/officeDocument/2006/relationships/image" Target="media/image107.emf"/><Relationship Id="rId127" Type="http://schemas.openxmlformats.org/officeDocument/2006/relationships/image" Target="media/image114.jpeg"/><Relationship Id="rId10" Type="http://schemas.openxmlformats.org/officeDocument/2006/relationships/footer" Target="footer2.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image" Target="media/image69.emf"/><Relationship Id="rId86" Type="http://schemas.openxmlformats.org/officeDocument/2006/relationships/image" Target="media/image74.emf"/><Relationship Id="rId94" Type="http://schemas.openxmlformats.org/officeDocument/2006/relationships/image" Target="media/image82.wmf"/><Relationship Id="rId99" Type="http://schemas.openxmlformats.org/officeDocument/2006/relationships/image" Target="media/image87.emf"/><Relationship Id="rId101" Type="http://schemas.openxmlformats.org/officeDocument/2006/relationships/image" Target="media/image89.emf"/><Relationship Id="rId122" Type="http://schemas.openxmlformats.org/officeDocument/2006/relationships/image" Target="media/image110.emf"/><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footer" Target="footer5.xm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image" Target="media/image97.wmf"/><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4.emf"/><Relationship Id="rId97" Type="http://schemas.openxmlformats.org/officeDocument/2006/relationships/image" Target="media/image85.emf"/><Relationship Id="rId104" Type="http://schemas.openxmlformats.org/officeDocument/2006/relationships/image" Target="media/image92.emf"/><Relationship Id="rId120" Type="http://schemas.openxmlformats.org/officeDocument/2006/relationships/image" Target="media/image108.emf"/><Relationship Id="rId125" Type="http://schemas.openxmlformats.org/officeDocument/2006/relationships/image" Target="media/image113.wmf"/><Relationship Id="rId7" Type="http://schemas.openxmlformats.org/officeDocument/2006/relationships/image" Target="media/image1.jpeg"/><Relationship Id="rId71" Type="http://schemas.openxmlformats.org/officeDocument/2006/relationships/image" Target="media/image59.emf"/><Relationship Id="rId92" Type="http://schemas.openxmlformats.org/officeDocument/2006/relationships/image" Target="media/image80.emf"/><Relationship Id="rId2" Type="http://schemas.openxmlformats.org/officeDocument/2006/relationships/styles" Target="styles.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image" Target="media/image75.emf"/><Relationship Id="rId110" Type="http://schemas.openxmlformats.org/officeDocument/2006/relationships/image" Target="media/image98.wmf"/><Relationship Id="rId115" Type="http://schemas.openxmlformats.org/officeDocument/2006/relationships/image" Target="media/image103.wmf"/><Relationship Id="rId61" Type="http://schemas.openxmlformats.org/officeDocument/2006/relationships/image" Target="media/image49.emf"/><Relationship Id="rId82" Type="http://schemas.openxmlformats.org/officeDocument/2006/relationships/image" Target="media/image70.emf"/></Relationships>
</file>

<file path=word/_rels/footnotes.xml.rels><?xml version="1.0" encoding="UTF-8" standalone="yes"?>
<Relationships xmlns="http://schemas.openxmlformats.org/package/2006/relationships"><Relationship Id="rId1" Type="http://schemas.openxmlformats.org/officeDocument/2006/relationships/hyperlink" Target="http://ec.europa.eu/europe2020/index_e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86</Pages>
  <Words>21795</Words>
  <Characters>124233</Characters>
  <Application>Microsoft Office Word</Application>
  <DocSecurity>0</DocSecurity>
  <Lines>1035</Lines>
  <Paragraphs>291</Paragraphs>
  <ScaleCrop>false</ScaleCrop>
  <HeadingPairs>
    <vt:vector size="2" baseType="variant">
      <vt:variant>
        <vt:lpstr>Title</vt:lpstr>
      </vt:variant>
      <vt:variant>
        <vt:i4>1</vt:i4>
      </vt:variant>
    </vt:vector>
  </HeadingPairs>
  <TitlesOfParts>
    <vt:vector size="1" baseType="lpstr">
      <vt:lpstr> </vt:lpstr>
    </vt:vector>
  </TitlesOfParts>
  <Company>The World Bank Group</Company>
  <LinksUpToDate>false</LinksUpToDate>
  <CharactersWithSpaces>145737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dc:creator>
  <cp:lastModifiedBy>Gallina A Vincelette</cp:lastModifiedBy>
  <cp:revision>3</cp:revision>
  <cp:lastPrinted>2012-06-18T20:34:00Z</cp:lastPrinted>
  <dcterms:created xsi:type="dcterms:W3CDTF">2012-06-27T16:53:00Z</dcterms:created>
  <dcterms:modified xsi:type="dcterms:W3CDTF">2012-06-27T16:56:00Z</dcterms:modified>
</cp:coreProperties>
</file>