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68" w:rsidRDefault="00C26068">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2619"/>
        <w:gridCol w:w="29"/>
        <w:gridCol w:w="284"/>
        <w:gridCol w:w="1201"/>
        <w:gridCol w:w="358"/>
        <w:gridCol w:w="94"/>
        <w:gridCol w:w="219"/>
        <w:gridCol w:w="2028"/>
        <w:gridCol w:w="69"/>
        <w:gridCol w:w="25"/>
        <w:gridCol w:w="63"/>
        <w:gridCol w:w="779"/>
        <w:gridCol w:w="1407"/>
      </w:tblGrid>
      <w:tr w:rsidR="00C26068"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jc w:val="center"/>
              <w:rPr>
                <w:rFonts w:ascii="Times New Roman" w:hAnsi="Times New Roman" w:cs="Times New Roman"/>
              </w:rPr>
            </w:pPr>
            <w:r>
              <w:rPr>
                <w:rFonts w:ascii="Times New Roman" w:hAnsi="Times New Roman"/>
                <w:b/>
              </w:rPr>
              <w:t>FICHA INTEGRADA DE DATOS SOBRE SALVAGUARDAS</w:t>
            </w:r>
          </w:p>
        </w:tc>
      </w:tr>
      <w:tr w:rsidR="00C26068"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jc w:val="center"/>
              <w:rPr>
                <w:rFonts w:ascii="Times New Roman" w:hAnsi="Times New Roman" w:cs="Times New Roman"/>
              </w:rPr>
            </w:pPr>
            <w:r>
              <w:rPr>
                <w:rFonts w:ascii="Times New Roman" w:hAnsi="Times New Roman"/>
                <w:b/>
              </w:rPr>
              <w:t>ETAPA DE EVALUACIÓN INICIAL</w:t>
            </w:r>
          </w:p>
        </w:tc>
      </w:tr>
      <w:tr w:rsidR="00C26068"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w:hAnsi="Times" w:cs="Times"/>
                <w:color w:val="FFFFFF"/>
                <w:sz w:val="2"/>
                <w:szCs w:val="2"/>
              </w:rPr>
            </w:pPr>
            <w:r>
              <w:rPr>
                <w:rFonts w:ascii="Times" w:hAnsi="Times"/>
                <w:color w:val="FFFFFF"/>
                <w:sz w:val="2"/>
              </w:rPr>
              <w:t>.</w:t>
            </w:r>
          </w:p>
        </w:tc>
      </w:tr>
      <w:tr w:rsidR="00C26068" w:rsidTr="00D25AD9">
        <w:tc>
          <w:tcPr>
            <w:tcW w:w="7955" w:type="dxa"/>
            <w:gridSpan w:val="13"/>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jc w:val="right"/>
              <w:rPr>
                <w:rFonts w:ascii="Times New Roman" w:hAnsi="Times New Roman" w:cs="Times New Roman"/>
              </w:rPr>
            </w:pPr>
            <w:r>
              <w:rPr>
                <w:rFonts w:ascii="Times New Roman" w:hAnsi="Times New Roman"/>
              </w:rPr>
              <w:t xml:space="preserve">Informe </w:t>
            </w:r>
            <w:proofErr w:type="spellStart"/>
            <w:r>
              <w:rPr>
                <w:rFonts w:ascii="Times New Roman" w:hAnsi="Times New Roman"/>
              </w:rPr>
              <w:t>n.</w:t>
            </w:r>
            <w:r>
              <w:rPr>
                <w:rFonts w:ascii="Times New Roman" w:hAnsi="Times New Roman"/>
                <w:vertAlign w:val="superscript"/>
              </w:rPr>
              <w:t>o</w:t>
            </w:r>
            <w:proofErr w:type="spellEnd"/>
          </w:p>
        </w:tc>
        <w:tc>
          <w:tcPr>
            <w:tcW w:w="140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85059B" w:rsidP="00CB25DC">
            <w:pPr>
              <w:rPr>
                <w:rFonts w:ascii="Times New Roman" w:hAnsi="Times New Roman" w:cs="Times New Roman"/>
              </w:rPr>
            </w:pPr>
            <w:r>
              <w:rPr>
                <w:rFonts w:ascii="Times New Roman" w:hAnsi="Times New Roman" w:cs="Times New Roman"/>
                <w:color w:val="auto"/>
                <w:lang w:val="en-US" w:bidi="ar-SA"/>
              </w:rPr>
              <w:t>87124</w:t>
            </w:r>
            <w:bookmarkStart w:id="0" w:name="_GoBack"/>
            <w:bookmarkEnd w:id="0"/>
          </w:p>
        </w:tc>
      </w:tr>
      <w:tr w:rsidR="00C26068"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w:hAnsi="Times" w:cs="Times"/>
                <w:color w:val="FFFFFF"/>
                <w:sz w:val="4"/>
                <w:szCs w:val="4"/>
              </w:rPr>
            </w:pPr>
            <w:r>
              <w:rPr>
                <w:rFonts w:ascii="Times" w:hAnsi="Times"/>
                <w:color w:val="FFFFFF"/>
                <w:sz w:val="4"/>
              </w:rPr>
              <w:t>.</w:t>
            </w:r>
          </w:p>
        </w:tc>
      </w:tr>
      <w:tr w:rsidR="00C26068" w:rsidTr="00D25AD9">
        <w:tc>
          <w:tcPr>
            <w:tcW w:w="4678" w:type="dxa"/>
            <w:gridSpan w:val="6"/>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rsidP="003F6E17">
            <w:pPr>
              <w:spacing w:line="276" w:lineRule="auto"/>
              <w:rPr>
                <w:rFonts w:ascii="Times New Roman" w:hAnsi="Times New Roman"/>
                <w:b/>
                <w:sz w:val="22"/>
              </w:rPr>
            </w:pPr>
            <w:r>
              <w:rPr>
                <w:rFonts w:ascii="Times New Roman" w:hAnsi="Times New Roman"/>
                <w:b/>
                <w:sz w:val="22"/>
              </w:rPr>
              <w:t>Fecha de elaboración/actualización de la ficha:</w:t>
            </w:r>
          </w:p>
          <w:p w:rsidR="007C3BAD" w:rsidRDefault="007C3BAD" w:rsidP="003F6E17">
            <w:pPr>
              <w:spacing w:line="276" w:lineRule="auto"/>
              <w:rPr>
                <w:rFonts w:ascii="Times New Roman" w:hAnsi="Times New Roman" w:cs="Times New Roman"/>
              </w:rPr>
            </w:pPr>
            <w:r>
              <w:rPr>
                <w:rFonts w:ascii="Times New Roman" w:hAnsi="Times New Roman"/>
                <w:b/>
                <w:sz w:val="22"/>
              </w:rPr>
              <w:t>Fecha de aprobación/</w:t>
            </w:r>
            <w:r w:rsidR="00F24EA6">
              <w:rPr>
                <w:rFonts w:ascii="Times New Roman" w:hAnsi="Times New Roman"/>
                <w:b/>
                <w:sz w:val="22"/>
              </w:rPr>
              <w:t>divulgación</w:t>
            </w:r>
            <w:r>
              <w:rPr>
                <w:rFonts w:ascii="Times New Roman" w:hAnsi="Times New Roman"/>
                <w:b/>
                <w:sz w:val="22"/>
              </w:rPr>
              <w:t xml:space="preserve"> de la ficha:</w:t>
            </w:r>
          </w:p>
        </w:tc>
        <w:tc>
          <w:tcPr>
            <w:tcW w:w="4684" w:type="dxa"/>
            <w:gridSpan w:val="8"/>
            <w:tcBorders>
              <w:top w:val="nil"/>
              <w:left w:val="nil"/>
              <w:bottom w:val="nil"/>
              <w:right w:val="nil"/>
            </w:tcBorders>
            <w:shd w:val="clear" w:color="auto" w:fill="FFFFFF"/>
            <w:tcMar>
              <w:top w:w="50" w:type="dxa"/>
              <w:left w:w="50" w:type="dxa"/>
              <w:bottom w:w="50" w:type="dxa"/>
              <w:right w:w="50" w:type="dxa"/>
            </w:tcMar>
            <w:vAlign w:val="center"/>
          </w:tcPr>
          <w:p w:rsidR="00C26068" w:rsidRDefault="00CB25DC" w:rsidP="003F6E17">
            <w:pPr>
              <w:spacing w:line="276" w:lineRule="auto"/>
              <w:rPr>
                <w:rFonts w:ascii="Times New Roman" w:hAnsi="Times New Roman"/>
                <w:sz w:val="22"/>
              </w:rPr>
            </w:pPr>
            <w:r>
              <w:rPr>
                <w:rFonts w:ascii="Times New Roman" w:hAnsi="Times New Roman"/>
                <w:sz w:val="22"/>
              </w:rPr>
              <w:t>27 de marzo</w:t>
            </w:r>
            <w:r w:rsidR="00865472">
              <w:rPr>
                <w:rFonts w:ascii="Times New Roman" w:hAnsi="Times New Roman"/>
                <w:sz w:val="22"/>
              </w:rPr>
              <w:t xml:space="preserve"> de 2014</w:t>
            </w:r>
          </w:p>
          <w:p w:rsidR="007C3BAD" w:rsidRDefault="007C3BAD" w:rsidP="003F6E17">
            <w:pPr>
              <w:spacing w:line="276" w:lineRule="auto"/>
              <w:rPr>
                <w:rFonts w:ascii="Times New Roman" w:hAnsi="Times New Roman" w:cs="Times New Roman"/>
              </w:rPr>
            </w:pPr>
            <w:r>
              <w:rPr>
                <w:rFonts w:ascii="Times New Roman" w:hAnsi="Times New Roman"/>
                <w:sz w:val="22"/>
              </w:rPr>
              <w:t>2 de enero de 2014</w:t>
            </w:r>
          </w:p>
        </w:tc>
      </w:tr>
      <w:tr w:rsidR="00C26068"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rPr>
              <w:t>I. INFORMACIÓN BÁSICA</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rPr>
              <w:t>1. Información básica sobre el proyecto</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País:</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CB25DC">
            <w:pPr>
              <w:rPr>
                <w:rFonts w:ascii="Times New Roman" w:hAnsi="Times New Roman" w:cs="Times New Roman"/>
              </w:rPr>
            </w:pPr>
            <w:r>
              <w:rPr>
                <w:rFonts w:ascii="Times New Roman" w:hAnsi="Times New Roman"/>
                <w:sz w:val="22"/>
              </w:rPr>
              <w:t>México</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Número de identificación del proyecto:</w:t>
            </w:r>
          </w:p>
        </w:tc>
        <w:tc>
          <w:tcPr>
            <w:tcW w:w="234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CB25DC">
            <w:pPr>
              <w:rPr>
                <w:rFonts w:ascii="Times New Roman" w:hAnsi="Times New Roman" w:cs="Times New Roman"/>
              </w:rPr>
            </w:pPr>
            <w:r w:rsidRPr="00CB25DC">
              <w:rPr>
                <w:rFonts w:ascii="Times New Roman" w:hAnsi="Times New Roman"/>
                <w:sz w:val="22"/>
              </w:rPr>
              <w:t>P145578</w:t>
            </w:r>
          </w:p>
        </w:tc>
      </w:tr>
      <w:tr w:rsidR="00C26068" w:rsidRP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Nombre del proyecto:</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Pr="00CB25DC" w:rsidRDefault="00191C0C" w:rsidP="00D25AD9">
            <w:pPr>
              <w:rPr>
                <w:rFonts w:ascii="Times New Roman" w:hAnsi="Times New Roman" w:cs="Times New Roman"/>
                <w:lang w:val="en-US"/>
              </w:rPr>
            </w:pPr>
            <w:proofErr w:type="spellStart"/>
            <w:r>
              <w:rPr>
                <w:rFonts w:ascii="Times New Roman" w:hAnsi="Times New Roman" w:cs="Times New Roman"/>
                <w:lang w:val="en-US"/>
              </w:rPr>
              <w:t>Operación</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Modernización</w:t>
            </w:r>
            <w:proofErr w:type="spellEnd"/>
            <w:r>
              <w:rPr>
                <w:rFonts w:ascii="Times New Roman" w:hAnsi="Times New Roman" w:cs="Times New Roman"/>
                <w:lang w:val="en-US"/>
              </w:rPr>
              <w:t xml:space="preserve"> del Sector de Agua y </w:t>
            </w:r>
            <w:proofErr w:type="spellStart"/>
            <w:r>
              <w:rPr>
                <w:rFonts w:ascii="Times New Roman" w:hAnsi="Times New Roman" w:cs="Times New Roman"/>
                <w:lang w:val="en-US"/>
              </w:rPr>
              <w:t>Saneamiento</w:t>
            </w:r>
            <w:proofErr w:type="spellEnd"/>
            <w:r>
              <w:rPr>
                <w:rFonts w:ascii="Times New Roman" w:hAnsi="Times New Roman" w:cs="Times New Roman"/>
                <w:lang w:val="en-US"/>
              </w:rPr>
              <w:t xml:space="preserve"> de Oaxaca</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Pr="00CB25DC" w:rsidRDefault="00C26068">
            <w:pPr>
              <w:rPr>
                <w:rFonts w:ascii="Times New Roman" w:hAnsi="Times New Roman" w:cs="Times New Roman"/>
                <w:color w:val="auto"/>
                <w:lang w:val="en-US"/>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Gerente de proyecto:</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CB25DC">
            <w:pPr>
              <w:rPr>
                <w:rFonts w:ascii="Times New Roman" w:hAnsi="Times New Roman" w:cs="Times New Roman"/>
              </w:rPr>
            </w:pPr>
            <w:r w:rsidRPr="00C06669">
              <w:rPr>
                <w:rFonts w:ascii="Times New Roman" w:hAnsi="Times New Roman" w:cs="Times New Roman"/>
              </w:rPr>
              <w:t xml:space="preserve">Charles </w:t>
            </w:r>
            <w:proofErr w:type="spellStart"/>
            <w:r w:rsidRPr="00C06669">
              <w:rPr>
                <w:rFonts w:ascii="Times New Roman" w:hAnsi="Times New Roman" w:cs="Times New Roman"/>
              </w:rPr>
              <w:t>Delfieux</w:t>
            </w:r>
            <w:proofErr w:type="spellEnd"/>
          </w:p>
        </w:tc>
      </w:tr>
      <w:tr w:rsidR="009409D8" w:rsidTr="009409D8">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9409D8" w:rsidRDefault="009409D8">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409D8" w:rsidRPr="003F6E17" w:rsidRDefault="009409D8">
            <w:pPr>
              <w:rPr>
                <w:rFonts w:ascii="Times New Roman" w:hAnsi="Times New Roman" w:cs="Times New Roman"/>
                <w:b/>
              </w:rPr>
            </w:pPr>
            <w:r w:rsidRPr="003F6E17">
              <w:rPr>
                <w:rFonts w:ascii="Times New Roman" w:hAnsi="Times New Roman" w:cs="Times New Roman"/>
                <w:b/>
              </w:rPr>
              <w:t>Fecha estimada de evaluación inicial:</w:t>
            </w:r>
          </w:p>
        </w:tc>
        <w:tc>
          <w:tcPr>
            <w:tcW w:w="218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409D8" w:rsidRDefault="00CB25DC">
            <w:pPr>
              <w:rPr>
                <w:rFonts w:ascii="Times New Roman" w:hAnsi="Times New Roman" w:cs="Times New Roman"/>
              </w:rPr>
            </w:pPr>
            <w:r>
              <w:rPr>
                <w:rFonts w:ascii="Times New Roman" w:hAnsi="Times New Roman" w:cs="Times New Roman"/>
              </w:rPr>
              <w:t xml:space="preserve">27 de marzo </w:t>
            </w:r>
            <w:r w:rsidR="009409D8">
              <w:rPr>
                <w:rFonts w:ascii="Times New Roman" w:hAnsi="Times New Roman" w:cs="Times New Roman"/>
              </w:rPr>
              <w:t>de 2014</w:t>
            </w:r>
          </w:p>
        </w:tc>
        <w:tc>
          <w:tcPr>
            <w:tcW w:w="2185" w:type="dxa"/>
            <w:gridSpan w:val="4"/>
            <w:tcBorders>
              <w:top w:val="single" w:sz="4" w:space="0" w:color="000000"/>
              <w:left w:val="single" w:sz="4" w:space="0" w:color="000000"/>
              <w:bottom w:val="single" w:sz="4" w:space="0" w:color="000000"/>
              <w:right w:val="single" w:sz="4" w:space="0" w:color="000000"/>
            </w:tcBorders>
            <w:shd w:val="clear" w:color="auto" w:fill="FFFFFF"/>
          </w:tcPr>
          <w:p w:rsidR="009409D8" w:rsidRDefault="009409D8">
            <w:pPr>
              <w:rPr>
                <w:rFonts w:ascii="Times New Roman" w:hAnsi="Times New Roman" w:cs="Times New Roman"/>
              </w:rPr>
            </w:pPr>
            <w:r>
              <w:rPr>
                <w:rFonts w:ascii="Times New Roman" w:hAnsi="Times New Roman"/>
                <w:b/>
                <w:sz w:val="22"/>
              </w:rPr>
              <w:t>Fecha estimada de aprobación por el Directorio Ejecutivo:</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409D8" w:rsidRDefault="00CB25DC">
            <w:pPr>
              <w:rPr>
                <w:rFonts w:ascii="Times New Roman" w:hAnsi="Times New Roman" w:cs="Times New Roman"/>
              </w:rPr>
            </w:pPr>
            <w:r>
              <w:rPr>
                <w:rFonts w:ascii="Times New Roman" w:hAnsi="Times New Roman"/>
                <w:sz w:val="22"/>
              </w:rPr>
              <w:t xml:space="preserve">4 de junio </w:t>
            </w:r>
            <w:r w:rsidR="009409D8">
              <w:rPr>
                <w:rFonts w:ascii="Times New Roman" w:hAnsi="Times New Roman"/>
                <w:sz w:val="22"/>
              </w:rPr>
              <w:t>de 2014</w:t>
            </w:r>
          </w:p>
        </w:tc>
      </w:tr>
      <w:tr w:rsidR="009409D8" w:rsidTr="009409D8">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9409D8" w:rsidRDefault="009409D8">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409D8" w:rsidRDefault="009409D8">
            <w:pPr>
              <w:rPr>
                <w:rFonts w:ascii="Times New Roman" w:hAnsi="Times New Roman" w:cs="Times New Roman"/>
              </w:rPr>
            </w:pPr>
            <w:r>
              <w:rPr>
                <w:rFonts w:ascii="Times New Roman" w:hAnsi="Times New Roman"/>
                <w:b/>
                <w:sz w:val="22"/>
              </w:rPr>
              <w:t>Unidad de gestión:</w:t>
            </w:r>
          </w:p>
        </w:tc>
        <w:tc>
          <w:tcPr>
            <w:tcW w:w="218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409D8" w:rsidRDefault="009409D8">
            <w:pPr>
              <w:rPr>
                <w:rFonts w:ascii="Times New Roman" w:hAnsi="Times New Roman" w:cs="Times New Roman"/>
              </w:rPr>
            </w:pPr>
            <w:r>
              <w:rPr>
                <w:rFonts w:ascii="Times New Roman" w:hAnsi="Times New Roman"/>
                <w:sz w:val="22"/>
              </w:rPr>
              <w:t>LCSWS</w:t>
            </w:r>
          </w:p>
        </w:tc>
        <w:tc>
          <w:tcPr>
            <w:tcW w:w="2185" w:type="dxa"/>
            <w:gridSpan w:val="4"/>
            <w:tcBorders>
              <w:top w:val="single" w:sz="4" w:space="0" w:color="000000"/>
              <w:left w:val="single" w:sz="4" w:space="0" w:color="000000"/>
              <w:bottom w:val="single" w:sz="4" w:space="0" w:color="000000"/>
              <w:right w:val="single" w:sz="4" w:space="0" w:color="000000"/>
            </w:tcBorders>
            <w:shd w:val="clear" w:color="auto" w:fill="FFFFFF"/>
          </w:tcPr>
          <w:p w:rsidR="009409D8" w:rsidRPr="003F6E17" w:rsidRDefault="009409D8">
            <w:pPr>
              <w:rPr>
                <w:rFonts w:ascii="Times New Roman" w:hAnsi="Times New Roman" w:cs="Times New Roman"/>
                <w:b/>
              </w:rPr>
            </w:pPr>
            <w:r w:rsidRPr="003F6E17">
              <w:rPr>
                <w:rFonts w:ascii="Times New Roman" w:hAnsi="Times New Roman" w:cs="Times New Roman"/>
                <w:b/>
              </w:rPr>
              <w:t>Instrumento de préstamo:</w:t>
            </w:r>
          </w:p>
        </w:tc>
        <w:tc>
          <w:tcPr>
            <w:tcW w:w="2186" w:type="dxa"/>
            <w:gridSpan w:val="2"/>
            <w:tcBorders>
              <w:top w:val="single" w:sz="4" w:space="0" w:color="000000"/>
              <w:left w:val="single" w:sz="4" w:space="0" w:color="000000"/>
              <w:bottom w:val="single" w:sz="4" w:space="0" w:color="000000"/>
              <w:right w:val="single" w:sz="4" w:space="0" w:color="000000"/>
            </w:tcBorders>
            <w:shd w:val="clear" w:color="auto" w:fill="FFFFFF"/>
          </w:tcPr>
          <w:p w:rsidR="009409D8" w:rsidRDefault="00CB25DC">
            <w:pPr>
              <w:rPr>
                <w:rFonts w:ascii="Times New Roman" w:hAnsi="Times New Roman" w:cs="Times New Roman"/>
              </w:rPr>
            </w:pPr>
            <w:r>
              <w:rPr>
                <w:rFonts w:ascii="Times New Roman" w:hAnsi="Times New Roman" w:cs="Times New Roman"/>
              </w:rPr>
              <w:t xml:space="preserve">Programa por Resultados y </w:t>
            </w:r>
            <w:r w:rsidR="009409D8" w:rsidRPr="009409D8">
              <w:rPr>
                <w:rFonts w:ascii="Times New Roman" w:hAnsi="Times New Roman" w:cs="Times New Roman"/>
              </w:rPr>
              <w:t>Financiamiento de proyectos de inversión</w:t>
            </w:r>
            <w:r>
              <w:rPr>
                <w:rFonts w:ascii="Times New Roman" w:hAnsi="Times New Roman" w:cs="Times New Roman"/>
              </w:rPr>
              <w:t xml:space="preserve"> (Componente de Asistencia Técnica) </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Sectores:</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Pr="00CB25DC" w:rsidRDefault="00CB25DC" w:rsidP="00CB25DC">
            <w:pPr>
              <w:rPr>
                <w:rFonts w:ascii="Times New Roman" w:hAnsi="Times New Roman"/>
                <w:sz w:val="22"/>
              </w:rPr>
            </w:pPr>
            <w:r w:rsidRPr="00CB25DC">
              <w:rPr>
                <w:rFonts w:ascii="Times New Roman" w:hAnsi="Times New Roman"/>
                <w:sz w:val="22"/>
              </w:rPr>
              <w:t>Abastecimiento de agua (65%)</w:t>
            </w:r>
            <w:r>
              <w:rPr>
                <w:rFonts w:ascii="Times New Roman" w:hAnsi="Times New Roman"/>
                <w:sz w:val="22"/>
              </w:rPr>
              <w:t xml:space="preserve">, </w:t>
            </w:r>
            <w:r w:rsidRPr="00CB25DC">
              <w:rPr>
                <w:rFonts w:ascii="Times New Roman" w:hAnsi="Times New Roman"/>
                <w:sz w:val="22"/>
              </w:rPr>
              <w:t>Saneamiento (10%)</w:t>
            </w:r>
            <w:r>
              <w:rPr>
                <w:rFonts w:ascii="Times New Roman" w:hAnsi="Times New Roman"/>
                <w:sz w:val="22"/>
              </w:rPr>
              <w:t xml:space="preserve">, </w:t>
            </w:r>
            <w:r w:rsidRPr="00CB25DC">
              <w:rPr>
                <w:rFonts w:ascii="Times New Roman" w:hAnsi="Times New Roman"/>
                <w:sz w:val="22"/>
              </w:rPr>
              <w:t>Administración pública: Agua, saneamiento y protección contra las inundaciones (25%)</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sz w:val="22"/>
              </w:rPr>
              <w:t>Temas:</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CB25DC" w:rsidRDefault="00CB25DC" w:rsidP="00F06FE7">
            <w:pPr>
              <w:ind w:right="-1039"/>
              <w:rPr>
                <w:rFonts w:ascii="Times New Roman" w:hAnsi="Times New Roman" w:cs="Times New Roman"/>
              </w:rPr>
            </w:pPr>
            <w:r w:rsidRPr="00CB25DC">
              <w:rPr>
                <w:rFonts w:ascii="Times New Roman" w:hAnsi="Times New Roman" w:cs="Times New Roman"/>
              </w:rPr>
              <w:t>Prestación de servicios e infraestructura de toda la ciudad</w:t>
            </w:r>
            <w:r>
              <w:rPr>
                <w:rFonts w:ascii="Times New Roman" w:hAnsi="Times New Roman" w:cs="Times New Roman"/>
              </w:rPr>
              <w:t xml:space="preserve"> </w:t>
            </w:r>
            <w:r w:rsidRPr="00CB25DC">
              <w:rPr>
                <w:rFonts w:ascii="Times New Roman" w:hAnsi="Times New Roman" w:cs="Times New Roman"/>
              </w:rPr>
              <w:t>(60%)</w:t>
            </w:r>
            <w:r>
              <w:rPr>
                <w:rFonts w:ascii="Times New Roman" w:hAnsi="Times New Roman" w:cs="Times New Roman"/>
              </w:rPr>
              <w:t>,</w:t>
            </w:r>
          </w:p>
          <w:p w:rsidR="00CB25DC" w:rsidRDefault="00CB25DC" w:rsidP="00F06FE7">
            <w:pPr>
              <w:ind w:right="-1039"/>
              <w:rPr>
                <w:rFonts w:ascii="Times New Roman" w:hAnsi="Times New Roman" w:cs="Times New Roman"/>
              </w:rPr>
            </w:pPr>
            <w:r w:rsidRPr="00CB25DC">
              <w:rPr>
                <w:rFonts w:ascii="Times New Roman" w:hAnsi="Times New Roman" w:cs="Times New Roman"/>
              </w:rPr>
              <w:t>Infraestructura y servicios rurales (10%)</w:t>
            </w:r>
            <w:r>
              <w:rPr>
                <w:rFonts w:ascii="Times New Roman" w:hAnsi="Times New Roman" w:cs="Times New Roman"/>
              </w:rPr>
              <w:t xml:space="preserve">, </w:t>
            </w:r>
            <w:r w:rsidRPr="00CB25DC">
              <w:rPr>
                <w:rFonts w:ascii="Times New Roman" w:hAnsi="Times New Roman" w:cs="Times New Roman"/>
              </w:rPr>
              <w:t>Gestión orientada a los</w:t>
            </w:r>
          </w:p>
          <w:p w:rsidR="00CB25DC" w:rsidRPr="00CB25DC" w:rsidRDefault="00CB25DC" w:rsidP="00F06FE7">
            <w:pPr>
              <w:ind w:right="-1039"/>
              <w:rPr>
                <w:rFonts w:ascii="Times New Roman" w:hAnsi="Times New Roman" w:cs="Times New Roman"/>
              </w:rPr>
            </w:pPr>
            <w:proofErr w:type="gramStart"/>
            <w:r w:rsidRPr="00CB25DC">
              <w:rPr>
                <w:rFonts w:ascii="Times New Roman" w:hAnsi="Times New Roman" w:cs="Times New Roman"/>
              </w:rPr>
              <w:t>resultados</w:t>
            </w:r>
            <w:proofErr w:type="gramEnd"/>
            <w:r w:rsidRPr="00CB25DC">
              <w:rPr>
                <w:rFonts w:ascii="Times New Roman" w:hAnsi="Times New Roman" w:cs="Times New Roman"/>
              </w:rPr>
              <w:t xml:space="preserve"> en términos de desarrollo (30%)</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3F6E17">
            <w:pPr>
              <w:rPr>
                <w:rFonts w:ascii="Times New Roman" w:hAnsi="Times New Roman" w:cs="Times New Roman"/>
              </w:rPr>
            </w:pPr>
            <w:r>
              <w:rPr>
                <w:rFonts w:ascii="Times New Roman" w:hAnsi="Times New Roman"/>
                <w:b/>
                <w:sz w:val="22"/>
              </w:rPr>
              <w:t>Datos sobre el financiamiento del proyecto (en millones de US$)</w:t>
            </w: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648"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sz w:val="22"/>
              </w:rPr>
              <w:t>Costo total del proyecto:</w:t>
            </w:r>
          </w:p>
        </w:tc>
        <w:tc>
          <w:tcPr>
            <w:tcW w:w="1937" w:type="dxa"/>
            <w:gridSpan w:val="4"/>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B25DC" w:rsidRDefault="00CB25DC" w:rsidP="00CB25DC">
            <w:pPr>
              <w:rPr>
                <w:rFonts w:ascii="Times New Roman" w:hAnsi="Times New Roman" w:cs="Times New Roman"/>
              </w:rPr>
            </w:pPr>
            <w:r>
              <w:rPr>
                <w:rFonts w:ascii="Times New Roman" w:hAnsi="Times New Roman"/>
                <w:sz w:val="22"/>
              </w:rPr>
              <w:t>US$93,50M</w:t>
            </w:r>
          </w:p>
        </w:tc>
        <w:tc>
          <w:tcPr>
            <w:tcW w:w="2341" w:type="dxa"/>
            <w:gridSpan w:val="4"/>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sz w:val="22"/>
              </w:rPr>
              <w:t>Financiamiento total del Banco:</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sz w:val="22"/>
              </w:rPr>
              <w:t>US$55,00M</w:t>
            </w: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648"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sz w:val="22"/>
              </w:rPr>
              <w:t>Déficit de financiamiento:</w:t>
            </w:r>
          </w:p>
        </w:tc>
        <w:tc>
          <w:tcPr>
            <w:tcW w:w="193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sz w:val="22"/>
              </w:rPr>
              <w:t>0,00</w:t>
            </w:r>
          </w:p>
        </w:tc>
        <w:tc>
          <w:tcPr>
            <w:tcW w:w="4590" w:type="dxa"/>
            <w:gridSpan w:val="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690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ind w:left="472"/>
              <w:rPr>
                <w:rFonts w:ascii="Times New Roman" w:hAnsi="Times New Roman" w:cs="Times New Roman"/>
              </w:rPr>
            </w:pPr>
            <w:r>
              <w:rPr>
                <w:rFonts w:ascii="Times New Roman" w:hAnsi="Times New Roman"/>
                <w:b/>
                <w:sz w:val="22"/>
              </w:rPr>
              <w:t xml:space="preserve"> Fuentes de financiamiento (Programa y Componente de Asistencia Técnica)</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jc w:val="right"/>
              <w:rPr>
                <w:rFonts w:ascii="Times New Roman" w:hAnsi="Times New Roman" w:cs="Times New Roman"/>
              </w:rPr>
            </w:pPr>
            <w:r>
              <w:rPr>
                <w:rFonts w:ascii="Times New Roman" w:hAnsi="Times New Roman"/>
                <w:b/>
                <w:sz w:val="22"/>
              </w:rPr>
              <w:t>Monto</w:t>
            </w: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690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CB25DC">
            <w:pPr>
              <w:ind w:left="472"/>
              <w:rPr>
                <w:rFonts w:ascii="Times New Roman" w:hAnsi="Times New Roman" w:cs="Times New Roman"/>
              </w:rPr>
            </w:pPr>
            <w:r>
              <w:rPr>
                <w:rFonts w:ascii="Times New Roman" w:hAnsi="Times New Roman"/>
                <w:sz w:val="22"/>
              </w:rPr>
              <w:t xml:space="preserve"> CONAGUA (APAZU)</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jc w:val="right"/>
              <w:rPr>
                <w:rFonts w:ascii="Times New Roman" w:hAnsi="Times New Roman" w:cs="Times New Roman"/>
              </w:rPr>
            </w:pPr>
            <w:r>
              <w:rPr>
                <w:rFonts w:ascii="Times New Roman" w:hAnsi="Times New Roman"/>
                <w:sz w:val="22"/>
              </w:rPr>
              <w:t>US$38,50</w:t>
            </w: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690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CB25DC">
            <w:pPr>
              <w:ind w:left="472"/>
              <w:rPr>
                <w:rFonts w:ascii="Times New Roman" w:hAnsi="Times New Roman" w:cs="Times New Roman"/>
              </w:rPr>
            </w:pPr>
            <w:r>
              <w:rPr>
                <w:rFonts w:ascii="Times New Roman" w:hAnsi="Times New Roman"/>
                <w:sz w:val="22"/>
              </w:rPr>
              <w:t xml:space="preserve"> </w:t>
            </w:r>
            <w:r w:rsidRPr="005D051B">
              <w:rPr>
                <w:rFonts w:ascii="Times New Roman" w:hAnsi="Times New Roman" w:cs="Times New Roman"/>
              </w:rPr>
              <w:t>Banco Internacional de Reconstrucción y Fomento</w:t>
            </w:r>
            <w:r>
              <w:rPr>
                <w:rFonts w:ascii="Times New Roman" w:hAnsi="Times New Roman"/>
                <w:sz w:val="22"/>
              </w:rPr>
              <w:t xml:space="preserve"> (BIRF)</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CB25DC">
            <w:pPr>
              <w:jc w:val="right"/>
              <w:rPr>
                <w:rFonts w:ascii="Times New Roman" w:hAnsi="Times New Roman" w:cs="Times New Roman"/>
              </w:rPr>
            </w:pPr>
            <w:r>
              <w:rPr>
                <w:rFonts w:ascii="Times New Roman" w:hAnsi="Times New Roman"/>
                <w:sz w:val="22"/>
              </w:rPr>
              <w:t>US$55,00</w:t>
            </w:r>
          </w:p>
        </w:tc>
      </w:tr>
      <w:tr w:rsidR="00CB25DC" w:rsidTr="0028523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690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ind w:left="472"/>
              <w:rPr>
                <w:rFonts w:ascii="Times New Roman" w:hAnsi="Times New Roman" w:cs="Times New Roman"/>
              </w:rPr>
            </w:pPr>
            <w:r>
              <w:rPr>
                <w:rFonts w:ascii="Times New Roman" w:hAnsi="Times New Roman"/>
                <w:sz w:val="22"/>
              </w:rPr>
              <w:t xml:space="preserve"> Total</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jc w:val="right"/>
              <w:rPr>
                <w:rFonts w:ascii="Times New Roman" w:hAnsi="Times New Roman" w:cs="Times New Roman"/>
              </w:rPr>
            </w:pPr>
            <w:r>
              <w:rPr>
                <w:rFonts w:ascii="Times New Roman" w:hAnsi="Times New Roman"/>
                <w:sz w:val="22"/>
              </w:rPr>
              <w:t>US$93,50M</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sz w:val="22"/>
              </w:rPr>
              <w:t>Categoría ambiental:</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CB25DC">
            <w:pPr>
              <w:rPr>
                <w:rFonts w:ascii="Times New Roman" w:hAnsi="Times New Roman" w:cs="Times New Roman"/>
              </w:rPr>
            </w:pPr>
            <w:r>
              <w:rPr>
                <w:rFonts w:ascii="Times New Roman" w:hAnsi="Times New Roman"/>
                <w:sz w:val="22"/>
              </w:rPr>
              <w:t>C</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sz w:val="22"/>
              </w:rPr>
              <w:t>¿Es una repetición de proyecto?</w:t>
            </w:r>
          </w:p>
        </w:tc>
        <w:tc>
          <w:tcPr>
            <w:tcW w:w="6556"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No</w:t>
            </w: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b/>
              </w:rPr>
              <w:t>2. Objetivos de desarrollo del proyecto</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Pr="002F758B" w:rsidRDefault="00CB25DC" w:rsidP="00CB25DC">
            <w:pPr>
              <w:pStyle w:val="NoSpacing"/>
              <w:tabs>
                <w:tab w:val="left" w:pos="990"/>
              </w:tabs>
              <w:jc w:val="both"/>
              <w:rPr>
                <w:rFonts w:ascii="Times New Roman" w:hAnsi="Times New Roman" w:cs="Times New Roman"/>
                <w:sz w:val="24"/>
                <w:szCs w:val="24"/>
                <w:lang w:val="es-ES"/>
              </w:rPr>
            </w:pPr>
            <w:r w:rsidRPr="002F758B">
              <w:rPr>
                <w:rFonts w:ascii="Times New Roman" w:hAnsi="Times New Roman" w:cs="Times New Roman"/>
                <w:sz w:val="24"/>
                <w:szCs w:val="24"/>
                <w:lang w:val="es-ES"/>
              </w:rPr>
              <w:t>El objetivo de desarrollo del programa MAS Oaxaca</w:t>
            </w:r>
            <w:r w:rsidR="00F06FE7">
              <w:rPr>
                <w:rStyle w:val="FootnoteReference"/>
                <w:rFonts w:ascii="Times New Roman" w:hAnsi="Times New Roman" w:cs="Times New Roman"/>
                <w:sz w:val="24"/>
                <w:szCs w:val="24"/>
                <w:lang w:val="es-ES"/>
              </w:rPr>
              <w:footnoteReference w:id="1"/>
            </w:r>
            <w:r w:rsidRPr="002F758B">
              <w:rPr>
                <w:rFonts w:ascii="Times New Roman" w:hAnsi="Times New Roman" w:cs="Times New Roman"/>
                <w:sz w:val="24"/>
                <w:szCs w:val="24"/>
                <w:lang w:val="es-ES"/>
              </w:rPr>
              <w:t xml:space="preserve"> es apoyar la mejora del marco institucional del sector de agua y saneamiento del estado de Oaxaca y la mejora de la calidad y la sostenibilidad del servicio de agua y saneamiento en zonas urbanas seleccionadas.</w:t>
            </w:r>
          </w:p>
          <w:p w:rsidR="00CB25DC" w:rsidRDefault="00CB25DC">
            <w:pPr>
              <w:rPr>
                <w:rFonts w:ascii="Times New Roman" w:hAnsi="Times New Roman" w:cs="Times New Roman"/>
              </w:rPr>
            </w:pP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b/>
              </w:rPr>
              <w:t>3. Descripción del proyecto</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Default="00780954" w:rsidP="00780954">
            <w:pPr>
              <w:jc w:val="both"/>
              <w:rPr>
                <w:rFonts w:ascii="Times New Roman" w:hAnsi="Times New Roman" w:cs="Times New Roman"/>
                <w:b/>
                <w:i/>
              </w:rPr>
            </w:pPr>
            <w:r w:rsidRPr="00780954">
              <w:rPr>
                <w:rFonts w:ascii="Times New Roman" w:hAnsi="Times New Roman" w:cs="Times New Roman"/>
                <w:b/>
                <w:i/>
              </w:rPr>
              <w:t xml:space="preserve">Estructura de la Operación </w:t>
            </w:r>
          </w:p>
          <w:p w:rsidR="0011600B" w:rsidRDefault="0011600B" w:rsidP="00780954">
            <w:pPr>
              <w:jc w:val="both"/>
              <w:rPr>
                <w:rFonts w:ascii="Times New Roman" w:hAnsi="Times New Roman" w:cs="Times New Roman"/>
                <w:b/>
                <w:i/>
              </w:rPr>
            </w:pPr>
          </w:p>
          <w:p w:rsidR="00780954" w:rsidRDefault="00780954" w:rsidP="00780954">
            <w:pPr>
              <w:jc w:val="both"/>
              <w:rPr>
                <w:rFonts w:ascii="Times New Roman" w:hAnsi="Times New Roman" w:cs="Times New Roman"/>
              </w:rPr>
            </w:pPr>
            <w:r>
              <w:rPr>
                <w:rFonts w:ascii="Times New Roman" w:hAnsi="Times New Roman" w:cs="Times New Roman"/>
              </w:rPr>
              <w:t>La Operación del Banco</w:t>
            </w:r>
            <w:r w:rsidR="00F06FE7">
              <w:rPr>
                <w:rFonts w:ascii="Times New Roman" w:hAnsi="Times New Roman" w:cs="Times New Roman"/>
              </w:rPr>
              <w:t xml:space="preserve"> Mundial</w:t>
            </w:r>
            <w:r>
              <w:rPr>
                <w:rFonts w:ascii="Times New Roman" w:hAnsi="Times New Roman" w:cs="Times New Roman"/>
              </w:rPr>
              <w:t xml:space="preserve">, </w:t>
            </w:r>
            <w:r w:rsidR="00F06FE7">
              <w:rPr>
                <w:rFonts w:ascii="Times New Roman" w:hAnsi="Times New Roman" w:cs="Times New Roman"/>
              </w:rPr>
              <w:t>denominada</w:t>
            </w:r>
            <w:r>
              <w:rPr>
                <w:rFonts w:ascii="Times New Roman" w:hAnsi="Times New Roman" w:cs="Times New Roman"/>
              </w:rPr>
              <w:t xml:space="preserve"> Operación de </w:t>
            </w:r>
            <w:r w:rsidRPr="005D051B">
              <w:rPr>
                <w:rFonts w:ascii="Times New Roman" w:hAnsi="Times New Roman" w:cs="Times New Roman"/>
              </w:rPr>
              <w:t>Modernización del Sector de Agua y Saneamiento de Oaxaca</w:t>
            </w:r>
            <w:r w:rsidR="00F06FE7">
              <w:rPr>
                <w:rFonts w:ascii="Times New Roman" w:hAnsi="Times New Roman" w:cs="Times New Roman"/>
              </w:rPr>
              <w:t xml:space="preserve"> (</w:t>
            </w:r>
            <w:r w:rsidR="00F06FE7" w:rsidRPr="00F06FE7">
              <w:rPr>
                <w:rFonts w:ascii="Times New Roman" w:hAnsi="Times New Roman" w:cs="Times New Roman"/>
                <w:i/>
              </w:rPr>
              <w:t>MAS Oaxaca</w:t>
            </w:r>
            <w:r w:rsidR="00F06FE7">
              <w:rPr>
                <w:rFonts w:ascii="Times New Roman" w:hAnsi="Times New Roman" w:cs="Times New Roman"/>
              </w:rPr>
              <w:t xml:space="preserve">) </w:t>
            </w:r>
            <w:r w:rsidR="00F06FE7" w:rsidRPr="005D051B">
              <w:rPr>
                <w:rFonts w:ascii="Times New Roman" w:hAnsi="Times New Roman" w:cs="Times New Roman"/>
              </w:rPr>
              <w:t>propone el uso de un instrumento financiero híbrido que combina el</w:t>
            </w:r>
            <w:r w:rsidR="00F06FE7">
              <w:rPr>
                <w:rFonts w:ascii="Times New Roman" w:hAnsi="Times New Roman" w:cs="Times New Roman"/>
              </w:rPr>
              <w:t xml:space="preserve"> Programa por Resultados (</w:t>
            </w:r>
            <w:proofErr w:type="spellStart"/>
            <w:r w:rsidR="00F06FE7">
              <w:rPr>
                <w:rFonts w:ascii="Times New Roman" w:hAnsi="Times New Roman" w:cs="Times New Roman"/>
              </w:rPr>
              <w:t>PforR</w:t>
            </w:r>
            <w:proofErr w:type="spellEnd"/>
            <w:r w:rsidR="00F06FE7">
              <w:rPr>
                <w:rFonts w:ascii="Times New Roman" w:hAnsi="Times New Roman" w:cs="Times New Roman"/>
              </w:rPr>
              <w:t xml:space="preserve">, por sus siglas en ingles) y el </w:t>
            </w:r>
            <w:r w:rsidR="0011600B">
              <w:rPr>
                <w:rFonts w:ascii="Times New Roman" w:hAnsi="Times New Roman" w:cs="Times New Roman"/>
              </w:rPr>
              <w:t>Financiamiento de Proyectos de I</w:t>
            </w:r>
            <w:r w:rsidR="00F06FE7" w:rsidRPr="009409D8">
              <w:rPr>
                <w:rFonts w:ascii="Times New Roman" w:hAnsi="Times New Roman" w:cs="Times New Roman"/>
              </w:rPr>
              <w:t>nversión</w:t>
            </w:r>
            <w:r w:rsidR="00F06FE7">
              <w:rPr>
                <w:rFonts w:ascii="Times New Roman" w:hAnsi="Times New Roman" w:cs="Times New Roman"/>
              </w:rPr>
              <w:t xml:space="preserve"> (IPF, por sus siglas en ingles)</w:t>
            </w:r>
            <w:r w:rsidR="00F06FE7">
              <w:rPr>
                <w:rStyle w:val="FootnoteReference"/>
                <w:rFonts w:ascii="Times New Roman" w:hAnsi="Times New Roman" w:cs="Times New Roman"/>
              </w:rPr>
              <w:footnoteReference w:id="2"/>
            </w:r>
            <w:r w:rsidR="00F06FE7">
              <w:rPr>
                <w:rFonts w:ascii="Times New Roman" w:hAnsi="Times New Roman" w:cs="Times New Roman"/>
              </w:rPr>
              <w:t>,</w:t>
            </w:r>
            <w:r w:rsidR="00F06FE7" w:rsidRPr="005D051B">
              <w:rPr>
                <w:rFonts w:ascii="Times New Roman" w:hAnsi="Times New Roman" w:cs="Times New Roman"/>
              </w:rPr>
              <w:t xml:space="preserve"> este último para financiar el componente de AT que respalda el logro de los objetivos del </w:t>
            </w:r>
            <w:r w:rsidR="00F06FE7">
              <w:rPr>
                <w:rFonts w:ascii="Times New Roman" w:hAnsi="Times New Roman" w:cs="Times New Roman"/>
              </w:rPr>
              <w:t>P</w:t>
            </w:r>
            <w:r w:rsidR="00F06FE7" w:rsidRPr="005D051B">
              <w:rPr>
                <w:rFonts w:ascii="Times New Roman" w:hAnsi="Times New Roman" w:cs="Times New Roman"/>
              </w:rPr>
              <w:t xml:space="preserve">rograma. </w:t>
            </w:r>
            <w:r w:rsidR="00F06FE7">
              <w:rPr>
                <w:rFonts w:ascii="Times New Roman" w:hAnsi="Times New Roman" w:cs="Times New Roman"/>
              </w:rPr>
              <w:t>Esta Ficha Integrada de Datos sobre Salvaguardas y la categoría ambiental se refieren únicamente al Componente de Asistencia Técnica financiado a través del instrumento IPF.</w:t>
            </w:r>
          </w:p>
          <w:p w:rsidR="00F06FE7" w:rsidRDefault="00F06FE7" w:rsidP="00780954">
            <w:pPr>
              <w:jc w:val="both"/>
              <w:rPr>
                <w:rFonts w:ascii="Times New Roman" w:hAnsi="Times New Roman" w:cs="Times New Roman"/>
                <w:b/>
                <w:i/>
              </w:rPr>
            </w:pPr>
          </w:p>
          <w:p w:rsidR="00780954" w:rsidRDefault="00780954" w:rsidP="00780954">
            <w:pPr>
              <w:jc w:val="both"/>
              <w:rPr>
                <w:rFonts w:ascii="Times New Roman" w:hAnsi="Times New Roman" w:cs="Times New Roman"/>
                <w:b/>
                <w:i/>
              </w:rPr>
            </w:pPr>
            <w:r>
              <w:rPr>
                <w:rFonts w:ascii="Times New Roman" w:hAnsi="Times New Roman" w:cs="Times New Roman"/>
                <w:b/>
                <w:i/>
              </w:rPr>
              <w:t>Descripción de las actividades del Programa</w:t>
            </w:r>
          </w:p>
          <w:p w:rsidR="00780954" w:rsidRDefault="00780954" w:rsidP="00780954">
            <w:pPr>
              <w:jc w:val="both"/>
              <w:rPr>
                <w:rFonts w:ascii="Times New Roman" w:hAnsi="Times New Roman" w:cs="Times New Roman"/>
                <w:b/>
                <w:i/>
              </w:rPr>
            </w:pPr>
          </w:p>
          <w:p w:rsidR="00780954" w:rsidRDefault="00F06FE7" w:rsidP="00F06FE7">
            <w:pPr>
              <w:jc w:val="both"/>
              <w:rPr>
                <w:rFonts w:ascii="Times New Roman" w:hAnsi="Times New Roman" w:cs="Times New Roman"/>
              </w:rPr>
            </w:pPr>
            <w:r>
              <w:rPr>
                <w:rFonts w:ascii="Times New Roman" w:hAnsi="Times New Roman" w:cs="Times New Roman"/>
              </w:rPr>
              <w:t>Las actividades del Programa</w:t>
            </w:r>
            <w:r w:rsidR="00382EF8">
              <w:rPr>
                <w:rStyle w:val="FootnoteReference"/>
                <w:rFonts w:ascii="Times New Roman" w:hAnsi="Times New Roman" w:cs="Times New Roman"/>
              </w:rPr>
              <w:footnoteReference w:id="3"/>
            </w:r>
            <w:r>
              <w:rPr>
                <w:rFonts w:ascii="Times New Roman" w:hAnsi="Times New Roman" w:cs="Times New Roman"/>
              </w:rPr>
              <w:t xml:space="preserve"> financiadas a </w:t>
            </w:r>
            <w:r w:rsidR="003D7363">
              <w:rPr>
                <w:rFonts w:ascii="Times New Roman" w:hAnsi="Times New Roman" w:cs="Times New Roman"/>
              </w:rPr>
              <w:t>través</w:t>
            </w:r>
            <w:r w:rsidRPr="005D051B">
              <w:rPr>
                <w:rFonts w:ascii="Times New Roman" w:hAnsi="Times New Roman" w:cs="Times New Roman"/>
              </w:rPr>
              <w:t xml:space="preserve"> el instrumento de </w:t>
            </w:r>
            <w:proofErr w:type="spellStart"/>
            <w:r w:rsidRPr="005D051B">
              <w:rPr>
                <w:rFonts w:ascii="Times New Roman" w:hAnsi="Times New Roman" w:cs="Times New Roman"/>
              </w:rPr>
              <w:t>P</w:t>
            </w:r>
            <w:r>
              <w:rPr>
                <w:rFonts w:ascii="Times New Roman" w:hAnsi="Times New Roman" w:cs="Times New Roman"/>
              </w:rPr>
              <w:t>for</w:t>
            </w:r>
            <w:r w:rsidRPr="005D051B">
              <w:rPr>
                <w:rFonts w:ascii="Times New Roman" w:hAnsi="Times New Roman" w:cs="Times New Roman"/>
              </w:rPr>
              <w:t>R</w:t>
            </w:r>
            <w:proofErr w:type="spellEnd"/>
            <w:r w:rsidR="003D7363">
              <w:rPr>
                <w:rFonts w:ascii="Times New Roman" w:hAnsi="Times New Roman" w:cs="Times New Roman"/>
              </w:rPr>
              <w:t xml:space="preserve"> incluyen</w:t>
            </w:r>
            <w:r w:rsidRPr="005D051B">
              <w:rPr>
                <w:rFonts w:ascii="Times New Roman" w:hAnsi="Times New Roman" w:cs="Times New Roman"/>
              </w:rPr>
              <w:t xml:space="preserve"> un conjunto integrado de reformas institucionales, actividades de fortalecimiento institucional e inversiones en las entidades participantes para lograr los objetivos del </w:t>
            </w:r>
            <w:r>
              <w:rPr>
                <w:rFonts w:ascii="Times New Roman" w:hAnsi="Times New Roman" w:cs="Times New Roman"/>
              </w:rPr>
              <w:t>P</w:t>
            </w:r>
            <w:r w:rsidRPr="005D051B">
              <w:rPr>
                <w:rFonts w:ascii="Times New Roman" w:hAnsi="Times New Roman" w:cs="Times New Roman"/>
              </w:rPr>
              <w:t>rograma</w:t>
            </w:r>
            <w:r w:rsidR="003D7363">
              <w:rPr>
                <w:rFonts w:ascii="Times New Roman" w:hAnsi="Times New Roman" w:cs="Times New Roman"/>
              </w:rPr>
              <w:t>, las cuales se han estructurado en cuatro Áreas de Resultados:</w:t>
            </w:r>
          </w:p>
          <w:p w:rsidR="00B95826" w:rsidRDefault="00B95826" w:rsidP="00F06FE7">
            <w:pPr>
              <w:jc w:val="both"/>
              <w:rPr>
                <w:rFonts w:ascii="Times New Roman" w:hAnsi="Times New Roman" w:cs="Times New Roman"/>
              </w:rPr>
            </w:pPr>
          </w:p>
          <w:p w:rsidR="00B95826" w:rsidRPr="005D051B" w:rsidRDefault="00B95826" w:rsidP="00B95826">
            <w:pPr>
              <w:pStyle w:val="NoSpacing"/>
              <w:numPr>
                <w:ilvl w:val="0"/>
                <w:numId w:val="1"/>
              </w:numPr>
              <w:tabs>
                <w:tab w:val="left" w:pos="1080"/>
              </w:tabs>
              <w:jc w:val="both"/>
              <w:rPr>
                <w:rFonts w:ascii="Times New Roman" w:hAnsi="Times New Roman" w:cs="Times New Roman"/>
                <w:i/>
                <w:sz w:val="24"/>
                <w:szCs w:val="24"/>
                <w:lang w:val="es-ES"/>
              </w:rPr>
            </w:pPr>
            <w:r w:rsidRPr="005D051B">
              <w:rPr>
                <w:rFonts w:ascii="Times New Roman" w:hAnsi="Times New Roman" w:cs="Times New Roman"/>
                <w:i/>
                <w:sz w:val="24"/>
                <w:szCs w:val="24"/>
                <w:lang w:val="es-ES"/>
              </w:rPr>
              <w:t xml:space="preserve">Área de resultados 1: Modernización del marco legal y regulatorio del sector de </w:t>
            </w:r>
            <w:proofErr w:type="spellStart"/>
            <w:r w:rsidRPr="005D051B">
              <w:rPr>
                <w:rFonts w:ascii="Times New Roman" w:hAnsi="Times New Roman" w:cs="Times New Roman"/>
                <w:i/>
                <w:sz w:val="24"/>
                <w:szCs w:val="24"/>
                <w:lang w:val="es-ES"/>
              </w:rPr>
              <w:t>AyS</w:t>
            </w:r>
            <w:proofErr w:type="spellEnd"/>
            <w:r w:rsidRPr="005D051B">
              <w:rPr>
                <w:rFonts w:ascii="Times New Roman" w:hAnsi="Times New Roman" w:cs="Times New Roman"/>
                <w:i/>
                <w:sz w:val="24"/>
                <w:szCs w:val="24"/>
                <w:lang w:val="es-ES"/>
              </w:rPr>
              <w:t xml:space="preserve"> en el estado. </w:t>
            </w:r>
          </w:p>
          <w:p w:rsidR="00B95826" w:rsidRPr="005D051B" w:rsidRDefault="00B95826" w:rsidP="00B95826">
            <w:pPr>
              <w:pStyle w:val="NoSpacing"/>
              <w:tabs>
                <w:tab w:val="left" w:pos="1080"/>
              </w:tabs>
              <w:ind w:left="360"/>
              <w:jc w:val="both"/>
              <w:rPr>
                <w:rFonts w:ascii="Times New Roman" w:hAnsi="Times New Roman" w:cs="Times New Roman"/>
                <w:sz w:val="24"/>
                <w:szCs w:val="24"/>
                <w:lang w:val="es-ES"/>
              </w:rPr>
            </w:pPr>
          </w:p>
          <w:p w:rsidR="00B95826" w:rsidRPr="005D051B" w:rsidRDefault="00B95826" w:rsidP="00B95826">
            <w:pPr>
              <w:pStyle w:val="NoSpacing"/>
              <w:tabs>
                <w:tab w:val="left" w:pos="990"/>
              </w:tabs>
              <w:jc w:val="both"/>
              <w:rPr>
                <w:rFonts w:ascii="Times New Roman" w:hAnsi="Times New Roman" w:cs="Times New Roman"/>
                <w:sz w:val="24"/>
                <w:szCs w:val="24"/>
                <w:lang w:val="es-ES"/>
              </w:rPr>
            </w:pPr>
            <w:r w:rsidRPr="005D051B">
              <w:rPr>
                <w:rFonts w:ascii="Times New Roman" w:hAnsi="Times New Roman" w:cs="Times New Roman"/>
                <w:sz w:val="24"/>
                <w:szCs w:val="24"/>
                <w:lang w:val="es-ES"/>
              </w:rPr>
              <w:t xml:space="preserve">Las actividades del Programa incluirán la </w:t>
            </w:r>
            <w:r>
              <w:rPr>
                <w:rFonts w:ascii="Times New Roman" w:hAnsi="Times New Roman" w:cs="Times New Roman"/>
                <w:sz w:val="24"/>
                <w:szCs w:val="24"/>
                <w:lang w:val="es-ES"/>
              </w:rPr>
              <w:t xml:space="preserve">formulación de leyes y normas clave del sector </w:t>
            </w:r>
            <w:r w:rsidR="0011600B">
              <w:rPr>
                <w:rFonts w:ascii="Times New Roman" w:hAnsi="Times New Roman" w:cs="Times New Roman"/>
                <w:sz w:val="24"/>
                <w:szCs w:val="24"/>
                <w:lang w:val="es-ES"/>
              </w:rPr>
              <w:t>Agua y Saneamiento (</w:t>
            </w:r>
            <w:proofErr w:type="spellStart"/>
            <w:r>
              <w:rPr>
                <w:rFonts w:ascii="Times New Roman" w:hAnsi="Times New Roman" w:cs="Times New Roman"/>
                <w:sz w:val="24"/>
                <w:szCs w:val="24"/>
                <w:lang w:val="es-ES"/>
              </w:rPr>
              <w:t>AyS</w:t>
            </w:r>
            <w:proofErr w:type="spellEnd"/>
            <w:r w:rsidR="0011600B">
              <w:rPr>
                <w:rFonts w:ascii="Times New Roman" w:hAnsi="Times New Roman" w:cs="Times New Roman"/>
                <w:sz w:val="24"/>
                <w:szCs w:val="24"/>
                <w:lang w:val="es-ES"/>
              </w:rPr>
              <w:t>)</w:t>
            </w:r>
            <w:r w:rsidR="00191C0C">
              <w:rPr>
                <w:rFonts w:ascii="Times New Roman" w:hAnsi="Times New Roman" w:cs="Times New Roman"/>
                <w:sz w:val="24"/>
                <w:szCs w:val="24"/>
                <w:lang w:val="es-ES"/>
              </w:rPr>
              <w:t xml:space="preserve"> con el</w:t>
            </w:r>
            <w:r>
              <w:rPr>
                <w:rFonts w:ascii="Times New Roman" w:hAnsi="Times New Roman" w:cs="Times New Roman"/>
                <w:sz w:val="24"/>
                <w:szCs w:val="24"/>
                <w:lang w:val="es-ES"/>
              </w:rPr>
              <w:t xml:space="preserve"> </w:t>
            </w:r>
            <w:r w:rsidRPr="005D051B">
              <w:rPr>
                <w:rFonts w:ascii="Times New Roman" w:hAnsi="Times New Roman" w:cs="Times New Roman"/>
                <w:sz w:val="24"/>
                <w:szCs w:val="24"/>
                <w:lang w:val="es-ES"/>
              </w:rPr>
              <w:t>fin de alinearlas con la visión de modernización del</w:t>
            </w:r>
            <w:r>
              <w:rPr>
                <w:rFonts w:ascii="Times New Roman" w:hAnsi="Times New Roman" w:cs="Times New Roman"/>
                <w:sz w:val="24"/>
                <w:szCs w:val="24"/>
                <w:lang w:val="es-ES"/>
              </w:rPr>
              <w:t xml:space="preserve"> marco </w:t>
            </w:r>
            <w:r>
              <w:rPr>
                <w:rFonts w:ascii="Times New Roman" w:hAnsi="Times New Roman" w:cs="Times New Roman"/>
                <w:sz w:val="24"/>
                <w:szCs w:val="24"/>
                <w:lang w:val="es-ES"/>
              </w:rPr>
              <w:lastRenderedPageBreak/>
              <w:t>institucional del</w:t>
            </w:r>
            <w:r w:rsidRPr="005D051B">
              <w:rPr>
                <w:rFonts w:ascii="Times New Roman" w:hAnsi="Times New Roman" w:cs="Times New Roman"/>
                <w:sz w:val="24"/>
                <w:szCs w:val="24"/>
                <w:lang w:val="es-ES"/>
              </w:rPr>
              <w:t xml:space="preserve"> sector del Gobierno de Oaxaca, incluyendo: a) </w:t>
            </w:r>
            <w:r>
              <w:rPr>
                <w:rFonts w:ascii="Times New Roman" w:hAnsi="Times New Roman" w:cs="Times New Roman"/>
                <w:sz w:val="24"/>
                <w:szCs w:val="24"/>
                <w:lang w:val="es-ES"/>
              </w:rPr>
              <w:t xml:space="preserve">redactar </w:t>
            </w:r>
            <w:r w:rsidRPr="005D051B">
              <w:rPr>
                <w:rFonts w:ascii="Times New Roman" w:hAnsi="Times New Roman" w:cs="Times New Roman"/>
                <w:sz w:val="24"/>
                <w:szCs w:val="24"/>
                <w:lang w:val="es-ES"/>
              </w:rPr>
              <w:t xml:space="preserve">una ley </w:t>
            </w:r>
            <w:r>
              <w:rPr>
                <w:rFonts w:ascii="Times New Roman" w:hAnsi="Times New Roman" w:cs="Times New Roman"/>
                <w:sz w:val="24"/>
                <w:szCs w:val="24"/>
                <w:lang w:val="es-ES"/>
              </w:rPr>
              <w:t>para e</w:t>
            </w:r>
            <w:r w:rsidRPr="005D051B">
              <w:rPr>
                <w:rFonts w:ascii="Times New Roman" w:hAnsi="Times New Roman" w:cs="Times New Roman"/>
                <w:sz w:val="24"/>
                <w:szCs w:val="24"/>
                <w:lang w:val="es-ES"/>
              </w:rPr>
              <w:t xml:space="preserve">l sector de </w:t>
            </w:r>
            <w:proofErr w:type="spellStart"/>
            <w:r>
              <w:rPr>
                <w:rFonts w:ascii="Times New Roman" w:hAnsi="Times New Roman" w:cs="Times New Roman"/>
                <w:sz w:val="24"/>
                <w:szCs w:val="24"/>
                <w:lang w:val="es-ES"/>
              </w:rPr>
              <w:t>AyS</w:t>
            </w:r>
            <w:proofErr w:type="spellEnd"/>
            <w:r w:rsidRPr="005D051B">
              <w:rPr>
                <w:rStyle w:val="FootnoteReference"/>
                <w:rFonts w:ascii="Times New Roman" w:hAnsi="Times New Roman" w:cs="Times New Roman"/>
                <w:sz w:val="24"/>
                <w:szCs w:val="24"/>
                <w:lang w:val="es-ES"/>
              </w:rPr>
              <w:footnoteReference w:id="4"/>
            </w:r>
            <w:r w:rsidRPr="005D051B">
              <w:rPr>
                <w:rFonts w:ascii="Times New Roman" w:hAnsi="Times New Roman" w:cs="Times New Roman"/>
                <w:sz w:val="24"/>
                <w:szCs w:val="24"/>
                <w:lang w:val="es-ES"/>
              </w:rPr>
              <w:t xml:space="preserve"> y </w:t>
            </w:r>
            <w:r>
              <w:rPr>
                <w:rFonts w:ascii="Times New Roman" w:hAnsi="Times New Roman" w:cs="Times New Roman"/>
                <w:sz w:val="24"/>
                <w:szCs w:val="24"/>
                <w:lang w:val="es-ES"/>
              </w:rPr>
              <w:t>promulgar la reglamentación correspondiente</w:t>
            </w:r>
            <w:r w:rsidRPr="005D051B">
              <w:rPr>
                <w:rFonts w:ascii="Times New Roman" w:hAnsi="Times New Roman" w:cs="Times New Roman"/>
                <w:sz w:val="24"/>
                <w:szCs w:val="24"/>
                <w:lang w:val="es-ES"/>
              </w:rPr>
              <w:t xml:space="preserve">; b) </w:t>
            </w:r>
            <w:r>
              <w:rPr>
                <w:rFonts w:ascii="Times New Roman" w:hAnsi="Times New Roman" w:cs="Times New Roman"/>
                <w:sz w:val="24"/>
                <w:szCs w:val="24"/>
                <w:lang w:val="es-ES"/>
              </w:rPr>
              <w:t>formular un</w:t>
            </w:r>
            <w:r w:rsidRPr="005D051B">
              <w:rPr>
                <w:rFonts w:ascii="Times New Roman" w:hAnsi="Times New Roman" w:cs="Times New Roman"/>
                <w:sz w:val="24"/>
                <w:szCs w:val="24"/>
                <w:lang w:val="es-ES"/>
              </w:rPr>
              <w:t xml:space="preserve"> reglamento tipo </w:t>
            </w:r>
            <w:r>
              <w:rPr>
                <w:rFonts w:ascii="Times New Roman" w:hAnsi="Times New Roman" w:cs="Times New Roman"/>
                <w:sz w:val="24"/>
                <w:szCs w:val="24"/>
                <w:lang w:val="es-ES"/>
              </w:rPr>
              <w:t>destinado a los municipios para</w:t>
            </w:r>
            <w:r w:rsidRPr="005D051B">
              <w:rPr>
                <w:rFonts w:ascii="Times New Roman" w:hAnsi="Times New Roman" w:cs="Times New Roman"/>
                <w:sz w:val="24"/>
                <w:szCs w:val="24"/>
                <w:lang w:val="es-ES"/>
              </w:rPr>
              <w:t xml:space="preserve"> la prestación del servicio a nivel municipal o intermunicipal; c) </w:t>
            </w:r>
            <w:r>
              <w:rPr>
                <w:rFonts w:ascii="Times New Roman" w:hAnsi="Times New Roman" w:cs="Times New Roman"/>
                <w:sz w:val="24"/>
                <w:szCs w:val="24"/>
                <w:lang w:val="es-ES"/>
              </w:rPr>
              <w:t xml:space="preserve">redactar </w:t>
            </w:r>
            <w:r w:rsidRPr="005D051B">
              <w:rPr>
                <w:rFonts w:ascii="Times New Roman" w:hAnsi="Times New Roman" w:cs="Times New Roman"/>
                <w:sz w:val="24"/>
                <w:szCs w:val="24"/>
                <w:lang w:val="es-ES"/>
              </w:rPr>
              <w:t xml:space="preserve">la ley de creación de SAPAO; y d) </w:t>
            </w:r>
            <w:r>
              <w:rPr>
                <w:rFonts w:ascii="Times New Roman" w:hAnsi="Times New Roman" w:cs="Times New Roman"/>
                <w:sz w:val="24"/>
                <w:szCs w:val="24"/>
                <w:lang w:val="es-ES"/>
              </w:rPr>
              <w:t xml:space="preserve">elaborar </w:t>
            </w:r>
            <w:r w:rsidRPr="005D051B">
              <w:rPr>
                <w:rFonts w:ascii="Times New Roman" w:hAnsi="Times New Roman" w:cs="Times New Roman"/>
                <w:sz w:val="24"/>
                <w:szCs w:val="24"/>
                <w:lang w:val="es-ES"/>
              </w:rPr>
              <w:t xml:space="preserve">el </w:t>
            </w:r>
            <w:r>
              <w:rPr>
                <w:rFonts w:ascii="Times New Roman" w:hAnsi="Times New Roman" w:cs="Times New Roman"/>
                <w:i/>
                <w:sz w:val="24"/>
                <w:szCs w:val="24"/>
                <w:lang w:val="es-ES"/>
              </w:rPr>
              <w:t>m</w:t>
            </w:r>
            <w:r w:rsidRPr="005D051B">
              <w:rPr>
                <w:rFonts w:ascii="Times New Roman" w:hAnsi="Times New Roman" w:cs="Times New Roman"/>
                <w:i/>
                <w:sz w:val="24"/>
                <w:szCs w:val="24"/>
                <w:lang w:val="es-ES"/>
              </w:rPr>
              <w:t>anual de organización</w:t>
            </w:r>
            <w:r w:rsidRPr="005D051B">
              <w:rPr>
                <w:rFonts w:ascii="Times New Roman" w:hAnsi="Times New Roman" w:cs="Times New Roman"/>
                <w:sz w:val="24"/>
                <w:szCs w:val="24"/>
                <w:lang w:val="es-ES"/>
              </w:rPr>
              <w:t xml:space="preserve"> y el reglamento interior de la CEA y SAPAO. La revisión de la ley del sector </w:t>
            </w:r>
            <w:proofErr w:type="spellStart"/>
            <w:r w:rsidRPr="005D051B">
              <w:rPr>
                <w:rFonts w:ascii="Times New Roman" w:hAnsi="Times New Roman" w:cs="Times New Roman"/>
                <w:sz w:val="24"/>
                <w:szCs w:val="24"/>
                <w:lang w:val="es-ES"/>
              </w:rPr>
              <w:t>AyS</w:t>
            </w:r>
            <w:proofErr w:type="spellEnd"/>
            <w:r w:rsidRPr="005D051B">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su reglamentación correspondiente </w:t>
            </w:r>
            <w:r w:rsidRPr="005D051B">
              <w:rPr>
                <w:rFonts w:ascii="Times New Roman" w:hAnsi="Times New Roman" w:cs="Times New Roman"/>
                <w:sz w:val="24"/>
                <w:szCs w:val="24"/>
                <w:lang w:val="es-ES"/>
              </w:rPr>
              <w:t xml:space="preserve">pretende incorporar la modernización del marco institucional dentro del marco legal estatal. Las actividades bajo esta área de resultados 1 así como la posible aprobación de la ley por el </w:t>
            </w:r>
            <w:r>
              <w:rPr>
                <w:rFonts w:ascii="Times New Roman" w:hAnsi="Times New Roman" w:cs="Times New Roman"/>
                <w:sz w:val="24"/>
                <w:szCs w:val="24"/>
                <w:lang w:val="es-ES"/>
              </w:rPr>
              <w:t>C</w:t>
            </w:r>
            <w:r w:rsidRPr="005D051B">
              <w:rPr>
                <w:rFonts w:ascii="Times New Roman" w:hAnsi="Times New Roman" w:cs="Times New Roman"/>
                <w:sz w:val="24"/>
                <w:szCs w:val="24"/>
                <w:lang w:val="es-ES"/>
              </w:rPr>
              <w:t>ongreso estatal no son, sin embargo, un pre requisito para alcanzar los objetivos bajo las otras áreas de resultados.</w:t>
            </w:r>
          </w:p>
          <w:p w:rsidR="00B95826" w:rsidRDefault="00B95826" w:rsidP="00F06FE7">
            <w:pPr>
              <w:jc w:val="both"/>
              <w:rPr>
                <w:rFonts w:ascii="Times New Roman" w:hAnsi="Times New Roman" w:cs="Times New Roman"/>
              </w:rPr>
            </w:pPr>
          </w:p>
          <w:p w:rsidR="00B95826" w:rsidRPr="005D051B" w:rsidRDefault="00B95826" w:rsidP="00B95826">
            <w:pPr>
              <w:pStyle w:val="NoSpacing"/>
              <w:numPr>
                <w:ilvl w:val="0"/>
                <w:numId w:val="1"/>
              </w:numPr>
              <w:tabs>
                <w:tab w:val="left" w:pos="1080"/>
              </w:tabs>
              <w:jc w:val="both"/>
              <w:rPr>
                <w:rFonts w:ascii="Times New Roman" w:hAnsi="Times New Roman" w:cs="Times New Roman"/>
                <w:i/>
                <w:sz w:val="24"/>
                <w:szCs w:val="24"/>
                <w:lang w:val="es-ES"/>
              </w:rPr>
            </w:pPr>
            <w:r w:rsidRPr="005D051B">
              <w:rPr>
                <w:rFonts w:ascii="Times New Roman" w:hAnsi="Times New Roman" w:cs="Times New Roman"/>
                <w:i/>
                <w:sz w:val="24"/>
                <w:szCs w:val="24"/>
                <w:lang w:val="es-ES"/>
              </w:rPr>
              <w:t xml:space="preserve">Área de resultados 2: Mejora de los servicios de agua en la zona metropolitana de Oaxaca </w:t>
            </w:r>
          </w:p>
          <w:p w:rsidR="00B95826" w:rsidRPr="005D051B" w:rsidRDefault="00B95826" w:rsidP="00B95826">
            <w:pPr>
              <w:pStyle w:val="NoSpacing"/>
              <w:tabs>
                <w:tab w:val="left" w:pos="1080"/>
              </w:tabs>
              <w:ind w:left="360"/>
              <w:jc w:val="both"/>
              <w:rPr>
                <w:rFonts w:ascii="Times New Roman" w:hAnsi="Times New Roman" w:cs="Times New Roman"/>
                <w:i/>
                <w:sz w:val="24"/>
                <w:szCs w:val="24"/>
                <w:lang w:val="es-ES"/>
              </w:rPr>
            </w:pPr>
          </w:p>
          <w:p w:rsidR="00B95826" w:rsidRPr="005D051B" w:rsidRDefault="00B95826" w:rsidP="00B95826">
            <w:pPr>
              <w:pStyle w:val="NoSpacing"/>
              <w:tabs>
                <w:tab w:val="left" w:pos="990"/>
              </w:tabs>
              <w:jc w:val="both"/>
              <w:rPr>
                <w:rFonts w:ascii="Times New Roman" w:hAnsi="Times New Roman" w:cs="Times New Roman"/>
                <w:sz w:val="24"/>
                <w:szCs w:val="24"/>
                <w:lang w:val="es-ES"/>
              </w:rPr>
            </w:pPr>
            <w:r w:rsidRPr="005D051B">
              <w:rPr>
                <w:rFonts w:ascii="Times New Roman" w:hAnsi="Times New Roman" w:cs="Times New Roman"/>
                <w:sz w:val="24"/>
                <w:szCs w:val="24"/>
                <w:lang w:val="es-ES"/>
              </w:rPr>
              <w:t xml:space="preserve">Las actividades del </w:t>
            </w:r>
            <w:r>
              <w:rPr>
                <w:rFonts w:ascii="Times New Roman" w:hAnsi="Times New Roman" w:cs="Times New Roman"/>
                <w:sz w:val="24"/>
                <w:szCs w:val="24"/>
                <w:lang w:val="es-ES"/>
              </w:rPr>
              <w:t>P</w:t>
            </w:r>
            <w:r w:rsidRPr="005D051B">
              <w:rPr>
                <w:rFonts w:ascii="Times New Roman" w:hAnsi="Times New Roman" w:cs="Times New Roman"/>
                <w:sz w:val="24"/>
                <w:szCs w:val="24"/>
                <w:lang w:val="es-ES"/>
              </w:rPr>
              <w:t xml:space="preserve">rograma financiadas a través del </w:t>
            </w:r>
            <w:r>
              <w:rPr>
                <w:rFonts w:ascii="Times New Roman" w:hAnsi="Times New Roman" w:cs="Times New Roman"/>
                <w:sz w:val="24"/>
                <w:szCs w:val="24"/>
                <w:lang w:val="es-ES"/>
              </w:rPr>
              <w:t xml:space="preserve">programa </w:t>
            </w:r>
            <w:r w:rsidRPr="005D051B">
              <w:rPr>
                <w:rFonts w:ascii="Times New Roman" w:hAnsi="Times New Roman" w:cs="Times New Roman"/>
                <w:sz w:val="24"/>
                <w:szCs w:val="24"/>
                <w:lang w:val="es-ES"/>
              </w:rPr>
              <w:t xml:space="preserve">APAZU de la CONAGUA tendrán el objetivo de mejorar la calidad y la eficiencia del  servicio de abastecimiento de agua en un área determinada del área de prestación del servicio de SAPAO, específicamente, el sector </w:t>
            </w:r>
            <w:r>
              <w:rPr>
                <w:rFonts w:ascii="Times New Roman" w:hAnsi="Times New Roman" w:cs="Times New Roman"/>
                <w:sz w:val="24"/>
                <w:szCs w:val="24"/>
                <w:lang w:val="es-ES"/>
              </w:rPr>
              <w:t xml:space="preserve">de San Juan </w:t>
            </w:r>
            <w:r w:rsidRPr="005D051B">
              <w:rPr>
                <w:rFonts w:ascii="Times New Roman" w:hAnsi="Times New Roman" w:cs="Times New Roman"/>
                <w:sz w:val="24"/>
                <w:szCs w:val="24"/>
                <w:lang w:val="es-ES"/>
              </w:rPr>
              <w:t xml:space="preserve">Chapultepec, que representa el 20% del número total de conexiones de SAPAO y que abastece a </w:t>
            </w:r>
            <w:r w:rsidR="00F66F58">
              <w:rPr>
                <w:rFonts w:ascii="Times New Roman" w:hAnsi="Times New Roman" w:cs="Times New Roman"/>
                <w:sz w:val="24"/>
                <w:szCs w:val="24"/>
                <w:lang w:val="es-ES"/>
              </w:rPr>
              <w:t>50.000</w:t>
            </w:r>
            <w:r w:rsidRPr="005D051B">
              <w:rPr>
                <w:rFonts w:ascii="Times New Roman" w:hAnsi="Times New Roman" w:cs="Times New Roman"/>
                <w:sz w:val="24"/>
                <w:szCs w:val="24"/>
                <w:lang w:val="es-ES"/>
              </w:rPr>
              <w:t xml:space="preserve"> personas. Las actividades son las siguientes: a) la rehabilitación de los pozos que abastecen el sector; b) la construcción de conexiones entre los pozos y la planta de tratamiento de agua; c) la construcción de conexiones con las líneas de distribución principales; d) la construcción de una planta de tratamiento de agua; e) la construcción de una estación de bombeo; f) la construcción de una línea de transmisión desde la estación de bombeo hasta los tanques de almacenamiento; g) la rehabilitación y construcción de tanques de almacenamiento; h) la rehabilitación, optimización hidráulica y sectorización de la red de distribución de agua; i) la rehabilitación de las conexiones de agua y la instalación de </w:t>
            </w:r>
            <w:proofErr w:type="spellStart"/>
            <w:r w:rsidRPr="005D051B">
              <w:rPr>
                <w:rFonts w:ascii="Times New Roman" w:hAnsi="Times New Roman" w:cs="Times New Roman"/>
                <w:sz w:val="24"/>
                <w:szCs w:val="24"/>
                <w:lang w:val="es-ES"/>
              </w:rPr>
              <w:t>micromedidores</w:t>
            </w:r>
            <w:proofErr w:type="spellEnd"/>
            <w:r w:rsidRPr="005D051B">
              <w:rPr>
                <w:rFonts w:ascii="Times New Roman" w:hAnsi="Times New Roman" w:cs="Times New Roman"/>
                <w:sz w:val="24"/>
                <w:szCs w:val="24"/>
                <w:lang w:val="es-ES"/>
              </w:rPr>
              <w:t xml:space="preserve">; j) la instalación de </w:t>
            </w:r>
            <w:proofErr w:type="spellStart"/>
            <w:r w:rsidRPr="005D051B">
              <w:rPr>
                <w:rFonts w:ascii="Times New Roman" w:hAnsi="Times New Roman" w:cs="Times New Roman"/>
                <w:sz w:val="24"/>
                <w:szCs w:val="24"/>
                <w:lang w:val="es-ES"/>
              </w:rPr>
              <w:t>macromedidores</w:t>
            </w:r>
            <w:proofErr w:type="spellEnd"/>
            <w:r w:rsidRPr="005D051B">
              <w:rPr>
                <w:rFonts w:ascii="Times New Roman" w:hAnsi="Times New Roman" w:cs="Times New Roman"/>
                <w:sz w:val="24"/>
                <w:szCs w:val="24"/>
                <w:lang w:val="es-ES"/>
              </w:rPr>
              <w:t xml:space="preserve"> y manómetros; k) la actualización de los mapas de la red y del sistema comercial</w:t>
            </w:r>
            <w:r w:rsidR="00F66F58">
              <w:rPr>
                <w:rFonts w:ascii="Times New Roman" w:hAnsi="Times New Roman" w:cs="Times New Roman"/>
                <w:sz w:val="24"/>
                <w:szCs w:val="24"/>
                <w:lang w:val="es-ES"/>
              </w:rPr>
              <w:t>,</w:t>
            </w:r>
            <w:r w:rsidRPr="005D051B">
              <w:rPr>
                <w:rFonts w:ascii="Times New Roman" w:hAnsi="Times New Roman" w:cs="Times New Roman"/>
                <w:sz w:val="24"/>
                <w:szCs w:val="24"/>
                <w:lang w:val="es-ES"/>
              </w:rPr>
              <w:t xml:space="preserve"> y l) los estudios sobre </w:t>
            </w:r>
            <w:proofErr w:type="spellStart"/>
            <w:r w:rsidRPr="005D051B">
              <w:rPr>
                <w:rFonts w:ascii="Times New Roman" w:hAnsi="Times New Roman" w:cs="Times New Roman"/>
                <w:sz w:val="24"/>
                <w:szCs w:val="24"/>
                <w:lang w:val="es-ES"/>
              </w:rPr>
              <w:t>A</w:t>
            </w:r>
            <w:r>
              <w:rPr>
                <w:rFonts w:ascii="Times New Roman" w:hAnsi="Times New Roman" w:cs="Times New Roman"/>
                <w:sz w:val="24"/>
                <w:szCs w:val="24"/>
                <w:lang w:val="es-ES"/>
              </w:rPr>
              <w:t>y</w:t>
            </w:r>
            <w:r w:rsidRPr="005D051B">
              <w:rPr>
                <w:rFonts w:ascii="Times New Roman" w:hAnsi="Times New Roman" w:cs="Times New Roman"/>
                <w:sz w:val="24"/>
                <w:szCs w:val="24"/>
                <w:lang w:val="es-ES"/>
              </w:rPr>
              <w:t>S</w:t>
            </w:r>
            <w:proofErr w:type="spellEnd"/>
            <w:r w:rsidRPr="005D051B">
              <w:rPr>
                <w:rFonts w:ascii="Times New Roman" w:hAnsi="Times New Roman" w:cs="Times New Roman"/>
                <w:sz w:val="24"/>
                <w:szCs w:val="24"/>
                <w:lang w:val="es-ES"/>
              </w:rPr>
              <w:t>, la redacción de documentos de licitación y la supervisión de las obras.</w:t>
            </w:r>
          </w:p>
          <w:p w:rsidR="00B95826" w:rsidRPr="005D051B" w:rsidRDefault="00B95826" w:rsidP="00B95826">
            <w:pPr>
              <w:pStyle w:val="NoSpacing"/>
              <w:tabs>
                <w:tab w:val="left" w:pos="990"/>
              </w:tabs>
              <w:jc w:val="both"/>
              <w:rPr>
                <w:rFonts w:ascii="Times New Roman" w:hAnsi="Times New Roman" w:cs="Times New Roman"/>
                <w:sz w:val="24"/>
                <w:szCs w:val="24"/>
                <w:lang w:val="es-ES"/>
              </w:rPr>
            </w:pPr>
          </w:p>
          <w:p w:rsidR="00B95826" w:rsidRPr="005D051B" w:rsidRDefault="00B95826" w:rsidP="00B95826">
            <w:pPr>
              <w:pStyle w:val="NoSpacing"/>
              <w:numPr>
                <w:ilvl w:val="0"/>
                <w:numId w:val="2"/>
              </w:numPr>
              <w:tabs>
                <w:tab w:val="left" w:pos="1080"/>
              </w:tabs>
              <w:jc w:val="both"/>
              <w:rPr>
                <w:rFonts w:ascii="Times New Roman" w:hAnsi="Times New Roman" w:cs="Times New Roman"/>
                <w:i/>
                <w:sz w:val="24"/>
                <w:szCs w:val="24"/>
                <w:lang w:val="es-ES"/>
              </w:rPr>
            </w:pPr>
            <w:r w:rsidRPr="005D051B">
              <w:rPr>
                <w:rFonts w:ascii="Times New Roman" w:hAnsi="Times New Roman" w:cs="Times New Roman"/>
                <w:i/>
                <w:sz w:val="24"/>
                <w:szCs w:val="24"/>
                <w:lang w:val="es-ES"/>
              </w:rPr>
              <w:t>Área de resultados 3: Mejora de los servicios de agua en las ciudades intermedias</w:t>
            </w:r>
          </w:p>
          <w:p w:rsidR="00B95826" w:rsidRPr="005D051B" w:rsidRDefault="00B95826" w:rsidP="00B95826">
            <w:pPr>
              <w:pStyle w:val="NoSpacing"/>
              <w:tabs>
                <w:tab w:val="left" w:pos="1080"/>
              </w:tabs>
              <w:ind w:left="720"/>
              <w:jc w:val="both"/>
              <w:rPr>
                <w:rFonts w:ascii="Times New Roman" w:hAnsi="Times New Roman" w:cs="Times New Roman"/>
                <w:i/>
                <w:sz w:val="24"/>
                <w:szCs w:val="24"/>
                <w:lang w:val="es-ES"/>
              </w:rPr>
            </w:pPr>
          </w:p>
          <w:p w:rsidR="00B95826" w:rsidRPr="005D051B" w:rsidRDefault="00B95826" w:rsidP="00B95826">
            <w:pPr>
              <w:pStyle w:val="NoSpacing"/>
              <w:tabs>
                <w:tab w:val="left" w:pos="990"/>
              </w:tabs>
              <w:jc w:val="both"/>
              <w:rPr>
                <w:rFonts w:ascii="Times New Roman" w:hAnsi="Times New Roman" w:cs="Times New Roman"/>
                <w:sz w:val="24"/>
                <w:szCs w:val="24"/>
                <w:lang w:val="es-ES"/>
              </w:rPr>
            </w:pPr>
            <w:r w:rsidRPr="005D051B">
              <w:rPr>
                <w:rFonts w:ascii="Times New Roman" w:hAnsi="Times New Roman" w:cs="Times New Roman"/>
                <w:sz w:val="24"/>
                <w:szCs w:val="24"/>
                <w:lang w:val="es-ES"/>
              </w:rPr>
              <w:t xml:space="preserve">Las actividades del programa financiadas a través del </w:t>
            </w:r>
            <w:r>
              <w:rPr>
                <w:rFonts w:ascii="Times New Roman" w:hAnsi="Times New Roman" w:cs="Times New Roman"/>
                <w:sz w:val="24"/>
                <w:szCs w:val="24"/>
                <w:lang w:val="es-ES"/>
              </w:rPr>
              <w:t xml:space="preserve">programa </w:t>
            </w:r>
            <w:r w:rsidRPr="005D051B">
              <w:rPr>
                <w:rFonts w:ascii="Times New Roman" w:hAnsi="Times New Roman" w:cs="Times New Roman"/>
                <w:sz w:val="24"/>
                <w:szCs w:val="24"/>
                <w:lang w:val="es-ES"/>
              </w:rPr>
              <w:t>APAZU de la CONAGUA tendrán el objetivo de mejorar la calidad de los servicios de abastecimiento de agua y la sostenibilidad financiera de los organismos operadores de las 18 ciudades intermedias seleccionadas</w:t>
            </w:r>
            <w:r w:rsidRPr="005D051B">
              <w:rPr>
                <w:rFonts w:ascii="Times New Roman" w:hAnsi="Times New Roman" w:cs="Times New Roman"/>
                <w:vertAlign w:val="superscript"/>
                <w:lang w:val="es-ES"/>
              </w:rPr>
              <w:footnoteReference w:id="5"/>
            </w:r>
            <w:r w:rsidRPr="005D051B">
              <w:rPr>
                <w:rFonts w:ascii="Times New Roman" w:hAnsi="Times New Roman" w:cs="Times New Roman"/>
                <w:sz w:val="24"/>
                <w:szCs w:val="24"/>
                <w:lang w:val="es-ES"/>
              </w:rPr>
              <w:t xml:space="preserve">, situadas fuera de la zona metropolitana de Oaxaca. Este grupo de ciudades abarca las de más de </w:t>
            </w:r>
            <w:r w:rsidR="00F66F58">
              <w:rPr>
                <w:rFonts w:ascii="Times New Roman" w:hAnsi="Times New Roman" w:cs="Times New Roman"/>
                <w:sz w:val="24"/>
                <w:szCs w:val="24"/>
                <w:lang w:val="es-ES"/>
              </w:rPr>
              <w:t xml:space="preserve">15.000 </w:t>
            </w:r>
            <w:r w:rsidRPr="005D051B">
              <w:rPr>
                <w:rFonts w:ascii="Times New Roman" w:hAnsi="Times New Roman" w:cs="Times New Roman"/>
                <w:sz w:val="24"/>
                <w:szCs w:val="24"/>
                <w:lang w:val="es-ES"/>
              </w:rPr>
              <w:t>habitantes y aquellas cuyos sistemas de agua son operados por la CEA</w:t>
            </w:r>
            <w:r>
              <w:rPr>
                <w:rFonts w:ascii="Times New Roman" w:hAnsi="Times New Roman" w:cs="Times New Roman"/>
                <w:sz w:val="24"/>
                <w:szCs w:val="24"/>
                <w:lang w:val="es-ES"/>
              </w:rPr>
              <w:t xml:space="preserve"> en la actualidad</w:t>
            </w:r>
            <w:r w:rsidRPr="005D051B">
              <w:rPr>
                <w:rFonts w:ascii="Times New Roman" w:hAnsi="Times New Roman" w:cs="Times New Roman"/>
                <w:sz w:val="24"/>
                <w:szCs w:val="24"/>
                <w:lang w:val="es-ES"/>
              </w:rPr>
              <w:t xml:space="preserve">. Los organismos operadores participantes brindan servicios a cerca del 50% del total de la población urbana del estado que habita fuera de la zona metropolitana de </w:t>
            </w:r>
            <w:r w:rsidRPr="005D051B">
              <w:rPr>
                <w:rFonts w:ascii="Times New Roman" w:hAnsi="Times New Roman" w:cs="Times New Roman"/>
                <w:sz w:val="24"/>
                <w:szCs w:val="24"/>
                <w:lang w:val="es-ES"/>
              </w:rPr>
              <w:lastRenderedPageBreak/>
              <w:t xml:space="preserve">Oaxaca, </w:t>
            </w:r>
            <w:r>
              <w:rPr>
                <w:rFonts w:ascii="Times New Roman" w:hAnsi="Times New Roman" w:cs="Times New Roman"/>
                <w:sz w:val="24"/>
                <w:szCs w:val="24"/>
                <w:lang w:val="es-ES"/>
              </w:rPr>
              <w:t>correspondiendo a</w:t>
            </w:r>
            <w:r w:rsidRPr="005D051B">
              <w:rPr>
                <w:rFonts w:ascii="Times New Roman" w:hAnsi="Times New Roman" w:cs="Times New Roman"/>
                <w:sz w:val="24"/>
                <w:szCs w:val="24"/>
                <w:lang w:val="es-ES"/>
              </w:rPr>
              <w:t xml:space="preserve"> </w:t>
            </w:r>
            <w:r w:rsidR="00F66F58">
              <w:rPr>
                <w:rFonts w:ascii="Times New Roman" w:hAnsi="Times New Roman" w:cs="Times New Roman"/>
                <w:sz w:val="24"/>
                <w:szCs w:val="24"/>
                <w:lang w:val="es-ES"/>
              </w:rPr>
              <w:t>600.000</w:t>
            </w:r>
            <w:r w:rsidRPr="005D051B">
              <w:rPr>
                <w:rFonts w:ascii="Times New Roman" w:hAnsi="Times New Roman" w:cs="Times New Roman"/>
                <w:sz w:val="24"/>
                <w:szCs w:val="24"/>
                <w:lang w:val="es-ES"/>
              </w:rPr>
              <w:t xml:space="preserve"> beneficiarios. La planificación de las actividades que se financiarán en cada ciudad se basará en los diagnósticos y los planes maestros disponibles y se fortalec</w:t>
            </w:r>
            <w:r w:rsidR="0011600B">
              <w:rPr>
                <w:rFonts w:ascii="Times New Roman" w:hAnsi="Times New Roman" w:cs="Times New Roman"/>
                <w:sz w:val="24"/>
                <w:szCs w:val="24"/>
                <w:lang w:val="es-ES"/>
              </w:rPr>
              <w:t>erá a través del componente de Asistencia T</w:t>
            </w:r>
            <w:r w:rsidRPr="005D051B">
              <w:rPr>
                <w:rFonts w:ascii="Times New Roman" w:hAnsi="Times New Roman" w:cs="Times New Roman"/>
                <w:sz w:val="24"/>
                <w:szCs w:val="24"/>
                <w:lang w:val="es-ES"/>
              </w:rPr>
              <w:t xml:space="preserve">écnica. Las actividades tendrán en cuenta las condiciones y las necesidades de cada lugar, y pueden incluir las siguientes: a) la rehabilitación y ampliación de los sistemas de producción, almacenamiento y bombeo; b) la rehabilitación, optimización hidráulica y sectorización de la red de agua; c) la rehabilitación de las conexiones de agua; d) la instalación de </w:t>
            </w:r>
            <w:proofErr w:type="spellStart"/>
            <w:r w:rsidRPr="005D051B">
              <w:rPr>
                <w:rFonts w:ascii="Times New Roman" w:hAnsi="Times New Roman" w:cs="Times New Roman"/>
                <w:sz w:val="24"/>
                <w:szCs w:val="24"/>
                <w:lang w:val="es-ES"/>
              </w:rPr>
              <w:t>macromedidores</w:t>
            </w:r>
            <w:proofErr w:type="spellEnd"/>
            <w:r w:rsidRPr="005D051B">
              <w:rPr>
                <w:rFonts w:ascii="Times New Roman" w:hAnsi="Times New Roman" w:cs="Times New Roman"/>
                <w:sz w:val="24"/>
                <w:szCs w:val="24"/>
                <w:lang w:val="es-ES"/>
              </w:rPr>
              <w:t xml:space="preserve">, </w:t>
            </w:r>
            <w:proofErr w:type="spellStart"/>
            <w:r w:rsidRPr="005D051B">
              <w:rPr>
                <w:rFonts w:ascii="Times New Roman" w:hAnsi="Times New Roman" w:cs="Times New Roman"/>
                <w:sz w:val="24"/>
                <w:szCs w:val="24"/>
                <w:lang w:val="es-ES"/>
              </w:rPr>
              <w:t>micromedidores</w:t>
            </w:r>
            <w:proofErr w:type="spellEnd"/>
            <w:r w:rsidRPr="005D051B">
              <w:rPr>
                <w:rFonts w:ascii="Times New Roman" w:hAnsi="Times New Roman" w:cs="Times New Roman"/>
                <w:sz w:val="24"/>
                <w:szCs w:val="24"/>
                <w:lang w:val="es-ES"/>
              </w:rPr>
              <w:t xml:space="preserve"> y manómetros; e) la actualización de los mapas de la red y de los sistemas comerciales; f) la mejora de los sistemas de contabilidad</w:t>
            </w:r>
            <w:r w:rsidR="00F66F58">
              <w:rPr>
                <w:rFonts w:ascii="Times New Roman" w:hAnsi="Times New Roman" w:cs="Times New Roman"/>
                <w:sz w:val="24"/>
                <w:szCs w:val="24"/>
                <w:lang w:val="es-ES"/>
              </w:rPr>
              <w:t>,</w:t>
            </w:r>
            <w:r w:rsidRPr="005D051B">
              <w:rPr>
                <w:rFonts w:ascii="Times New Roman" w:hAnsi="Times New Roman" w:cs="Times New Roman"/>
                <w:sz w:val="24"/>
                <w:szCs w:val="24"/>
                <w:lang w:val="es-ES"/>
              </w:rPr>
              <w:t xml:space="preserve"> y g) los estudios sobre </w:t>
            </w:r>
            <w:proofErr w:type="spellStart"/>
            <w:r w:rsidRPr="005D051B">
              <w:rPr>
                <w:rFonts w:ascii="Times New Roman" w:hAnsi="Times New Roman" w:cs="Times New Roman"/>
                <w:sz w:val="24"/>
                <w:szCs w:val="24"/>
                <w:lang w:val="es-ES"/>
              </w:rPr>
              <w:t>A</w:t>
            </w:r>
            <w:r>
              <w:rPr>
                <w:rFonts w:ascii="Times New Roman" w:hAnsi="Times New Roman" w:cs="Times New Roman"/>
                <w:sz w:val="24"/>
                <w:szCs w:val="24"/>
                <w:lang w:val="es-ES"/>
              </w:rPr>
              <w:t>y</w:t>
            </w:r>
            <w:r w:rsidRPr="005D051B">
              <w:rPr>
                <w:rFonts w:ascii="Times New Roman" w:hAnsi="Times New Roman" w:cs="Times New Roman"/>
                <w:sz w:val="24"/>
                <w:szCs w:val="24"/>
                <w:lang w:val="es-ES"/>
              </w:rPr>
              <w:t>S</w:t>
            </w:r>
            <w:proofErr w:type="spellEnd"/>
            <w:r w:rsidRPr="005D051B">
              <w:rPr>
                <w:rFonts w:ascii="Times New Roman" w:hAnsi="Times New Roman" w:cs="Times New Roman"/>
                <w:sz w:val="24"/>
                <w:szCs w:val="24"/>
                <w:lang w:val="es-ES"/>
              </w:rPr>
              <w:t xml:space="preserve">, la redacción de documentos de licitación y la supervisión de las obras. CEA dará acceso a apoyo financiero a los organismos operadores seleccionados siempre y cuando cumplan con ciertas condiciones y resultados, según lo especificado en el acuerdo de resultados suscrito con la CEA. </w:t>
            </w:r>
          </w:p>
          <w:p w:rsidR="00B95826" w:rsidRPr="005D051B" w:rsidRDefault="00B95826" w:rsidP="00B95826">
            <w:pPr>
              <w:pStyle w:val="NoSpacing"/>
              <w:tabs>
                <w:tab w:val="left" w:pos="990"/>
              </w:tabs>
              <w:jc w:val="both"/>
              <w:rPr>
                <w:rFonts w:ascii="Times New Roman" w:hAnsi="Times New Roman" w:cs="Times New Roman"/>
                <w:sz w:val="24"/>
                <w:szCs w:val="24"/>
                <w:lang w:val="es-ES"/>
              </w:rPr>
            </w:pPr>
          </w:p>
          <w:p w:rsidR="00B95826" w:rsidRPr="005D051B" w:rsidRDefault="00B95826" w:rsidP="00B95826">
            <w:pPr>
              <w:pStyle w:val="NoSpacing"/>
              <w:numPr>
                <w:ilvl w:val="0"/>
                <w:numId w:val="3"/>
              </w:numPr>
              <w:tabs>
                <w:tab w:val="left" w:pos="1080"/>
              </w:tabs>
              <w:jc w:val="both"/>
              <w:rPr>
                <w:rFonts w:ascii="Times New Roman" w:hAnsi="Times New Roman" w:cs="Times New Roman"/>
                <w:i/>
                <w:sz w:val="24"/>
                <w:szCs w:val="24"/>
                <w:lang w:val="es-ES"/>
              </w:rPr>
            </w:pPr>
            <w:r w:rsidRPr="005D051B">
              <w:rPr>
                <w:rFonts w:ascii="Times New Roman" w:hAnsi="Times New Roman" w:cs="Times New Roman"/>
                <w:i/>
                <w:sz w:val="24"/>
                <w:szCs w:val="24"/>
                <w:lang w:val="es-ES"/>
              </w:rPr>
              <w:t>Área de resultados 4: Mejora de la información en las zonas rurales</w:t>
            </w:r>
          </w:p>
          <w:p w:rsidR="00B95826" w:rsidRPr="005D051B" w:rsidRDefault="00B95826" w:rsidP="00B95826">
            <w:pPr>
              <w:pStyle w:val="NoSpacing"/>
              <w:tabs>
                <w:tab w:val="left" w:pos="1080"/>
              </w:tabs>
              <w:ind w:left="360"/>
              <w:jc w:val="both"/>
              <w:rPr>
                <w:rFonts w:ascii="Times New Roman" w:hAnsi="Times New Roman" w:cs="Times New Roman"/>
                <w:i/>
                <w:sz w:val="24"/>
                <w:szCs w:val="24"/>
                <w:lang w:val="es-ES"/>
              </w:rPr>
            </w:pPr>
          </w:p>
          <w:p w:rsidR="00B95826" w:rsidRPr="005D051B" w:rsidRDefault="00B95826" w:rsidP="00B95826">
            <w:pPr>
              <w:pStyle w:val="NoSpacing"/>
              <w:tabs>
                <w:tab w:val="left" w:pos="990"/>
              </w:tabs>
              <w:jc w:val="both"/>
              <w:rPr>
                <w:rFonts w:ascii="Times New Roman" w:hAnsi="Times New Roman" w:cs="Times New Roman"/>
                <w:sz w:val="24"/>
                <w:szCs w:val="24"/>
                <w:lang w:val="es-ES"/>
              </w:rPr>
            </w:pPr>
            <w:r w:rsidRPr="005D051B">
              <w:rPr>
                <w:rFonts w:ascii="Times New Roman" w:hAnsi="Times New Roman" w:cs="Times New Roman"/>
                <w:sz w:val="24"/>
                <w:szCs w:val="24"/>
                <w:lang w:val="es-ES"/>
              </w:rPr>
              <w:t xml:space="preserve">Las actividades del programa se dirigirán a establecer un sistema de información que permita captar la situación y sostenibilidad de los servicios de </w:t>
            </w:r>
            <w:proofErr w:type="spellStart"/>
            <w:r w:rsidRPr="005D051B">
              <w:rPr>
                <w:rFonts w:ascii="Times New Roman" w:hAnsi="Times New Roman" w:cs="Times New Roman"/>
                <w:sz w:val="24"/>
                <w:szCs w:val="24"/>
                <w:lang w:val="es-ES"/>
              </w:rPr>
              <w:t>AyS</w:t>
            </w:r>
            <w:proofErr w:type="spellEnd"/>
            <w:r w:rsidRPr="005D051B">
              <w:rPr>
                <w:rFonts w:ascii="Times New Roman" w:hAnsi="Times New Roman" w:cs="Times New Roman"/>
                <w:sz w:val="24"/>
                <w:szCs w:val="24"/>
                <w:lang w:val="es-ES"/>
              </w:rPr>
              <w:t xml:space="preserve"> rurales en las 1</w:t>
            </w:r>
            <w:r w:rsidR="00F66F58">
              <w:rPr>
                <w:rFonts w:ascii="Times New Roman" w:hAnsi="Times New Roman" w:cs="Times New Roman"/>
                <w:sz w:val="24"/>
                <w:szCs w:val="24"/>
                <w:lang w:val="es-ES"/>
              </w:rPr>
              <w:t>.</w:t>
            </w:r>
            <w:r w:rsidRPr="005D051B">
              <w:rPr>
                <w:rFonts w:ascii="Times New Roman" w:hAnsi="Times New Roman" w:cs="Times New Roman"/>
                <w:sz w:val="24"/>
                <w:szCs w:val="24"/>
                <w:lang w:val="es-ES"/>
              </w:rPr>
              <w:t>130 localidades a lo largo del estado que cuentan con una población de entre 500 y 2</w:t>
            </w:r>
            <w:r w:rsidR="00F66F58">
              <w:rPr>
                <w:rFonts w:ascii="Times New Roman" w:hAnsi="Times New Roman" w:cs="Times New Roman"/>
                <w:sz w:val="24"/>
                <w:szCs w:val="24"/>
                <w:lang w:val="es-ES"/>
              </w:rPr>
              <w:t>.</w:t>
            </w:r>
            <w:r w:rsidRPr="005D051B">
              <w:rPr>
                <w:rFonts w:ascii="Times New Roman" w:hAnsi="Times New Roman" w:cs="Times New Roman"/>
                <w:sz w:val="24"/>
                <w:szCs w:val="24"/>
                <w:lang w:val="es-ES"/>
              </w:rPr>
              <w:t>500 habitantes. Dichas actividades incluyen las siguientes: a) el suministro de equipos e infraestructura de tecnologías de la información y la capacitación del personal en el uso de dichos sistemas de información</w:t>
            </w:r>
            <w:r w:rsidR="00F66F58">
              <w:rPr>
                <w:rFonts w:ascii="Times New Roman" w:hAnsi="Times New Roman" w:cs="Times New Roman"/>
                <w:sz w:val="24"/>
                <w:szCs w:val="24"/>
                <w:lang w:val="es-ES"/>
              </w:rPr>
              <w:t>,</w:t>
            </w:r>
            <w:r w:rsidRPr="005D051B">
              <w:rPr>
                <w:rFonts w:ascii="Times New Roman" w:hAnsi="Times New Roman" w:cs="Times New Roman"/>
                <w:sz w:val="24"/>
                <w:szCs w:val="24"/>
                <w:lang w:val="es-ES"/>
              </w:rPr>
              <w:t xml:space="preserve"> y b) la recopilación de datos.</w:t>
            </w:r>
          </w:p>
          <w:p w:rsidR="00B95826" w:rsidRPr="005D051B" w:rsidRDefault="00B95826" w:rsidP="00B95826">
            <w:pPr>
              <w:pStyle w:val="NoSpacing"/>
              <w:tabs>
                <w:tab w:val="left" w:pos="450"/>
                <w:tab w:val="left" w:pos="990"/>
              </w:tabs>
              <w:autoSpaceDE w:val="0"/>
              <w:autoSpaceDN w:val="0"/>
              <w:adjustRightInd w:val="0"/>
              <w:ind w:left="360"/>
              <w:jc w:val="both"/>
              <w:rPr>
                <w:rFonts w:ascii="Times New Roman" w:hAnsi="Times New Roman" w:cs="Times New Roman"/>
                <w:sz w:val="24"/>
                <w:szCs w:val="24"/>
                <w:lang w:val="es-ES"/>
              </w:rPr>
            </w:pPr>
          </w:p>
          <w:p w:rsidR="00B95826" w:rsidRDefault="00B95826" w:rsidP="00B95826">
            <w:pPr>
              <w:pStyle w:val="NoSpacing"/>
              <w:tabs>
                <w:tab w:val="left" w:pos="990"/>
              </w:tabs>
              <w:jc w:val="both"/>
              <w:rPr>
                <w:rFonts w:ascii="Times New Roman" w:hAnsi="Times New Roman" w:cs="Times New Roman"/>
                <w:b/>
                <w:i/>
                <w:sz w:val="24"/>
                <w:szCs w:val="24"/>
                <w:lang w:val="es-ES"/>
              </w:rPr>
            </w:pPr>
            <w:r>
              <w:rPr>
                <w:rFonts w:ascii="Times New Roman" w:hAnsi="Times New Roman" w:cs="Times New Roman"/>
                <w:b/>
                <w:i/>
                <w:sz w:val="24"/>
                <w:szCs w:val="24"/>
                <w:lang w:val="es-ES"/>
              </w:rPr>
              <w:t>Descripción de las a</w:t>
            </w:r>
            <w:r w:rsidR="0011600B">
              <w:rPr>
                <w:rFonts w:ascii="Times New Roman" w:hAnsi="Times New Roman" w:cs="Times New Roman"/>
                <w:b/>
                <w:i/>
                <w:sz w:val="24"/>
                <w:szCs w:val="24"/>
                <w:lang w:val="es-ES"/>
              </w:rPr>
              <w:t>ctividades del componente de Asistencia T</w:t>
            </w:r>
            <w:r w:rsidRPr="005D051B">
              <w:rPr>
                <w:rFonts w:ascii="Times New Roman" w:hAnsi="Times New Roman" w:cs="Times New Roman"/>
                <w:b/>
                <w:i/>
                <w:sz w:val="24"/>
                <w:szCs w:val="24"/>
                <w:lang w:val="es-ES"/>
              </w:rPr>
              <w:t>écnica</w:t>
            </w:r>
            <w:r>
              <w:rPr>
                <w:rFonts w:ascii="Times New Roman" w:hAnsi="Times New Roman" w:cs="Times New Roman"/>
                <w:b/>
                <w:i/>
                <w:sz w:val="24"/>
                <w:szCs w:val="24"/>
                <w:lang w:val="es-ES"/>
              </w:rPr>
              <w:t xml:space="preserve"> (para el que aplican las políticas de salvaguardas)</w:t>
            </w:r>
          </w:p>
          <w:p w:rsidR="00B95826" w:rsidRDefault="00B95826" w:rsidP="00B95826">
            <w:pPr>
              <w:pStyle w:val="NoSpacing"/>
              <w:tabs>
                <w:tab w:val="left" w:pos="990"/>
              </w:tabs>
              <w:jc w:val="both"/>
              <w:rPr>
                <w:rFonts w:ascii="Times New Roman" w:hAnsi="Times New Roman" w:cs="Times New Roman"/>
                <w:sz w:val="24"/>
                <w:szCs w:val="24"/>
                <w:lang w:val="es-ES"/>
              </w:rPr>
            </w:pPr>
          </w:p>
          <w:p w:rsidR="00B95826" w:rsidRPr="005D051B" w:rsidRDefault="00B409B5" w:rsidP="00B95826">
            <w:pPr>
              <w:pStyle w:val="NoSpacing"/>
              <w:tabs>
                <w:tab w:val="left" w:pos="990"/>
              </w:tabs>
              <w:jc w:val="both"/>
              <w:rPr>
                <w:rFonts w:ascii="Times New Roman" w:hAnsi="Times New Roman" w:cs="Times New Roman"/>
                <w:sz w:val="24"/>
                <w:szCs w:val="24"/>
                <w:lang w:val="es-ES"/>
              </w:rPr>
            </w:pPr>
            <w:r>
              <w:rPr>
                <w:rFonts w:ascii="Times New Roman" w:hAnsi="Times New Roman" w:cs="Times New Roman"/>
                <w:sz w:val="24"/>
                <w:szCs w:val="24"/>
                <w:lang w:val="es-ES"/>
              </w:rPr>
              <w:t>Las actividades</w:t>
            </w:r>
            <w:r w:rsidR="00B95826" w:rsidRPr="005D051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financiadas a través </w:t>
            </w:r>
            <w:r w:rsidR="00B95826" w:rsidRPr="005D051B">
              <w:rPr>
                <w:rFonts w:ascii="Times New Roman" w:hAnsi="Times New Roman" w:cs="Times New Roman"/>
                <w:sz w:val="24"/>
                <w:szCs w:val="24"/>
                <w:lang w:val="es-ES"/>
              </w:rPr>
              <w:t xml:space="preserve">del componente de </w:t>
            </w:r>
            <w:r w:rsidR="0011600B">
              <w:rPr>
                <w:rFonts w:ascii="Times New Roman" w:hAnsi="Times New Roman" w:cs="Times New Roman"/>
                <w:sz w:val="24"/>
                <w:szCs w:val="24"/>
                <w:lang w:val="es-ES"/>
              </w:rPr>
              <w:t>Asistencia T</w:t>
            </w:r>
            <w:r w:rsidR="00B95826">
              <w:rPr>
                <w:rFonts w:ascii="Times New Roman" w:hAnsi="Times New Roman" w:cs="Times New Roman"/>
                <w:sz w:val="24"/>
                <w:szCs w:val="24"/>
                <w:lang w:val="es-ES"/>
              </w:rPr>
              <w:t>écnica</w:t>
            </w:r>
            <w:r w:rsidR="00B95826" w:rsidRPr="005D051B">
              <w:rPr>
                <w:rFonts w:ascii="Times New Roman" w:hAnsi="Times New Roman" w:cs="Times New Roman"/>
                <w:sz w:val="24"/>
                <w:szCs w:val="24"/>
                <w:lang w:val="es-ES"/>
              </w:rPr>
              <w:t xml:space="preserve"> respald</w:t>
            </w:r>
            <w:r w:rsidR="00B95826">
              <w:rPr>
                <w:rFonts w:ascii="Times New Roman" w:hAnsi="Times New Roman" w:cs="Times New Roman"/>
                <w:sz w:val="24"/>
                <w:szCs w:val="24"/>
                <w:lang w:val="es-ES"/>
              </w:rPr>
              <w:t>a</w:t>
            </w:r>
            <w:r>
              <w:rPr>
                <w:rFonts w:ascii="Times New Roman" w:hAnsi="Times New Roman" w:cs="Times New Roman"/>
                <w:sz w:val="24"/>
                <w:szCs w:val="24"/>
                <w:lang w:val="es-ES"/>
              </w:rPr>
              <w:t>rán</w:t>
            </w:r>
            <w:r w:rsidR="00B95826" w:rsidRPr="005D051B">
              <w:rPr>
                <w:rFonts w:ascii="Times New Roman" w:hAnsi="Times New Roman" w:cs="Times New Roman"/>
                <w:sz w:val="24"/>
                <w:szCs w:val="24"/>
                <w:lang w:val="es-ES"/>
              </w:rPr>
              <w:t xml:space="preserve"> el logro de </w:t>
            </w:r>
            <w:r>
              <w:rPr>
                <w:rFonts w:ascii="Times New Roman" w:hAnsi="Times New Roman" w:cs="Times New Roman"/>
                <w:sz w:val="24"/>
                <w:szCs w:val="24"/>
                <w:lang w:val="es-ES"/>
              </w:rPr>
              <w:t>los</w:t>
            </w:r>
            <w:r w:rsidR="00B95826" w:rsidRPr="005D051B">
              <w:rPr>
                <w:rFonts w:ascii="Times New Roman" w:hAnsi="Times New Roman" w:cs="Times New Roman"/>
                <w:sz w:val="24"/>
                <w:szCs w:val="24"/>
                <w:lang w:val="es-ES"/>
              </w:rPr>
              <w:t xml:space="preserve"> objetivos</w:t>
            </w:r>
            <w:r>
              <w:rPr>
                <w:rFonts w:ascii="Times New Roman" w:hAnsi="Times New Roman" w:cs="Times New Roman"/>
                <w:sz w:val="24"/>
                <w:szCs w:val="24"/>
                <w:lang w:val="es-ES"/>
              </w:rPr>
              <w:t xml:space="preserve"> del Programa</w:t>
            </w:r>
            <w:r w:rsidR="00B95826" w:rsidRPr="005D051B">
              <w:rPr>
                <w:rFonts w:ascii="Times New Roman" w:hAnsi="Times New Roman" w:cs="Times New Roman"/>
                <w:sz w:val="24"/>
                <w:szCs w:val="24"/>
                <w:lang w:val="es-ES"/>
              </w:rPr>
              <w:t xml:space="preserve">. </w:t>
            </w:r>
            <w:r w:rsidR="00C20CE4">
              <w:rPr>
                <w:rFonts w:ascii="Times New Roman" w:hAnsi="Times New Roman" w:cs="Times New Roman"/>
                <w:sz w:val="24"/>
                <w:szCs w:val="24"/>
                <w:lang w:val="es-ES"/>
              </w:rPr>
              <w:t>Las p</w:t>
            </w:r>
            <w:r w:rsidR="00C20CE4" w:rsidRPr="00C20CE4">
              <w:rPr>
                <w:rFonts w:ascii="Times New Roman" w:hAnsi="Times New Roman" w:cs="Times New Roman"/>
                <w:sz w:val="24"/>
                <w:szCs w:val="24"/>
                <w:lang w:val="es-ES"/>
              </w:rPr>
              <w:t xml:space="preserve">olíticas ambientales y sociales del Banco Mundial, como se describe en la sección </w:t>
            </w:r>
            <w:r w:rsidR="00A83F9B">
              <w:rPr>
                <w:rFonts w:ascii="Times New Roman" w:hAnsi="Times New Roman" w:cs="Times New Roman"/>
                <w:sz w:val="24"/>
                <w:szCs w:val="24"/>
                <w:lang w:val="es-ES"/>
              </w:rPr>
              <w:t>6</w:t>
            </w:r>
            <w:r w:rsidR="00C20CE4" w:rsidRPr="00C20CE4">
              <w:rPr>
                <w:rFonts w:ascii="Times New Roman" w:hAnsi="Times New Roman" w:cs="Times New Roman"/>
                <w:sz w:val="24"/>
                <w:szCs w:val="24"/>
                <w:lang w:val="es-ES"/>
              </w:rPr>
              <w:t xml:space="preserve"> se aplicarán únicamente a este componente.</w:t>
            </w:r>
            <w:r w:rsidR="00C20CE4">
              <w:rPr>
                <w:rFonts w:ascii="Times New Roman" w:hAnsi="Times New Roman" w:cs="Times New Roman"/>
                <w:sz w:val="24"/>
                <w:szCs w:val="24"/>
                <w:lang w:val="es-ES"/>
              </w:rPr>
              <w:t xml:space="preserve"> </w:t>
            </w:r>
            <w:r>
              <w:rPr>
                <w:rFonts w:ascii="Times New Roman" w:hAnsi="Times New Roman" w:cs="Times New Roman"/>
                <w:sz w:val="24"/>
                <w:szCs w:val="24"/>
                <w:lang w:val="es-ES"/>
              </w:rPr>
              <w:t>Estas actividades consisten en</w:t>
            </w:r>
            <w:r w:rsidR="00B95826" w:rsidRPr="005D051B">
              <w:rPr>
                <w:rFonts w:ascii="Times New Roman" w:hAnsi="Times New Roman" w:cs="Times New Roman"/>
                <w:sz w:val="24"/>
                <w:szCs w:val="24"/>
                <w:lang w:val="es-ES"/>
              </w:rPr>
              <w:t xml:space="preserve"> </w:t>
            </w:r>
            <w:r>
              <w:rPr>
                <w:rFonts w:ascii="Times New Roman" w:hAnsi="Times New Roman" w:cs="Times New Roman"/>
                <w:sz w:val="24"/>
                <w:szCs w:val="24"/>
                <w:lang w:val="es-ES"/>
              </w:rPr>
              <w:t>un</w:t>
            </w:r>
            <w:r w:rsidR="00B95826" w:rsidRPr="005D051B">
              <w:rPr>
                <w:rFonts w:ascii="Times New Roman" w:hAnsi="Times New Roman" w:cs="Times New Roman"/>
                <w:sz w:val="24"/>
                <w:szCs w:val="24"/>
                <w:lang w:val="es-ES"/>
              </w:rPr>
              <w:t xml:space="preserve"> apoyo estratégico para la mejora de los servicios y para estudios sectoriales esenciales para mejorar el desempeño del Programa e incrementar las probabilidades de lograr sus objetivos: i) </w:t>
            </w:r>
            <w:r w:rsidR="00B95826">
              <w:rPr>
                <w:rFonts w:ascii="Times New Roman" w:hAnsi="Times New Roman" w:cs="Times New Roman"/>
                <w:sz w:val="24"/>
                <w:szCs w:val="24"/>
                <w:lang w:val="es-ES"/>
              </w:rPr>
              <w:t>a</w:t>
            </w:r>
            <w:r w:rsidR="00B95826" w:rsidRPr="005D051B">
              <w:rPr>
                <w:rFonts w:ascii="Times New Roman" w:hAnsi="Times New Roman" w:cs="Times New Roman"/>
                <w:sz w:val="24"/>
                <w:szCs w:val="24"/>
                <w:lang w:val="es-ES"/>
              </w:rPr>
              <w:t xml:space="preserve">sistencia técnica estratégica plurianual a la CEA, SAPAO y a </w:t>
            </w:r>
            <w:r w:rsidR="00B95826">
              <w:rPr>
                <w:rFonts w:ascii="Times New Roman" w:hAnsi="Times New Roman" w:cs="Times New Roman"/>
                <w:sz w:val="24"/>
                <w:szCs w:val="24"/>
                <w:lang w:val="es-ES"/>
              </w:rPr>
              <w:t xml:space="preserve">los </w:t>
            </w:r>
            <w:r w:rsidR="00B95826" w:rsidRPr="005D051B">
              <w:rPr>
                <w:rFonts w:ascii="Times New Roman" w:hAnsi="Times New Roman" w:cs="Times New Roman"/>
                <w:sz w:val="24"/>
                <w:szCs w:val="24"/>
                <w:lang w:val="es-ES"/>
              </w:rPr>
              <w:t xml:space="preserve">organismos operadores seleccionados de las ciudades intermedias mediante la contratación de un operador profesional o una empresa consultora independiente, con el objetivo de mejorar la planificación de las actividades, examinar la calidad de los pliegos de licitación y mejorar la gestión operacional, comercial, social y ambiental en los sistemas de abastecimiento de agua; ii) </w:t>
            </w:r>
            <w:r w:rsidR="00B95826">
              <w:rPr>
                <w:rFonts w:ascii="Times New Roman" w:hAnsi="Times New Roman" w:cs="Times New Roman"/>
                <w:sz w:val="24"/>
                <w:szCs w:val="24"/>
                <w:lang w:val="es-ES"/>
              </w:rPr>
              <w:t>e</w:t>
            </w:r>
            <w:r w:rsidR="00B95826" w:rsidRPr="005D051B">
              <w:rPr>
                <w:rFonts w:ascii="Times New Roman" w:hAnsi="Times New Roman" w:cs="Times New Roman"/>
                <w:sz w:val="24"/>
                <w:szCs w:val="24"/>
                <w:lang w:val="es-ES"/>
              </w:rPr>
              <w:t xml:space="preserve">studios sobre el sector de </w:t>
            </w:r>
            <w:proofErr w:type="spellStart"/>
            <w:r w:rsidR="00B95826" w:rsidRPr="005D051B">
              <w:rPr>
                <w:rFonts w:ascii="Times New Roman" w:hAnsi="Times New Roman" w:cs="Times New Roman"/>
                <w:sz w:val="24"/>
                <w:szCs w:val="24"/>
                <w:lang w:val="es-ES"/>
              </w:rPr>
              <w:t>AyS</w:t>
            </w:r>
            <w:proofErr w:type="spellEnd"/>
            <w:r w:rsidR="00B95826" w:rsidRPr="005D051B">
              <w:rPr>
                <w:rFonts w:ascii="Times New Roman" w:hAnsi="Times New Roman" w:cs="Times New Roman"/>
                <w:sz w:val="24"/>
                <w:szCs w:val="24"/>
                <w:lang w:val="es-ES"/>
              </w:rPr>
              <w:t xml:space="preserve"> diseñados para apoyar la modernización de su marco institucional, a saber: a) una estrategia  de agua y saneamiento en zonas rurales y urbanas para desarrollar y organizar el sector en el largo plazo, incluyendo un diagnóstico del sector </w:t>
            </w:r>
            <w:proofErr w:type="spellStart"/>
            <w:r w:rsidR="00B95826" w:rsidRPr="005D051B">
              <w:rPr>
                <w:rFonts w:ascii="Times New Roman" w:hAnsi="Times New Roman" w:cs="Times New Roman"/>
                <w:sz w:val="24"/>
                <w:szCs w:val="24"/>
                <w:lang w:val="es-ES"/>
              </w:rPr>
              <w:t>AyS</w:t>
            </w:r>
            <w:proofErr w:type="spellEnd"/>
            <w:r w:rsidR="00B95826" w:rsidRPr="005D051B">
              <w:rPr>
                <w:rFonts w:ascii="Times New Roman" w:hAnsi="Times New Roman" w:cs="Times New Roman"/>
                <w:sz w:val="24"/>
                <w:szCs w:val="24"/>
                <w:lang w:val="es-ES"/>
              </w:rPr>
              <w:t xml:space="preserve"> rural en Oaxaca, la definición de arreglos institucionales óptimos para promover la provisión de </w:t>
            </w:r>
            <w:proofErr w:type="spellStart"/>
            <w:r w:rsidR="00B95826" w:rsidRPr="005D051B">
              <w:rPr>
                <w:rFonts w:ascii="Times New Roman" w:hAnsi="Times New Roman" w:cs="Times New Roman"/>
                <w:sz w:val="24"/>
                <w:szCs w:val="24"/>
                <w:lang w:val="es-ES"/>
              </w:rPr>
              <w:t>AyS</w:t>
            </w:r>
            <w:proofErr w:type="spellEnd"/>
            <w:r w:rsidR="00B95826" w:rsidRPr="005D051B">
              <w:rPr>
                <w:rFonts w:ascii="Times New Roman" w:hAnsi="Times New Roman" w:cs="Times New Roman"/>
                <w:sz w:val="24"/>
                <w:szCs w:val="24"/>
                <w:lang w:val="es-ES"/>
              </w:rPr>
              <w:t xml:space="preserve"> rural sostenible en el estado, la revisión de </w:t>
            </w:r>
            <w:r w:rsidR="00B95826">
              <w:rPr>
                <w:rFonts w:ascii="Times New Roman" w:hAnsi="Times New Roman" w:cs="Times New Roman"/>
                <w:sz w:val="24"/>
                <w:szCs w:val="24"/>
                <w:lang w:val="es-ES"/>
              </w:rPr>
              <w:t>los enfoques</w:t>
            </w:r>
            <w:r w:rsidR="00B95826" w:rsidRPr="005D051B">
              <w:rPr>
                <w:rFonts w:ascii="Times New Roman" w:hAnsi="Times New Roman" w:cs="Times New Roman"/>
                <w:sz w:val="24"/>
                <w:szCs w:val="24"/>
                <w:lang w:val="es-ES"/>
              </w:rPr>
              <w:t xml:space="preserve"> actuales </w:t>
            </w:r>
            <w:r w:rsidR="00B95826">
              <w:rPr>
                <w:rFonts w:ascii="Times New Roman" w:hAnsi="Times New Roman" w:cs="Times New Roman"/>
                <w:sz w:val="24"/>
                <w:szCs w:val="24"/>
                <w:lang w:val="es-ES"/>
              </w:rPr>
              <w:t xml:space="preserve">para </w:t>
            </w:r>
            <w:r w:rsidR="00B95826" w:rsidRPr="005D051B">
              <w:rPr>
                <w:rFonts w:ascii="Times New Roman" w:hAnsi="Times New Roman" w:cs="Times New Roman"/>
                <w:sz w:val="24"/>
                <w:szCs w:val="24"/>
                <w:lang w:val="es-ES"/>
              </w:rPr>
              <w:t>el saneamiento</w:t>
            </w:r>
            <w:r w:rsidR="00B95826">
              <w:rPr>
                <w:rFonts w:ascii="Times New Roman" w:hAnsi="Times New Roman" w:cs="Times New Roman"/>
                <w:sz w:val="24"/>
                <w:szCs w:val="24"/>
                <w:lang w:val="es-ES"/>
              </w:rPr>
              <w:t xml:space="preserve"> urbano</w:t>
            </w:r>
            <w:r w:rsidR="00B95826" w:rsidRPr="005D051B">
              <w:rPr>
                <w:rFonts w:ascii="Times New Roman" w:hAnsi="Times New Roman" w:cs="Times New Roman"/>
                <w:sz w:val="24"/>
                <w:szCs w:val="24"/>
                <w:lang w:val="es-ES"/>
              </w:rPr>
              <w:t xml:space="preserve"> y la</w:t>
            </w:r>
            <w:r w:rsidR="00B95826">
              <w:rPr>
                <w:rFonts w:ascii="Times New Roman" w:hAnsi="Times New Roman" w:cs="Times New Roman"/>
                <w:sz w:val="24"/>
                <w:szCs w:val="24"/>
                <w:lang w:val="es-ES"/>
              </w:rPr>
              <w:t xml:space="preserve"> gestión de</w:t>
            </w:r>
            <w:r w:rsidR="00B95826" w:rsidRPr="005D051B">
              <w:rPr>
                <w:rFonts w:ascii="Times New Roman" w:hAnsi="Times New Roman" w:cs="Times New Roman"/>
                <w:sz w:val="24"/>
                <w:szCs w:val="24"/>
                <w:lang w:val="es-ES"/>
              </w:rPr>
              <w:t xml:space="preserve"> aguas residuales; b) la realización de un examen del gasto público en el sector de </w:t>
            </w:r>
            <w:proofErr w:type="spellStart"/>
            <w:r w:rsidR="00B95826" w:rsidRPr="005D051B">
              <w:rPr>
                <w:rFonts w:ascii="Times New Roman" w:hAnsi="Times New Roman" w:cs="Times New Roman"/>
                <w:sz w:val="24"/>
                <w:szCs w:val="24"/>
                <w:lang w:val="es-ES"/>
              </w:rPr>
              <w:t>AyS</w:t>
            </w:r>
            <w:proofErr w:type="spellEnd"/>
            <w:r w:rsidR="00B95826" w:rsidRPr="005D051B">
              <w:rPr>
                <w:rFonts w:ascii="Times New Roman" w:hAnsi="Times New Roman" w:cs="Times New Roman"/>
                <w:sz w:val="24"/>
                <w:szCs w:val="24"/>
                <w:lang w:val="es-ES"/>
              </w:rPr>
              <w:t xml:space="preserve"> de Oaxaca que informe la formulación de dichas estrategias</w:t>
            </w:r>
            <w:r w:rsidR="00F66F58">
              <w:rPr>
                <w:rFonts w:ascii="Times New Roman" w:hAnsi="Times New Roman" w:cs="Times New Roman"/>
                <w:sz w:val="24"/>
                <w:szCs w:val="24"/>
                <w:lang w:val="es-ES"/>
              </w:rPr>
              <w:t xml:space="preserve">, </w:t>
            </w:r>
            <w:r w:rsidR="00B95826" w:rsidRPr="005D051B">
              <w:rPr>
                <w:rFonts w:ascii="Times New Roman" w:hAnsi="Times New Roman" w:cs="Times New Roman"/>
                <w:sz w:val="24"/>
                <w:szCs w:val="24"/>
                <w:lang w:val="es-ES"/>
              </w:rPr>
              <w:t xml:space="preserve">y c) el diseño de </w:t>
            </w:r>
            <w:r w:rsidR="00B95826">
              <w:rPr>
                <w:rFonts w:ascii="Times New Roman" w:hAnsi="Times New Roman" w:cs="Times New Roman"/>
                <w:sz w:val="24"/>
                <w:szCs w:val="24"/>
                <w:lang w:val="es-ES"/>
              </w:rPr>
              <w:t xml:space="preserve">enfoques </w:t>
            </w:r>
            <w:r w:rsidR="00B95826" w:rsidRPr="005D051B">
              <w:rPr>
                <w:rFonts w:ascii="Times New Roman" w:hAnsi="Times New Roman" w:cs="Times New Roman"/>
                <w:sz w:val="24"/>
                <w:szCs w:val="24"/>
                <w:lang w:val="es-ES"/>
              </w:rPr>
              <w:t xml:space="preserve"> experimentales para </w:t>
            </w:r>
            <w:r w:rsidR="00B95826">
              <w:rPr>
                <w:rFonts w:ascii="Times New Roman" w:hAnsi="Times New Roman" w:cs="Times New Roman"/>
                <w:sz w:val="24"/>
                <w:szCs w:val="24"/>
                <w:lang w:val="es-ES"/>
              </w:rPr>
              <w:t>implementar</w:t>
            </w:r>
            <w:r w:rsidR="00B95826" w:rsidRPr="005D051B">
              <w:rPr>
                <w:rFonts w:ascii="Times New Roman" w:hAnsi="Times New Roman" w:cs="Times New Roman"/>
                <w:sz w:val="24"/>
                <w:szCs w:val="24"/>
                <w:lang w:val="es-ES"/>
              </w:rPr>
              <w:t xml:space="preserve"> servicios de </w:t>
            </w:r>
            <w:proofErr w:type="spellStart"/>
            <w:r w:rsidR="00B95826" w:rsidRPr="005D051B">
              <w:rPr>
                <w:rFonts w:ascii="Times New Roman" w:hAnsi="Times New Roman" w:cs="Times New Roman"/>
                <w:sz w:val="24"/>
                <w:szCs w:val="24"/>
                <w:lang w:val="es-ES"/>
              </w:rPr>
              <w:t>AyS</w:t>
            </w:r>
            <w:proofErr w:type="spellEnd"/>
            <w:r w:rsidR="00B95826" w:rsidRPr="005D051B">
              <w:rPr>
                <w:rFonts w:ascii="Times New Roman" w:hAnsi="Times New Roman" w:cs="Times New Roman"/>
                <w:sz w:val="24"/>
                <w:szCs w:val="24"/>
                <w:lang w:val="es-ES"/>
              </w:rPr>
              <w:t xml:space="preserve"> sostenible</w:t>
            </w:r>
            <w:r w:rsidR="00B95826">
              <w:rPr>
                <w:rFonts w:ascii="Times New Roman" w:hAnsi="Times New Roman" w:cs="Times New Roman"/>
                <w:sz w:val="24"/>
                <w:szCs w:val="24"/>
                <w:lang w:val="es-ES"/>
              </w:rPr>
              <w:t>s</w:t>
            </w:r>
            <w:r w:rsidR="00B95826" w:rsidRPr="005D051B">
              <w:rPr>
                <w:rFonts w:ascii="Times New Roman" w:hAnsi="Times New Roman" w:cs="Times New Roman"/>
                <w:sz w:val="24"/>
                <w:szCs w:val="24"/>
                <w:lang w:val="es-ES"/>
              </w:rPr>
              <w:t xml:space="preserve"> en las zonas rurales</w:t>
            </w:r>
            <w:r w:rsidR="00B95826">
              <w:rPr>
                <w:rFonts w:ascii="Times New Roman" w:hAnsi="Times New Roman" w:cs="Times New Roman"/>
                <w:sz w:val="24"/>
                <w:szCs w:val="24"/>
                <w:lang w:val="es-ES"/>
              </w:rPr>
              <w:t xml:space="preserve"> y brindarles apoyo</w:t>
            </w:r>
            <w:r>
              <w:rPr>
                <w:rFonts w:ascii="Times New Roman" w:hAnsi="Times New Roman" w:cs="Times New Roman"/>
                <w:sz w:val="24"/>
                <w:szCs w:val="24"/>
                <w:lang w:val="es-ES"/>
              </w:rPr>
              <w:t>;</w:t>
            </w:r>
            <w:r w:rsidR="00B95826" w:rsidRPr="005D051B">
              <w:rPr>
                <w:rFonts w:ascii="Times New Roman" w:hAnsi="Times New Roman" w:cs="Times New Roman"/>
                <w:sz w:val="24"/>
                <w:szCs w:val="24"/>
                <w:lang w:val="es-ES"/>
              </w:rPr>
              <w:t xml:space="preserve"> iii) </w:t>
            </w:r>
            <w:r w:rsidR="00B95826">
              <w:rPr>
                <w:rFonts w:ascii="Times New Roman" w:hAnsi="Times New Roman" w:cs="Times New Roman"/>
                <w:sz w:val="24"/>
                <w:szCs w:val="24"/>
                <w:lang w:val="es-ES"/>
              </w:rPr>
              <w:t>el</w:t>
            </w:r>
            <w:r>
              <w:rPr>
                <w:rFonts w:ascii="Times New Roman" w:hAnsi="Times New Roman" w:cs="Times New Roman"/>
                <w:sz w:val="24"/>
                <w:szCs w:val="24"/>
                <w:lang w:val="es-ES"/>
              </w:rPr>
              <w:t xml:space="preserve"> </w:t>
            </w:r>
            <w:r w:rsidR="00B95826" w:rsidRPr="005D051B">
              <w:rPr>
                <w:rFonts w:ascii="Times New Roman" w:hAnsi="Times New Roman" w:cs="Times New Roman"/>
                <w:sz w:val="24"/>
                <w:szCs w:val="24"/>
                <w:lang w:val="es-ES"/>
              </w:rPr>
              <w:t xml:space="preserve">componente de </w:t>
            </w:r>
            <w:r w:rsidR="0011600B">
              <w:rPr>
                <w:rFonts w:ascii="Times New Roman" w:hAnsi="Times New Roman" w:cs="Times New Roman"/>
                <w:sz w:val="24"/>
                <w:szCs w:val="24"/>
                <w:lang w:val="es-ES"/>
              </w:rPr>
              <w:t>Asistencia T</w:t>
            </w:r>
            <w:r>
              <w:rPr>
                <w:rFonts w:ascii="Times New Roman" w:hAnsi="Times New Roman" w:cs="Times New Roman"/>
                <w:sz w:val="24"/>
                <w:szCs w:val="24"/>
                <w:lang w:val="es-ES"/>
              </w:rPr>
              <w:t>écnica</w:t>
            </w:r>
            <w:r w:rsidR="00B95826" w:rsidRPr="005D051B">
              <w:rPr>
                <w:rFonts w:ascii="Times New Roman" w:hAnsi="Times New Roman" w:cs="Times New Roman"/>
                <w:sz w:val="24"/>
                <w:szCs w:val="24"/>
                <w:lang w:val="es-ES"/>
              </w:rPr>
              <w:t xml:space="preserve"> financiará también actividades que corresponden específicamente a la gestión de la </w:t>
            </w:r>
            <w:r w:rsidR="00B95826">
              <w:rPr>
                <w:rFonts w:ascii="Times New Roman" w:hAnsi="Times New Roman" w:cs="Times New Roman"/>
                <w:sz w:val="24"/>
                <w:szCs w:val="24"/>
                <w:lang w:val="es-ES"/>
              </w:rPr>
              <w:t>O</w:t>
            </w:r>
            <w:r w:rsidR="00B95826" w:rsidRPr="005D051B">
              <w:rPr>
                <w:rFonts w:ascii="Times New Roman" w:hAnsi="Times New Roman" w:cs="Times New Roman"/>
                <w:sz w:val="24"/>
                <w:szCs w:val="24"/>
                <w:lang w:val="es-ES"/>
              </w:rPr>
              <w:t>peración, a saber: a) la contratación del agente de verificación independiente (IVA) de los resultados del programa</w:t>
            </w:r>
            <w:r w:rsidR="00063FC3">
              <w:rPr>
                <w:rFonts w:ascii="Times New Roman" w:hAnsi="Times New Roman" w:cs="Times New Roman"/>
                <w:sz w:val="24"/>
                <w:szCs w:val="24"/>
                <w:lang w:val="es-ES"/>
              </w:rPr>
              <w:t>;</w:t>
            </w:r>
            <w:r w:rsidR="00063FC3" w:rsidRPr="005D051B">
              <w:rPr>
                <w:rFonts w:ascii="Times New Roman" w:hAnsi="Times New Roman" w:cs="Times New Roman"/>
                <w:sz w:val="24"/>
                <w:szCs w:val="24"/>
                <w:lang w:val="es-ES"/>
              </w:rPr>
              <w:t xml:space="preserve"> </w:t>
            </w:r>
            <w:r w:rsidR="00B95826" w:rsidRPr="005D051B">
              <w:rPr>
                <w:rFonts w:ascii="Times New Roman" w:hAnsi="Times New Roman" w:cs="Times New Roman"/>
                <w:sz w:val="24"/>
                <w:szCs w:val="24"/>
                <w:lang w:val="es-ES"/>
              </w:rPr>
              <w:t xml:space="preserve">b) la auditoría </w:t>
            </w:r>
            <w:r w:rsidR="00B95826" w:rsidRPr="005D051B">
              <w:rPr>
                <w:rFonts w:ascii="Times New Roman" w:hAnsi="Times New Roman" w:cs="Times New Roman"/>
                <w:sz w:val="24"/>
                <w:szCs w:val="24"/>
                <w:lang w:val="es-ES"/>
              </w:rPr>
              <w:lastRenderedPageBreak/>
              <w:t>financiera de la Operación; c) la contratación de los coordinadores de la Operación MAS Oaxaca, y d) la capacitación y la asistencia técnica para fortalecer los sistemas fiduciarios.</w:t>
            </w:r>
          </w:p>
          <w:p w:rsidR="00B95826" w:rsidRDefault="00B95826" w:rsidP="00F06FE7">
            <w:pPr>
              <w:jc w:val="both"/>
              <w:rPr>
                <w:rFonts w:ascii="Times New Roman" w:hAnsi="Times New Roman" w:cs="Times New Roman"/>
              </w:rPr>
            </w:pPr>
          </w:p>
          <w:p w:rsidR="00382EF8" w:rsidRPr="00780954" w:rsidRDefault="00382EF8" w:rsidP="00F06FE7">
            <w:pPr>
              <w:jc w:val="both"/>
              <w:rPr>
                <w:rFonts w:ascii="Times New Roman" w:hAnsi="Times New Roman" w:cs="Times New Roman"/>
                <w:b/>
                <w:i/>
              </w:rPr>
            </w:pP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b/>
              </w:rPr>
              <w:t>4. Ubicación del proyecto y principales características físicas relacionadas con el análisis de salvaguardas (si se conocen)</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Pr="00BD6C64"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BD6C64" w:rsidRPr="00BD6C64" w:rsidRDefault="0011600B" w:rsidP="00BD6C64">
            <w:pPr>
              <w:jc w:val="both"/>
              <w:rPr>
                <w:rFonts w:ascii="Times New Roman" w:hAnsi="Times New Roman"/>
              </w:rPr>
            </w:pPr>
            <w:r>
              <w:rPr>
                <w:rFonts w:ascii="Times New Roman" w:hAnsi="Times New Roman"/>
              </w:rPr>
              <w:t>El componente de Asistencia T</w:t>
            </w:r>
            <w:r w:rsidR="00BD6C64" w:rsidRPr="00BD6C64">
              <w:rPr>
                <w:rFonts w:ascii="Times New Roman" w:hAnsi="Times New Roman"/>
              </w:rPr>
              <w:t>écnica está financiando actividad</w:t>
            </w:r>
            <w:r w:rsidR="00BD6C64">
              <w:rPr>
                <w:rFonts w:ascii="Times New Roman" w:hAnsi="Times New Roman"/>
              </w:rPr>
              <w:t>es que apoyan el desempeño del P</w:t>
            </w:r>
            <w:r w:rsidR="00BD6C64" w:rsidRPr="00BD6C64">
              <w:rPr>
                <w:rFonts w:ascii="Times New Roman" w:hAnsi="Times New Roman"/>
              </w:rPr>
              <w:t>rograma y por lo tanto</w:t>
            </w:r>
            <w:r w:rsidR="00BD6C64">
              <w:rPr>
                <w:rFonts w:ascii="Times New Roman" w:hAnsi="Times New Roman"/>
              </w:rPr>
              <w:t>,</w:t>
            </w:r>
            <w:r w:rsidR="00BD6C64" w:rsidRPr="00BD6C64">
              <w:rPr>
                <w:rFonts w:ascii="Times New Roman" w:hAnsi="Times New Roman"/>
              </w:rPr>
              <w:t xml:space="preserve"> </w:t>
            </w:r>
            <w:r w:rsidR="00BD6C64">
              <w:rPr>
                <w:rFonts w:ascii="Times New Roman" w:hAnsi="Times New Roman"/>
              </w:rPr>
              <w:t xml:space="preserve">se espera que </w:t>
            </w:r>
            <w:r w:rsidR="00BD6C64" w:rsidRPr="00BD6C64">
              <w:rPr>
                <w:rFonts w:ascii="Times New Roman" w:hAnsi="Times New Roman"/>
              </w:rPr>
              <w:t xml:space="preserve">la </w:t>
            </w:r>
            <w:r w:rsidR="00BD6C64">
              <w:rPr>
                <w:rFonts w:ascii="Times New Roman" w:hAnsi="Times New Roman"/>
              </w:rPr>
              <w:t>asistencia técnica</w:t>
            </w:r>
            <w:r w:rsidR="00BD6C64" w:rsidRPr="00BD6C64">
              <w:rPr>
                <w:rFonts w:ascii="Times New Roman" w:hAnsi="Times New Roman"/>
              </w:rPr>
              <w:t xml:space="preserve"> a S</w:t>
            </w:r>
            <w:r w:rsidR="00BD6C64">
              <w:rPr>
                <w:rFonts w:ascii="Times New Roman" w:hAnsi="Times New Roman"/>
              </w:rPr>
              <w:t>APAO y CEA</w:t>
            </w:r>
            <w:r w:rsidR="00BD6C64" w:rsidRPr="00BD6C64">
              <w:rPr>
                <w:rFonts w:ascii="Times New Roman" w:hAnsi="Times New Roman"/>
              </w:rPr>
              <w:t xml:space="preserve">, así como las actividades del Agente de Verificación Independiente </w:t>
            </w:r>
            <w:r w:rsidR="00BD6C64">
              <w:rPr>
                <w:rFonts w:ascii="Times New Roman" w:hAnsi="Times New Roman"/>
              </w:rPr>
              <w:t>tengan un</w:t>
            </w:r>
            <w:r w:rsidR="00BD6C64" w:rsidRPr="00BD6C64">
              <w:rPr>
                <w:rFonts w:ascii="Times New Roman" w:hAnsi="Times New Roman"/>
              </w:rPr>
              <w:t xml:space="preserve"> impacto </w:t>
            </w:r>
            <w:r w:rsidR="00BD6C64">
              <w:rPr>
                <w:rFonts w:ascii="Times New Roman" w:hAnsi="Times New Roman"/>
              </w:rPr>
              <w:t>en</w:t>
            </w:r>
            <w:r w:rsidR="00BD6C64" w:rsidRPr="00BD6C64">
              <w:rPr>
                <w:rFonts w:ascii="Times New Roman" w:hAnsi="Times New Roman"/>
              </w:rPr>
              <w:t xml:space="preserve"> las obras </w:t>
            </w:r>
            <w:r w:rsidR="00BD6C64">
              <w:rPr>
                <w:rFonts w:ascii="Times New Roman" w:hAnsi="Times New Roman"/>
              </w:rPr>
              <w:t xml:space="preserve">que se realizaran </w:t>
            </w:r>
            <w:r w:rsidR="00BD6C64" w:rsidRPr="00BD6C64">
              <w:rPr>
                <w:rFonts w:ascii="Times New Roman" w:hAnsi="Times New Roman"/>
              </w:rPr>
              <w:t xml:space="preserve">en el Área Metropolitana de Oaxaca y </w:t>
            </w:r>
            <w:r w:rsidR="00BD6C64">
              <w:rPr>
                <w:rFonts w:ascii="Times New Roman" w:hAnsi="Times New Roman"/>
              </w:rPr>
              <w:t xml:space="preserve">en </w:t>
            </w:r>
            <w:r w:rsidR="00BD6C64" w:rsidRPr="00BD6C64">
              <w:rPr>
                <w:rFonts w:ascii="Times New Roman" w:hAnsi="Times New Roman"/>
              </w:rPr>
              <w:t xml:space="preserve">las 18 ciudades secundarias donde </w:t>
            </w:r>
            <w:r w:rsidR="00BD6C64">
              <w:rPr>
                <w:rFonts w:ascii="Times New Roman" w:hAnsi="Times New Roman"/>
              </w:rPr>
              <w:t>se implementarán las á</w:t>
            </w:r>
            <w:r w:rsidR="00BD6C64" w:rsidRPr="00BD6C64">
              <w:rPr>
                <w:rFonts w:ascii="Times New Roman" w:hAnsi="Times New Roman"/>
              </w:rPr>
              <w:t xml:space="preserve">reas </w:t>
            </w:r>
            <w:r w:rsidR="00BD6C64">
              <w:rPr>
                <w:rFonts w:ascii="Times New Roman" w:hAnsi="Times New Roman"/>
              </w:rPr>
              <w:t>de resultados 2 y 3 del Programa. No obstante</w:t>
            </w:r>
            <w:r w:rsidR="00BD6C64" w:rsidRPr="00BD6C64">
              <w:rPr>
                <w:rFonts w:ascii="Times New Roman" w:hAnsi="Times New Roman"/>
              </w:rPr>
              <w:t xml:space="preserve">, se espera que </w:t>
            </w:r>
            <w:r w:rsidR="00236FB5">
              <w:rPr>
                <w:rFonts w:ascii="Times New Roman" w:hAnsi="Times New Roman"/>
              </w:rPr>
              <w:t>la</w:t>
            </w:r>
            <w:r w:rsidR="00BD6C64" w:rsidRPr="00BD6C64">
              <w:rPr>
                <w:rFonts w:ascii="Times New Roman" w:hAnsi="Times New Roman"/>
              </w:rPr>
              <w:t xml:space="preserve"> revisión de la calidad de los documentos de licitación y el fortalecimiento de la supervisión y</w:t>
            </w:r>
            <w:r w:rsidR="00236FB5">
              <w:rPr>
                <w:rFonts w:ascii="Times New Roman" w:hAnsi="Times New Roman"/>
              </w:rPr>
              <w:t xml:space="preserve"> de</w:t>
            </w:r>
            <w:r w:rsidR="00BD6C64" w:rsidRPr="00BD6C64">
              <w:rPr>
                <w:rFonts w:ascii="Times New Roman" w:hAnsi="Times New Roman"/>
              </w:rPr>
              <w:t xml:space="preserve"> la gestión social y ambiental de los sistemas de agua </w:t>
            </w:r>
            <w:proofErr w:type="gramStart"/>
            <w:r w:rsidR="00BD6C64">
              <w:rPr>
                <w:rFonts w:ascii="Times New Roman" w:hAnsi="Times New Roman"/>
              </w:rPr>
              <w:t>tengan</w:t>
            </w:r>
            <w:proofErr w:type="gramEnd"/>
            <w:r w:rsidR="00BD6C64" w:rsidRPr="00BD6C64">
              <w:rPr>
                <w:rFonts w:ascii="Times New Roman" w:hAnsi="Times New Roman"/>
              </w:rPr>
              <w:t xml:space="preserve"> un impacto </w:t>
            </w:r>
            <w:r w:rsidR="00236FB5">
              <w:rPr>
                <w:rFonts w:ascii="Times New Roman" w:hAnsi="Times New Roman"/>
              </w:rPr>
              <w:t>a lo largo de todo e</w:t>
            </w:r>
            <w:r w:rsidR="00BD6C64" w:rsidRPr="00BD6C64">
              <w:rPr>
                <w:rFonts w:ascii="Times New Roman" w:hAnsi="Times New Roman"/>
              </w:rPr>
              <w:t xml:space="preserve">l Estado </w:t>
            </w:r>
            <w:r w:rsidR="00236FB5">
              <w:rPr>
                <w:rFonts w:ascii="Times New Roman" w:hAnsi="Times New Roman"/>
              </w:rPr>
              <w:t>donde estas instituciones operan.</w:t>
            </w:r>
          </w:p>
          <w:p w:rsidR="00BD6C64" w:rsidRPr="00BD6C64" w:rsidRDefault="00BD6C64" w:rsidP="00BD6C64">
            <w:pPr>
              <w:jc w:val="both"/>
              <w:rPr>
                <w:rFonts w:ascii="Times New Roman" w:hAnsi="Times New Roman"/>
              </w:rPr>
            </w:pPr>
          </w:p>
          <w:p w:rsidR="00BD6C64" w:rsidRPr="00BD6C64" w:rsidRDefault="00BD6C64" w:rsidP="00BD6C64">
            <w:pPr>
              <w:jc w:val="both"/>
              <w:rPr>
                <w:rFonts w:ascii="Times New Roman" w:hAnsi="Times New Roman"/>
              </w:rPr>
            </w:pPr>
            <w:r w:rsidRPr="00BD6C64">
              <w:rPr>
                <w:rFonts w:ascii="Times New Roman" w:hAnsi="Times New Roman"/>
              </w:rPr>
              <w:t>Los estudios sectoriales</w:t>
            </w:r>
            <w:r w:rsidR="00236FB5">
              <w:rPr>
                <w:rFonts w:ascii="Times New Roman" w:hAnsi="Times New Roman"/>
              </w:rPr>
              <w:t xml:space="preserve"> de </w:t>
            </w:r>
            <w:proofErr w:type="spellStart"/>
            <w:r w:rsidR="00236FB5">
              <w:rPr>
                <w:rFonts w:ascii="Times New Roman" w:hAnsi="Times New Roman"/>
              </w:rPr>
              <w:t>AyS</w:t>
            </w:r>
            <w:proofErr w:type="spellEnd"/>
            <w:r w:rsidRPr="00BD6C64">
              <w:rPr>
                <w:rFonts w:ascii="Times New Roman" w:hAnsi="Times New Roman"/>
              </w:rPr>
              <w:t>,</w:t>
            </w:r>
            <w:r w:rsidR="00236FB5">
              <w:rPr>
                <w:rFonts w:ascii="Times New Roman" w:hAnsi="Times New Roman"/>
              </w:rPr>
              <w:t xml:space="preserve"> </w:t>
            </w:r>
            <w:r w:rsidRPr="00BD6C64">
              <w:rPr>
                <w:rFonts w:ascii="Times New Roman" w:hAnsi="Times New Roman"/>
              </w:rPr>
              <w:t>en particular, la</w:t>
            </w:r>
            <w:r w:rsidR="00236FB5">
              <w:rPr>
                <w:rFonts w:ascii="Times New Roman" w:hAnsi="Times New Roman"/>
              </w:rPr>
              <w:t xml:space="preserve"> estrategia de abastecimiento de agua y s</w:t>
            </w:r>
            <w:r w:rsidR="00236FB5" w:rsidRPr="00BD6C64">
              <w:rPr>
                <w:rFonts w:ascii="Times New Roman" w:hAnsi="Times New Roman"/>
              </w:rPr>
              <w:t xml:space="preserve">aneamiento </w:t>
            </w:r>
            <w:r w:rsidR="00236FB5">
              <w:rPr>
                <w:rFonts w:ascii="Times New Roman" w:hAnsi="Times New Roman"/>
              </w:rPr>
              <w:t xml:space="preserve">rural y la urbana, </w:t>
            </w:r>
            <w:r w:rsidRPr="00BD6C64">
              <w:rPr>
                <w:rFonts w:ascii="Times New Roman" w:hAnsi="Times New Roman"/>
              </w:rPr>
              <w:t>así c</w:t>
            </w:r>
            <w:r w:rsidR="00236FB5">
              <w:rPr>
                <w:rFonts w:ascii="Times New Roman" w:hAnsi="Times New Roman"/>
              </w:rPr>
              <w:t>omo el examen del gasto público</w:t>
            </w:r>
            <w:r w:rsidRPr="00BD6C64">
              <w:rPr>
                <w:rFonts w:ascii="Times New Roman" w:hAnsi="Times New Roman"/>
              </w:rPr>
              <w:t xml:space="preserve">, son actividades </w:t>
            </w:r>
            <w:r w:rsidR="00236FB5">
              <w:rPr>
                <w:rFonts w:ascii="Times New Roman" w:hAnsi="Times New Roman"/>
              </w:rPr>
              <w:t xml:space="preserve">de ámbito estatal. </w:t>
            </w:r>
            <w:r w:rsidR="00236FB5">
              <w:rPr>
                <w:rFonts w:ascii="Times New Roman" w:hAnsi="Times New Roman" w:cs="Times New Roman"/>
              </w:rPr>
              <w:t>E</w:t>
            </w:r>
            <w:r w:rsidR="00236FB5" w:rsidRPr="005D051B">
              <w:rPr>
                <w:rFonts w:ascii="Times New Roman" w:hAnsi="Times New Roman" w:cs="Times New Roman"/>
              </w:rPr>
              <w:t xml:space="preserve">l diseño de </w:t>
            </w:r>
            <w:r w:rsidR="00236FB5">
              <w:rPr>
                <w:rFonts w:ascii="Times New Roman" w:hAnsi="Times New Roman" w:cs="Times New Roman"/>
              </w:rPr>
              <w:t xml:space="preserve">enfoques </w:t>
            </w:r>
            <w:r w:rsidR="00236FB5" w:rsidRPr="005D051B">
              <w:rPr>
                <w:rFonts w:ascii="Times New Roman" w:hAnsi="Times New Roman" w:cs="Times New Roman"/>
              </w:rPr>
              <w:t xml:space="preserve">experimentales para </w:t>
            </w:r>
            <w:r w:rsidR="00236FB5">
              <w:rPr>
                <w:rFonts w:ascii="Times New Roman" w:hAnsi="Times New Roman" w:cs="Times New Roman"/>
              </w:rPr>
              <w:t>la prestación de</w:t>
            </w:r>
            <w:r w:rsidR="00236FB5" w:rsidRPr="005D051B">
              <w:rPr>
                <w:rFonts w:ascii="Times New Roman" w:hAnsi="Times New Roman" w:cs="Times New Roman"/>
              </w:rPr>
              <w:t xml:space="preserve"> servicios de </w:t>
            </w:r>
            <w:proofErr w:type="spellStart"/>
            <w:r w:rsidR="00236FB5" w:rsidRPr="005D051B">
              <w:rPr>
                <w:rFonts w:ascii="Times New Roman" w:hAnsi="Times New Roman" w:cs="Times New Roman"/>
              </w:rPr>
              <w:t>AyS</w:t>
            </w:r>
            <w:proofErr w:type="spellEnd"/>
            <w:r w:rsidR="00236FB5" w:rsidRPr="005D051B">
              <w:rPr>
                <w:rFonts w:ascii="Times New Roman" w:hAnsi="Times New Roman" w:cs="Times New Roman"/>
              </w:rPr>
              <w:t xml:space="preserve"> sostenible</w:t>
            </w:r>
            <w:r w:rsidR="00236FB5">
              <w:rPr>
                <w:rFonts w:ascii="Times New Roman" w:hAnsi="Times New Roman" w:cs="Times New Roman"/>
              </w:rPr>
              <w:t>s</w:t>
            </w:r>
            <w:r w:rsidR="00236FB5" w:rsidRPr="005D051B">
              <w:rPr>
                <w:rFonts w:ascii="Times New Roman" w:hAnsi="Times New Roman" w:cs="Times New Roman"/>
              </w:rPr>
              <w:t xml:space="preserve"> en las zonas rurales</w:t>
            </w:r>
            <w:r w:rsidR="00236FB5">
              <w:rPr>
                <w:rFonts w:ascii="Times New Roman" w:hAnsi="Times New Roman" w:cs="Times New Roman"/>
              </w:rPr>
              <w:t xml:space="preserve"> y brindarles apoyo</w:t>
            </w:r>
            <w:r w:rsidR="00236FB5" w:rsidRPr="00BD6C64">
              <w:rPr>
                <w:rFonts w:ascii="Times New Roman" w:hAnsi="Times New Roman"/>
              </w:rPr>
              <w:t xml:space="preserve"> </w:t>
            </w:r>
            <w:r w:rsidRPr="00BD6C64">
              <w:rPr>
                <w:rFonts w:ascii="Times New Roman" w:hAnsi="Times New Roman"/>
              </w:rPr>
              <w:t>sólo se aplicará a un subconjunto de las localidades rurales con el fin de diseñar</w:t>
            </w:r>
            <w:r w:rsidR="00236FB5">
              <w:rPr>
                <w:rFonts w:ascii="Times New Roman" w:hAnsi="Times New Roman"/>
              </w:rPr>
              <w:t>los</w:t>
            </w:r>
            <w:r w:rsidRPr="00BD6C64">
              <w:rPr>
                <w:rFonts w:ascii="Times New Roman" w:hAnsi="Times New Roman"/>
              </w:rPr>
              <w:t xml:space="preserve"> correctamente en un número limitado de comunidades antes de que se pued</w:t>
            </w:r>
            <w:r w:rsidR="00236FB5">
              <w:rPr>
                <w:rFonts w:ascii="Times New Roman" w:hAnsi="Times New Roman"/>
              </w:rPr>
              <w:t>a</w:t>
            </w:r>
            <w:r w:rsidRPr="00BD6C64">
              <w:rPr>
                <w:rFonts w:ascii="Times New Roman" w:hAnsi="Times New Roman"/>
              </w:rPr>
              <w:t xml:space="preserve"> </w:t>
            </w:r>
            <w:r w:rsidR="00E56551">
              <w:rPr>
                <w:rFonts w:ascii="Times New Roman" w:hAnsi="Times New Roman"/>
              </w:rPr>
              <w:t>extender</w:t>
            </w:r>
            <w:r w:rsidRPr="00BD6C64">
              <w:rPr>
                <w:rFonts w:ascii="Times New Roman" w:hAnsi="Times New Roman"/>
              </w:rPr>
              <w:t xml:space="preserve"> </w:t>
            </w:r>
            <w:r w:rsidR="00E56551">
              <w:rPr>
                <w:rFonts w:ascii="Times New Roman" w:hAnsi="Times New Roman"/>
              </w:rPr>
              <w:t>a otras partes del Estado</w:t>
            </w:r>
            <w:r w:rsidRPr="00BD6C64">
              <w:rPr>
                <w:rFonts w:ascii="Times New Roman" w:hAnsi="Times New Roman"/>
              </w:rPr>
              <w:t>. La ubicación de estas loca</w:t>
            </w:r>
            <w:r w:rsidR="00E56551">
              <w:rPr>
                <w:rFonts w:ascii="Times New Roman" w:hAnsi="Times New Roman"/>
              </w:rPr>
              <w:t>lidades no se conoce todavía. Ésta</w:t>
            </w:r>
            <w:r w:rsidR="0011600B">
              <w:rPr>
                <w:rFonts w:ascii="Times New Roman" w:hAnsi="Times New Roman"/>
              </w:rPr>
              <w:t>s</w:t>
            </w:r>
            <w:r w:rsidR="00E56551">
              <w:rPr>
                <w:rFonts w:ascii="Times New Roman" w:hAnsi="Times New Roman"/>
              </w:rPr>
              <w:t xml:space="preserve"> </w:t>
            </w:r>
            <w:r w:rsidRPr="00BD6C64">
              <w:rPr>
                <w:rFonts w:ascii="Times New Roman" w:hAnsi="Times New Roman"/>
              </w:rPr>
              <w:t>serán seleccionad</w:t>
            </w:r>
            <w:r w:rsidR="00E56551">
              <w:rPr>
                <w:rFonts w:ascii="Times New Roman" w:hAnsi="Times New Roman"/>
              </w:rPr>
              <w:t>a</w:t>
            </w:r>
            <w:r w:rsidRPr="00BD6C64">
              <w:rPr>
                <w:rFonts w:ascii="Times New Roman" w:hAnsi="Times New Roman"/>
              </w:rPr>
              <w:t>s durante la ejecución en consulta con el CEA y otras inst</w:t>
            </w:r>
            <w:r w:rsidR="00E56551">
              <w:rPr>
                <w:rFonts w:ascii="Times New Roman" w:hAnsi="Times New Roman"/>
              </w:rPr>
              <w:t>ituciones estatales competentes</w:t>
            </w:r>
            <w:r w:rsidRPr="00BD6C64">
              <w:rPr>
                <w:rFonts w:ascii="Times New Roman" w:hAnsi="Times New Roman"/>
              </w:rPr>
              <w:t>.</w:t>
            </w:r>
          </w:p>
          <w:p w:rsidR="00BD6C64" w:rsidRPr="00BD6C64" w:rsidRDefault="00BD6C64" w:rsidP="00BD6C64">
            <w:pPr>
              <w:jc w:val="both"/>
              <w:rPr>
                <w:rFonts w:ascii="Times New Roman" w:hAnsi="Times New Roman"/>
              </w:rPr>
            </w:pPr>
          </w:p>
          <w:p w:rsidR="00CB25DC" w:rsidRPr="00BD6C64" w:rsidRDefault="00BD6C64" w:rsidP="00E56551">
            <w:pPr>
              <w:jc w:val="both"/>
              <w:rPr>
                <w:rFonts w:ascii="Times New Roman" w:hAnsi="Times New Roman" w:cs="Times New Roman"/>
              </w:rPr>
            </w:pPr>
            <w:r w:rsidRPr="00BD6C64">
              <w:rPr>
                <w:rFonts w:ascii="Times New Roman" w:hAnsi="Times New Roman"/>
              </w:rPr>
              <w:t xml:space="preserve">Oaxaca tiene una composición </w:t>
            </w:r>
            <w:proofErr w:type="spellStart"/>
            <w:r w:rsidRPr="00BD6C64">
              <w:rPr>
                <w:rFonts w:ascii="Times New Roman" w:hAnsi="Times New Roman"/>
              </w:rPr>
              <w:t>pluriétnica</w:t>
            </w:r>
            <w:proofErr w:type="spellEnd"/>
            <w:r w:rsidRPr="00BD6C64">
              <w:rPr>
                <w:rFonts w:ascii="Times New Roman" w:hAnsi="Times New Roman"/>
              </w:rPr>
              <w:t xml:space="preserve"> que incluye los siguie</w:t>
            </w:r>
            <w:r w:rsidR="00E56551">
              <w:rPr>
                <w:rFonts w:ascii="Times New Roman" w:hAnsi="Times New Roman"/>
              </w:rPr>
              <w:t xml:space="preserve">ntes pueblos indígenas: Amuzgos, </w:t>
            </w:r>
            <w:proofErr w:type="spellStart"/>
            <w:r w:rsidR="00E56551">
              <w:rPr>
                <w:rFonts w:ascii="Times New Roman" w:hAnsi="Times New Roman"/>
              </w:rPr>
              <w:t>Cuicatecos</w:t>
            </w:r>
            <w:proofErr w:type="spellEnd"/>
            <w:r w:rsidR="00E56551">
              <w:rPr>
                <w:rFonts w:ascii="Times New Roman" w:hAnsi="Times New Roman"/>
              </w:rPr>
              <w:t xml:space="preserve">, Chatinos, </w:t>
            </w:r>
            <w:proofErr w:type="spellStart"/>
            <w:r w:rsidR="00E56551">
              <w:rPr>
                <w:rFonts w:ascii="Times New Roman" w:hAnsi="Times New Roman"/>
              </w:rPr>
              <w:t>Chinantecos</w:t>
            </w:r>
            <w:proofErr w:type="spellEnd"/>
            <w:r w:rsidR="00E56551">
              <w:rPr>
                <w:rFonts w:ascii="Times New Roman" w:hAnsi="Times New Roman"/>
              </w:rPr>
              <w:t xml:space="preserve">, </w:t>
            </w:r>
            <w:proofErr w:type="spellStart"/>
            <w:r w:rsidR="00E56551">
              <w:rPr>
                <w:rFonts w:ascii="Times New Roman" w:hAnsi="Times New Roman"/>
              </w:rPr>
              <w:t>Chocholtecos</w:t>
            </w:r>
            <w:proofErr w:type="spellEnd"/>
            <w:r w:rsidR="00E56551">
              <w:rPr>
                <w:rFonts w:ascii="Times New Roman" w:hAnsi="Times New Roman"/>
              </w:rPr>
              <w:t xml:space="preserve">, Chontales, </w:t>
            </w:r>
            <w:proofErr w:type="spellStart"/>
            <w:r w:rsidR="00E56551">
              <w:rPr>
                <w:rFonts w:ascii="Times New Roman" w:hAnsi="Times New Roman"/>
              </w:rPr>
              <w:t>Huaves</w:t>
            </w:r>
            <w:proofErr w:type="spellEnd"/>
            <w:r w:rsidR="00E56551">
              <w:rPr>
                <w:rFonts w:ascii="Times New Roman" w:hAnsi="Times New Roman"/>
              </w:rPr>
              <w:t xml:space="preserve">, </w:t>
            </w:r>
            <w:proofErr w:type="spellStart"/>
            <w:r w:rsidR="00E56551">
              <w:rPr>
                <w:rFonts w:ascii="Times New Roman" w:hAnsi="Times New Roman"/>
              </w:rPr>
              <w:t>Ixcatecos</w:t>
            </w:r>
            <w:proofErr w:type="spellEnd"/>
            <w:r w:rsidR="00E56551">
              <w:rPr>
                <w:rFonts w:ascii="Times New Roman" w:hAnsi="Times New Roman"/>
              </w:rPr>
              <w:t xml:space="preserve">, Mazatecos, Mixes, Mixtecos, Nahuas, </w:t>
            </w:r>
            <w:proofErr w:type="spellStart"/>
            <w:r w:rsidR="00E56551">
              <w:rPr>
                <w:rFonts w:ascii="Times New Roman" w:hAnsi="Times New Roman"/>
              </w:rPr>
              <w:t>Triquis</w:t>
            </w:r>
            <w:proofErr w:type="spellEnd"/>
            <w:r w:rsidR="00E56551">
              <w:rPr>
                <w:rFonts w:ascii="Times New Roman" w:hAnsi="Times New Roman"/>
              </w:rPr>
              <w:t xml:space="preserve">, Zapotecos y Zoques, así como </w:t>
            </w:r>
            <w:proofErr w:type="spellStart"/>
            <w:r w:rsidR="00E56551">
              <w:rPr>
                <w:rFonts w:ascii="Times New Roman" w:hAnsi="Times New Roman"/>
              </w:rPr>
              <w:t>Tacuates</w:t>
            </w:r>
            <w:proofErr w:type="spellEnd"/>
            <w:r w:rsidR="00E56551">
              <w:rPr>
                <w:rFonts w:ascii="Times New Roman" w:hAnsi="Times New Roman"/>
              </w:rPr>
              <w:t>. Además</w:t>
            </w:r>
            <w:r w:rsidRPr="00BD6C64">
              <w:rPr>
                <w:rFonts w:ascii="Times New Roman" w:hAnsi="Times New Roman"/>
              </w:rPr>
              <w:t>, hay presencia de comunidades afro- mexican</w:t>
            </w:r>
            <w:r w:rsidR="00E56551">
              <w:rPr>
                <w:rFonts w:ascii="Times New Roman" w:hAnsi="Times New Roman"/>
              </w:rPr>
              <w:t>as o negro-mexicanos en el Estado</w:t>
            </w:r>
            <w:r w:rsidRPr="00BD6C64">
              <w:rPr>
                <w:rFonts w:ascii="Times New Roman" w:hAnsi="Times New Roman"/>
              </w:rPr>
              <w:t>. En func</w:t>
            </w:r>
            <w:r w:rsidR="00E56551">
              <w:rPr>
                <w:rFonts w:ascii="Times New Roman" w:hAnsi="Times New Roman"/>
              </w:rPr>
              <w:t>ión del criterio utilizado, el 32 por ciento (criterios lingüístico) o el 58 por ciento (autoselección</w:t>
            </w:r>
            <w:r w:rsidRPr="00BD6C64">
              <w:rPr>
                <w:rFonts w:ascii="Times New Roman" w:hAnsi="Times New Roman"/>
              </w:rPr>
              <w:t>) de la población es ind</w:t>
            </w:r>
            <w:r w:rsidR="00E56551">
              <w:rPr>
                <w:rFonts w:ascii="Times New Roman" w:hAnsi="Times New Roman"/>
              </w:rPr>
              <w:t>ígena en el Estado (INEGI, 2010)</w:t>
            </w:r>
            <w:r w:rsidRPr="00BD6C64">
              <w:rPr>
                <w:rFonts w:ascii="Times New Roman" w:hAnsi="Times New Roman"/>
              </w:rPr>
              <w:t>.</w:t>
            </w: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r w:rsidR="00CB25DC"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rPr>
            </w:pPr>
            <w:r>
              <w:rPr>
                <w:rFonts w:ascii="Times New Roman" w:hAnsi="Times New Roman"/>
                <w:b/>
              </w:rPr>
              <w:t>5. Especialistas en salvaguardas ambientales y sociales que integran el equipo</w:t>
            </w:r>
          </w:p>
        </w:tc>
      </w:tr>
      <w:tr w:rsidR="00A83F9B" w:rsidRPr="00A83F9B" w:rsidTr="0011600B">
        <w:trPr>
          <w:trHeight w:val="247"/>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3F9B" w:rsidRDefault="00A83F9B">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tcPr>
          <w:p w:rsidR="00A83F9B" w:rsidRPr="00A83F9B" w:rsidRDefault="00A83F9B" w:rsidP="00A83F9B">
            <w:pPr>
              <w:rPr>
                <w:rFonts w:ascii="Times New Roman" w:hAnsi="Times New Roman" w:cs="Times New Roman"/>
              </w:rPr>
            </w:pPr>
            <w:r w:rsidRPr="00A83F9B">
              <w:rPr>
                <w:rFonts w:ascii="Times New Roman" w:hAnsi="Times New Roman" w:cs="Times New Roman"/>
              </w:rPr>
              <w:t>Robert Montgomery, Especialista Ambiental Líder</w:t>
            </w:r>
          </w:p>
        </w:tc>
      </w:tr>
      <w:tr w:rsidR="00A83F9B" w:rsidTr="0011600B">
        <w:trPr>
          <w:trHeight w:val="130"/>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3F9B" w:rsidRPr="00A83F9B" w:rsidRDefault="00A83F9B">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tcPr>
          <w:p w:rsidR="00A83F9B" w:rsidRPr="009B6A7F" w:rsidRDefault="00A83F9B" w:rsidP="00A83F9B">
            <w:pPr>
              <w:rPr>
                <w:rFonts w:ascii="Times New Roman" w:hAnsi="Times New Roman" w:cs="Times New Roman"/>
              </w:rPr>
            </w:pPr>
            <w:proofErr w:type="spellStart"/>
            <w:r w:rsidRPr="009B6A7F">
              <w:rPr>
                <w:rFonts w:ascii="Times New Roman" w:hAnsi="Times New Roman" w:cs="Times New Roman"/>
              </w:rPr>
              <w:t>Jose</w:t>
            </w:r>
            <w:proofErr w:type="spellEnd"/>
            <w:r w:rsidRPr="009B6A7F">
              <w:rPr>
                <w:rFonts w:ascii="Times New Roman" w:hAnsi="Times New Roman" w:cs="Times New Roman"/>
              </w:rPr>
              <w:t xml:space="preserve"> Luis </w:t>
            </w:r>
            <w:proofErr w:type="spellStart"/>
            <w:r w:rsidRPr="009B6A7F">
              <w:rPr>
                <w:rFonts w:ascii="Times New Roman" w:hAnsi="Times New Roman" w:cs="Times New Roman"/>
              </w:rPr>
              <w:t>Calderon</w:t>
            </w:r>
            <w:proofErr w:type="spellEnd"/>
            <w:r w:rsidRPr="009B6A7F">
              <w:rPr>
                <w:rFonts w:ascii="Times New Roman" w:hAnsi="Times New Roman" w:cs="Times New Roman"/>
              </w:rPr>
              <w:t xml:space="preserve"> </w:t>
            </w:r>
            <w:proofErr w:type="spellStart"/>
            <w:r w:rsidRPr="009B6A7F">
              <w:rPr>
                <w:rFonts w:ascii="Times New Roman" w:hAnsi="Times New Roman" w:cs="Times New Roman"/>
              </w:rPr>
              <w:t>Bartheneuf</w:t>
            </w:r>
            <w:proofErr w:type="spellEnd"/>
            <w:r w:rsidRPr="009B6A7F">
              <w:rPr>
                <w:rFonts w:ascii="Times New Roman" w:hAnsi="Times New Roman" w:cs="Times New Roman"/>
              </w:rPr>
              <w:t xml:space="preserve"> , </w:t>
            </w:r>
            <w:r>
              <w:rPr>
                <w:rFonts w:ascii="Times New Roman" w:hAnsi="Times New Roman" w:cs="Times New Roman"/>
              </w:rPr>
              <w:t xml:space="preserve">Especialista </w:t>
            </w:r>
            <w:proofErr w:type="spellStart"/>
            <w:r>
              <w:rPr>
                <w:rFonts w:ascii="Times New Roman" w:hAnsi="Times New Roman" w:cs="Times New Roman"/>
              </w:rPr>
              <w:t>Senior</w:t>
            </w:r>
            <w:proofErr w:type="spellEnd"/>
            <w:r>
              <w:rPr>
                <w:rFonts w:ascii="Times New Roman" w:hAnsi="Times New Roman" w:cs="Times New Roman"/>
              </w:rPr>
              <w:t xml:space="preserve"> Ambiental </w:t>
            </w:r>
          </w:p>
        </w:tc>
      </w:tr>
      <w:tr w:rsidR="0011600B" w:rsidTr="0011600B">
        <w:trPr>
          <w:trHeight w:val="130"/>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11600B" w:rsidRPr="00A83F9B" w:rsidRDefault="0011600B">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tcPr>
          <w:p w:rsidR="0011600B" w:rsidRPr="0011600B" w:rsidRDefault="0011600B" w:rsidP="00A83F9B">
            <w:pPr>
              <w:rPr>
                <w:rFonts w:ascii="Times New Roman" w:hAnsi="Times New Roman" w:cs="Times New Roman"/>
                <w:lang w:val="pt-BR"/>
              </w:rPr>
            </w:pPr>
            <w:r w:rsidRPr="006E6C2A">
              <w:rPr>
                <w:rFonts w:ascii="Times New Roman" w:hAnsi="Times New Roman" w:cs="Times New Roman"/>
                <w:lang w:val="pt-BR"/>
              </w:rPr>
              <w:t xml:space="preserve">Maria Elena Garcia Mora, </w:t>
            </w:r>
            <w:r>
              <w:rPr>
                <w:rFonts w:ascii="Times New Roman" w:hAnsi="Times New Roman" w:cs="Times New Roman"/>
                <w:lang w:val="pt-BR"/>
              </w:rPr>
              <w:t>Especialista en Desarrollo Social</w:t>
            </w:r>
          </w:p>
        </w:tc>
      </w:tr>
      <w:tr w:rsidR="00A83F9B" w:rsidRPr="00A83F9B" w:rsidTr="00A83F9B">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83F9B" w:rsidRPr="00A83F9B" w:rsidRDefault="00A83F9B">
            <w:pPr>
              <w:rPr>
                <w:rFonts w:ascii="Times New Roman" w:hAnsi="Times New Roman" w:cs="Times New Roman"/>
                <w:color w:val="auto"/>
              </w:rPr>
            </w:pPr>
          </w:p>
        </w:tc>
        <w:tc>
          <w:tcPr>
            <w:tcW w:w="9175" w:type="dxa"/>
            <w:gridSpan w:val="13"/>
            <w:tcBorders>
              <w:top w:val="nil"/>
              <w:left w:val="nil"/>
              <w:bottom w:val="nil"/>
              <w:right w:val="nil"/>
            </w:tcBorders>
            <w:shd w:val="clear" w:color="auto" w:fill="FFFFFF"/>
            <w:tcMar>
              <w:top w:w="50" w:type="dxa"/>
              <w:left w:w="50" w:type="dxa"/>
              <w:bottom w:w="50" w:type="dxa"/>
              <w:right w:w="50" w:type="dxa"/>
            </w:tcMar>
          </w:tcPr>
          <w:p w:rsidR="00A83F9B" w:rsidRPr="00A83F9B" w:rsidRDefault="00A83F9B" w:rsidP="00A83F9B">
            <w:pPr>
              <w:rPr>
                <w:rFonts w:ascii="Times New Roman" w:hAnsi="Times New Roman" w:cs="Times New Roman"/>
              </w:rPr>
            </w:pPr>
            <w:r w:rsidRPr="00A83F9B">
              <w:rPr>
                <w:rFonts w:ascii="Times New Roman" w:hAnsi="Times New Roman" w:cs="Times New Roman"/>
              </w:rPr>
              <w:t xml:space="preserve">Martin </w:t>
            </w:r>
            <w:proofErr w:type="spellStart"/>
            <w:r w:rsidRPr="00A83F9B">
              <w:rPr>
                <w:rFonts w:ascii="Times New Roman" w:hAnsi="Times New Roman" w:cs="Times New Roman"/>
              </w:rPr>
              <w:t>Leninhan</w:t>
            </w:r>
            <w:proofErr w:type="spellEnd"/>
            <w:r w:rsidRPr="00A83F9B">
              <w:rPr>
                <w:rFonts w:ascii="Times New Roman" w:hAnsi="Times New Roman" w:cs="Times New Roman"/>
              </w:rPr>
              <w:t xml:space="preserve">, </w:t>
            </w:r>
            <w:r>
              <w:rPr>
                <w:rFonts w:ascii="Times New Roman" w:hAnsi="Times New Roman" w:cs="Times New Roman"/>
                <w:lang w:val="pt-BR"/>
              </w:rPr>
              <w:t>Especialista Senior en Desarrollo Social</w:t>
            </w:r>
          </w:p>
          <w:p w:rsidR="00A83F9B" w:rsidRPr="00A83F9B" w:rsidRDefault="00A83F9B" w:rsidP="00A83F9B">
            <w:pPr>
              <w:rPr>
                <w:rFonts w:ascii="Times New Roman" w:hAnsi="Times New Roman" w:cs="Times New Roman"/>
              </w:rPr>
            </w:pP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r w:rsidR="00CB25DC" w:rsidTr="003F6E1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rPr>
              <w:t>6. Políticas de salvaguarda</w:t>
            </w:r>
            <w:r w:rsidR="00A83F9B">
              <w:rPr>
                <w:rFonts w:ascii="Times New Roman" w:hAnsi="Times New Roman"/>
                <w:b/>
              </w:rPr>
              <w:t xml:space="preserve"> q</w:t>
            </w:r>
            <w:r w:rsidR="0011600B">
              <w:rPr>
                <w:rFonts w:ascii="Times New Roman" w:hAnsi="Times New Roman"/>
                <w:b/>
              </w:rPr>
              <w:t>ue se aplican al componente de Asistencia T</w:t>
            </w:r>
            <w:r w:rsidR="00A83F9B">
              <w:rPr>
                <w:rFonts w:ascii="Times New Roman" w:hAnsi="Times New Roman"/>
                <w:b/>
              </w:rPr>
              <w:t>écnica</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rPr>
              <w:t>¿Deben aplicarse?</w:t>
            </w:r>
          </w:p>
        </w:tc>
        <w:tc>
          <w:tcPr>
            <w:tcW w:w="504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b/>
              </w:rPr>
              <w:t>Explicación (opcional)</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rPr>
                <w:rFonts w:ascii="Times New Roman" w:hAnsi="Times New Roman" w:cs="Times New Roman"/>
              </w:rPr>
            </w:pPr>
            <w:r>
              <w:rPr>
                <w:rFonts w:ascii="Times New Roman" w:hAnsi="Times New Roman"/>
                <w:sz w:val="22"/>
              </w:rPr>
              <w:t>Evaluación Ambiental (OP/BP 4.01)</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11600B" w:rsidRDefault="00CB25DC">
            <w:pPr>
              <w:rPr>
                <w:rFonts w:ascii="Times New Roman" w:hAnsi="Times New Roman" w:cs="Times New Roman"/>
              </w:rPr>
            </w:pPr>
            <w:r w:rsidRPr="0011600B">
              <w:rPr>
                <w:rFonts w:ascii="Times New Roman" w:hAnsi="Times New Roman"/>
                <w:sz w:val="22"/>
              </w:rPr>
              <w:t>Sí</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83F9B" w:rsidRPr="001A48C5" w:rsidRDefault="00A83F9B" w:rsidP="00A83F9B">
            <w:pPr>
              <w:rPr>
                <w:rFonts w:ascii="Times New Roman" w:hAnsi="Times New Roman" w:cs="Times New Roman"/>
                <w:sz w:val="22"/>
                <w:szCs w:val="22"/>
              </w:rPr>
            </w:pPr>
            <w:r w:rsidRPr="001A48C5">
              <w:rPr>
                <w:rFonts w:ascii="Times New Roman" w:hAnsi="Times New Roman" w:cs="Times New Roman"/>
                <w:sz w:val="22"/>
                <w:szCs w:val="22"/>
              </w:rPr>
              <w:t xml:space="preserve">Esta política se aplica para asegurar que la estrategia de abastecimiento de agua y saneamiento rural y </w:t>
            </w:r>
            <w:proofErr w:type="gramStart"/>
            <w:r w:rsidRPr="001A48C5">
              <w:rPr>
                <w:rFonts w:ascii="Times New Roman" w:hAnsi="Times New Roman" w:cs="Times New Roman"/>
                <w:sz w:val="22"/>
                <w:szCs w:val="22"/>
              </w:rPr>
              <w:t>urbana</w:t>
            </w:r>
            <w:proofErr w:type="gramEnd"/>
            <w:r w:rsidRPr="001A48C5">
              <w:rPr>
                <w:rFonts w:ascii="Times New Roman" w:hAnsi="Times New Roman" w:cs="Times New Roman"/>
                <w:sz w:val="22"/>
                <w:szCs w:val="22"/>
              </w:rPr>
              <w:t xml:space="preserve"> y </w:t>
            </w:r>
            <w:r w:rsidRPr="001A48C5">
              <w:rPr>
                <w:rFonts w:ascii="Times New Roman" w:hAnsi="Times New Roman" w:cs="Times New Roman"/>
                <w:sz w:val="22"/>
                <w:szCs w:val="22"/>
              </w:rPr>
              <w:lastRenderedPageBreak/>
              <w:t xml:space="preserve">los enfoques experimentales para la prestación de servicios de </w:t>
            </w:r>
            <w:proofErr w:type="spellStart"/>
            <w:r w:rsidRPr="001A48C5">
              <w:rPr>
                <w:rFonts w:ascii="Times New Roman" w:hAnsi="Times New Roman" w:cs="Times New Roman"/>
                <w:sz w:val="22"/>
                <w:szCs w:val="22"/>
              </w:rPr>
              <w:t>AyS</w:t>
            </w:r>
            <w:proofErr w:type="spellEnd"/>
            <w:r w:rsidRPr="001A48C5">
              <w:rPr>
                <w:rFonts w:ascii="Times New Roman" w:hAnsi="Times New Roman" w:cs="Times New Roman"/>
                <w:sz w:val="22"/>
                <w:szCs w:val="22"/>
              </w:rPr>
              <w:t xml:space="preserve"> sostenibles en las zonas rurales y servicios de apoyo que se financiarán con este componente tengan en cuenta los objetivos y las consideraciones ambientales y </w:t>
            </w:r>
            <w:r w:rsidR="00864B6F" w:rsidRPr="001A48C5">
              <w:rPr>
                <w:rFonts w:ascii="Times New Roman" w:hAnsi="Times New Roman" w:cs="Times New Roman"/>
                <w:sz w:val="22"/>
                <w:szCs w:val="22"/>
              </w:rPr>
              <w:t>sociales adecuadas</w:t>
            </w:r>
            <w:r w:rsidRPr="001A48C5">
              <w:rPr>
                <w:rFonts w:ascii="Times New Roman" w:hAnsi="Times New Roman" w:cs="Times New Roman"/>
                <w:sz w:val="22"/>
                <w:szCs w:val="22"/>
              </w:rPr>
              <w:t>.</w:t>
            </w:r>
          </w:p>
          <w:p w:rsidR="00A83F9B" w:rsidRPr="001A48C5" w:rsidRDefault="00A83F9B" w:rsidP="00A83F9B">
            <w:pPr>
              <w:rPr>
                <w:rFonts w:ascii="Times New Roman" w:hAnsi="Times New Roman" w:cs="Times New Roman"/>
                <w:sz w:val="22"/>
                <w:szCs w:val="22"/>
              </w:rPr>
            </w:pPr>
          </w:p>
          <w:p w:rsidR="00A83F9B" w:rsidRPr="001A48C5" w:rsidRDefault="00A83F9B" w:rsidP="00A83F9B">
            <w:pPr>
              <w:rPr>
                <w:rFonts w:ascii="Times New Roman" w:hAnsi="Times New Roman" w:cs="Times New Roman"/>
                <w:sz w:val="22"/>
                <w:szCs w:val="22"/>
              </w:rPr>
            </w:pPr>
            <w:r w:rsidRPr="001A48C5">
              <w:rPr>
                <w:rFonts w:ascii="Times New Roman" w:hAnsi="Times New Roman" w:cs="Times New Roman"/>
                <w:sz w:val="22"/>
                <w:szCs w:val="22"/>
              </w:rPr>
              <w:t xml:space="preserve">El componente de </w:t>
            </w:r>
            <w:r w:rsidR="0011600B">
              <w:rPr>
                <w:rFonts w:ascii="Times New Roman" w:hAnsi="Times New Roman" w:cs="Times New Roman"/>
                <w:sz w:val="22"/>
                <w:szCs w:val="22"/>
              </w:rPr>
              <w:t>Asistencia T</w:t>
            </w:r>
            <w:r w:rsidRPr="001A48C5">
              <w:rPr>
                <w:rFonts w:ascii="Times New Roman" w:hAnsi="Times New Roman" w:cs="Times New Roman"/>
                <w:sz w:val="22"/>
                <w:szCs w:val="22"/>
              </w:rPr>
              <w:t xml:space="preserve">écnica de la operación se clasifica como categoría ambiental C </w:t>
            </w:r>
            <w:r w:rsidR="00864B6F" w:rsidRPr="001A48C5">
              <w:rPr>
                <w:rFonts w:ascii="Times New Roman" w:hAnsi="Times New Roman" w:cs="Times New Roman"/>
                <w:sz w:val="22"/>
                <w:szCs w:val="22"/>
              </w:rPr>
              <w:t>en función de la OP/BP 4.01</w:t>
            </w:r>
            <w:r w:rsidRPr="001A48C5">
              <w:rPr>
                <w:rFonts w:ascii="Times New Roman" w:hAnsi="Times New Roman" w:cs="Times New Roman"/>
                <w:sz w:val="22"/>
                <w:szCs w:val="22"/>
              </w:rPr>
              <w:t xml:space="preserve">, ya que no existen impactos ambientales </w:t>
            </w:r>
            <w:r w:rsidR="00864B6F" w:rsidRPr="001A48C5">
              <w:rPr>
                <w:rFonts w:ascii="Times New Roman" w:hAnsi="Times New Roman" w:cs="Times New Roman"/>
                <w:sz w:val="22"/>
                <w:szCs w:val="22"/>
              </w:rPr>
              <w:t>adversos</w:t>
            </w:r>
            <w:r w:rsidRPr="001A48C5">
              <w:rPr>
                <w:rFonts w:ascii="Times New Roman" w:hAnsi="Times New Roman" w:cs="Times New Roman"/>
                <w:sz w:val="22"/>
                <w:szCs w:val="22"/>
              </w:rPr>
              <w:t xml:space="preserve"> directos que podrían resultar de las actividades de asistenci</w:t>
            </w:r>
            <w:r w:rsidR="00864B6F" w:rsidRPr="001A48C5">
              <w:rPr>
                <w:rFonts w:ascii="Times New Roman" w:hAnsi="Times New Roman" w:cs="Times New Roman"/>
                <w:sz w:val="22"/>
                <w:szCs w:val="22"/>
              </w:rPr>
              <w:t>a técnica</w:t>
            </w:r>
            <w:r w:rsidRPr="001A48C5">
              <w:rPr>
                <w:rFonts w:ascii="Times New Roman" w:hAnsi="Times New Roman" w:cs="Times New Roman"/>
                <w:sz w:val="22"/>
                <w:szCs w:val="22"/>
              </w:rPr>
              <w:t>.</w:t>
            </w:r>
          </w:p>
          <w:p w:rsidR="00A83F9B" w:rsidRPr="001A48C5" w:rsidRDefault="00A83F9B" w:rsidP="00A83F9B">
            <w:pPr>
              <w:rPr>
                <w:rFonts w:ascii="Times New Roman" w:hAnsi="Times New Roman" w:cs="Times New Roman"/>
                <w:sz w:val="22"/>
                <w:szCs w:val="22"/>
              </w:rPr>
            </w:pPr>
          </w:p>
          <w:p w:rsidR="00A83F9B" w:rsidRPr="001A48C5" w:rsidRDefault="00864B6F" w:rsidP="00A83F9B">
            <w:pPr>
              <w:rPr>
                <w:rFonts w:ascii="Times New Roman" w:hAnsi="Times New Roman" w:cs="Times New Roman"/>
                <w:sz w:val="22"/>
                <w:szCs w:val="22"/>
              </w:rPr>
            </w:pPr>
            <w:r w:rsidRPr="001A48C5">
              <w:rPr>
                <w:rFonts w:ascii="Times New Roman" w:hAnsi="Times New Roman" w:cs="Times New Roman"/>
                <w:sz w:val="22"/>
                <w:szCs w:val="22"/>
              </w:rPr>
              <w:t>Los Términos de Referencia (</w:t>
            </w:r>
            <w:proofErr w:type="spellStart"/>
            <w:r w:rsidRPr="001A48C5">
              <w:rPr>
                <w:rFonts w:ascii="Times New Roman" w:hAnsi="Times New Roman" w:cs="Times New Roman"/>
                <w:sz w:val="22"/>
                <w:szCs w:val="22"/>
              </w:rPr>
              <w:t>TdR</w:t>
            </w:r>
            <w:proofErr w:type="spellEnd"/>
            <w:r w:rsidR="00A83F9B" w:rsidRPr="001A48C5">
              <w:rPr>
                <w:rFonts w:ascii="Times New Roman" w:hAnsi="Times New Roman" w:cs="Times New Roman"/>
                <w:sz w:val="22"/>
                <w:szCs w:val="22"/>
              </w:rPr>
              <w:t xml:space="preserve">) para </w:t>
            </w:r>
            <w:r w:rsidRPr="001A48C5">
              <w:rPr>
                <w:rFonts w:ascii="Times New Roman" w:hAnsi="Times New Roman" w:cs="Times New Roman"/>
                <w:sz w:val="22"/>
                <w:szCs w:val="22"/>
              </w:rPr>
              <w:t>la asistencia técnica</w:t>
            </w:r>
            <w:r w:rsidR="00A83F9B" w:rsidRPr="001A48C5">
              <w:rPr>
                <w:rFonts w:ascii="Times New Roman" w:hAnsi="Times New Roman" w:cs="Times New Roman"/>
                <w:sz w:val="22"/>
                <w:szCs w:val="22"/>
              </w:rPr>
              <w:t xml:space="preserve">- </w:t>
            </w:r>
            <w:r w:rsidRPr="001A48C5">
              <w:rPr>
                <w:rFonts w:ascii="Times New Roman" w:hAnsi="Times New Roman" w:cs="Times New Roman"/>
                <w:sz w:val="22"/>
                <w:szCs w:val="22"/>
              </w:rPr>
              <w:t>que deberán estar listos para la efectividad del préstamo</w:t>
            </w:r>
            <w:r w:rsidR="00A83F9B" w:rsidRPr="001A48C5">
              <w:rPr>
                <w:rFonts w:ascii="Times New Roman" w:hAnsi="Times New Roman" w:cs="Times New Roman"/>
                <w:sz w:val="22"/>
                <w:szCs w:val="22"/>
              </w:rPr>
              <w:t xml:space="preserve"> - </w:t>
            </w:r>
            <w:r w:rsidRPr="001A48C5">
              <w:rPr>
                <w:rFonts w:ascii="Times New Roman" w:hAnsi="Times New Roman" w:cs="Times New Roman"/>
                <w:sz w:val="22"/>
                <w:szCs w:val="22"/>
              </w:rPr>
              <w:t>para</w:t>
            </w:r>
            <w:r w:rsidR="00A83F9B" w:rsidRPr="001A48C5">
              <w:rPr>
                <w:rFonts w:ascii="Times New Roman" w:hAnsi="Times New Roman" w:cs="Times New Roman"/>
                <w:sz w:val="22"/>
                <w:szCs w:val="22"/>
              </w:rPr>
              <w:t xml:space="preserve"> mejorar los documentos de licitación y fortalecer la supervisión incluirá</w:t>
            </w:r>
            <w:r w:rsidRPr="001A48C5">
              <w:rPr>
                <w:rFonts w:ascii="Times New Roman" w:hAnsi="Times New Roman" w:cs="Times New Roman"/>
                <w:sz w:val="22"/>
                <w:szCs w:val="22"/>
              </w:rPr>
              <w:t>n</w:t>
            </w:r>
            <w:r w:rsidR="00A83F9B" w:rsidRPr="001A48C5">
              <w:rPr>
                <w:rFonts w:ascii="Times New Roman" w:hAnsi="Times New Roman" w:cs="Times New Roman"/>
                <w:sz w:val="22"/>
                <w:szCs w:val="22"/>
              </w:rPr>
              <w:t>, en su caso, los criterios ambientales y sociales necesarios.</w:t>
            </w:r>
          </w:p>
          <w:p w:rsidR="00A83F9B" w:rsidRPr="001A48C5" w:rsidRDefault="00A83F9B" w:rsidP="00A83F9B">
            <w:pPr>
              <w:rPr>
                <w:rFonts w:ascii="Times New Roman" w:hAnsi="Times New Roman" w:cs="Times New Roman"/>
                <w:sz w:val="22"/>
                <w:szCs w:val="22"/>
              </w:rPr>
            </w:pPr>
          </w:p>
          <w:p w:rsidR="00A83F9B" w:rsidRPr="001A48C5" w:rsidRDefault="00A83F9B" w:rsidP="00A83F9B">
            <w:pPr>
              <w:rPr>
                <w:rFonts w:ascii="Times New Roman" w:hAnsi="Times New Roman" w:cs="Times New Roman"/>
                <w:sz w:val="22"/>
                <w:szCs w:val="22"/>
              </w:rPr>
            </w:pPr>
            <w:r w:rsidRPr="001A48C5">
              <w:rPr>
                <w:rFonts w:ascii="Times New Roman" w:hAnsi="Times New Roman" w:cs="Times New Roman"/>
                <w:sz w:val="22"/>
                <w:szCs w:val="22"/>
              </w:rPr>
              <w:t xml:space="preserve">Los </w:t>
            </w:r>
            <w:proofErr w:type="spellStart"/>
            <w:r w:rsidR="00864B6F" w:rsidRPr="001A48C5">
              <w:rPr>
                <w:rFonts w:ascii="Times New Roman" w:hAnsi="Times New Roman" w:cs="Times New Roman"/>
                <w:sz w:val="22"/>
                <w:szCs w:val="22"/>
              </w:rPr>
              <w:t>TdRs</w:t>
            </w:r>
            <w:proofErr w:type="spellEnd"/>
            <w:r w:rsidRPr="001A48C5">
              <w:rPr>
                <w:rFonts w:ascii="Times New Roman" w:hAnsi="Times New Roman" w:cs="Times New Roman"/>
                <w:sz w:val="22"/>
                <w:szCs w:val="22"/>
              </w:rPr>
              <w:t xml:space="preserve"> para la preparación de la </w:t>
            </w:r>
            <w:r w:rsidR="00864B6F" w:rsidRPr="001A48C5">
              <w:rPr>
                <w:rFonts w:ascii="Times New Roman" w:hAnsi="Times New Roman" w:cs="Times New Roman"/>
                <w:sz w:val="22"/>
                <w:szCs w:val="22"/>
              </w:rPr>
              <w:t xml:space="preserve">estrategia de abastecimiento de agua y saneamiento rural y </w:t>
            </w:r>
            <w:proofErr w:type="gramStart"/>
            <w:r w:rsidR="00864B6F" w:rsidRPr="001A48C5">
              <w:rPr>
                <w:rFonts w:ascii="Times New Roman" w:hAnsi="Times New Roman" w:cs="Times New Roman"/>
                <w:sz w:val="22"/>
                <w:szCs w:val="22"/>
              </w:rPr>
              <w:t>urbana</w:t>
            </w:r>
            <w:proofErr w:type="gramEnd"/>
            <w:r w:rsidRPr="001A48C5">
              <w:rPr>
                <w:rFonts w:ascii="Times New Roman" w:hAnsi="Times New Roman" w:cs="Times New Roman"/>
                <w:sz w:val="22"/>
                <w:szCs w:val="22"/>
              </w:rPr>
              <w:t xml:space="preserve"> - que se preparará durante el segundo </w:t>
            </w:r>
            <w:r w:rsidR="00864B6F" w:rsidRPr="001A48C5">
              <w:rPr>
                <w:rFonts w:ascii="Times New Roman" w:hAnsi="Times New Roman" w:cs="Times New Roman"/>
                <w:sz w:val="22"/>
                <w:szCs w:val="22"/>
              </w:rPr>
              <w:t>año de la operación - incluirán</w:t>
            </w:r>
            <w:r w:rsidRPr="001A48C5">
              <w:rPr>
                <w:rFonts w:ascii="Times New Roman" w:hAnsi="Times New Roman" w:cs="Times New Roman"/>
                <w:sz w:val="22"/>
                <w:szCs w:val="22"/>
              </w:rPr>
              <w:t xml:space="preserve">, las consideraciones </w:t>
            </w:r>
            <w:r w:rsidR="00864B6F" w:rsidRPr="001A48C5">
              <w:rPr>
                <w:rFonts w:ascii="Times New Roman" w:hAnsi="Times New Roman" w:cs="Times New Roman"/>
                <w:sz w:val="22"/>
                <w:szCs w:val="22"/>
              </w:rPr>
              <w:t>ambientales y sociales pertinentes. La e</w:t>
            </w:r>
            <w:r w:rsidRPr="001A48C5">
              <w:rPr>
                <w:rFonts w:ascii="Times New Roman" w:hAnsi="Times New Roman" w:cs="Times New Roman"/>
                <w:sz w:val="22"/>
                <w:szCs w:val="22"/>
              </w:rPr>
              <w:t>strategia será consultad</w:t>
            </w:r>
            <w:r w:rsidR="00864B6F" w:rsidRPr="001A48C5">
              <w:rPr>
                <w:rFonts w:ascii="Times New Roman" w:hAnsi="Times New Roman" w:cs="Times New Roman"/>
                <w:sz w:val="22"/>
                <w:szCs w:val="22"/>
              </w:rPr>
              <w:t>a</w:t>
            </w:r>
            <w:r w:rsidRPr="001A48C5">
              <w:rPr>
                <w:rFonts w:ascii="Times New Roman" w:hAnsi="Times New Roman" w:cs="Times New Roman"/>
                <w:sz w:val="22"/>
                <w:szCs w:val="22"/>
              </w:rPr>
              <w:t xml:space="preserve"> adecuadamente con las p</w:t>
            </w:r>
            <w:r w:rsidR="00864B6F" w:rsidRPr="001A48C5">
              <w:rPr>
                <w:rFonts w:ascii="Times New Roman" w:hAnsi="Times New Roman" w:cs="Times New Roman"/>
                <w:sz w:val="22"/>
                <w:szCs w:val="22"/>
              </w:rPr>
              <w:t>artes interesadas pertinentes (</w:t>
            </w:r>
            <w:r w:rsidRPr="001A48C5">
              <w:rPr>
                <w:rFonts w:ascii="Times New Roman" w:hAnsi="Times New Roman" w:cs="Times New Roman"/>
                <w:sz w:val="22"/>
                <w:szCs w:val="22"/>
              </w:rPr>
              <w:t>Organizaciones de la Sociedad Civil y Organizaciones de Pueblos Indígenas que</w:t>
            </w:r>
            <w:r w:rsidR="00864B6F" w:rsidRPr="001A48C5">
              <w:rPr>
                <w:rFonts w:ascii="Times New Roman" w:hAnsi="Times New Roman" w:cs="Times New Roman"/>
                <w:sz w:val="22"/>
                <w:szCs w:val="22"/>
              </w:rPr>
              <w:t xml:space="preserve"> trabajan en el sector del agua)</w:t>
            </w:r>
            <w:r w:rsidRPr="001A48C5">
              <w:rPr>
                <w:rFonts w:ascii="Times New Roman" w:hAnsi="Times New Roman" w:cs="Times New Roman"/>
                <w:sz w:val="22"/>
                <w:szCs w:val="22"/>
              </w:rPr>
              <w:t>.</w:t>
            </w:r>
          </w:p>
          <w:p w:rsidR="00A83F9B" w:rsidRPr="001A48C5" w:rsidRDefault="00A83F9B" w:rsidP="00A83F9B">
            <w:pPr>
              <w:rPr>
                <w:rFonts w:ascii="Times New Roman" w:hAnsi="Times New Roman" w:cs="Times New Roman"/>
                <w:sz w:val="22"/>
                <w:szCs w:val="22"/>
              </w:rPr>
            </w:pPr>
          </w:p>
          <w:p w:rsidR="00A83F9B" w:rsidRPr="001A48C5" w:rsidRDefault="00A83F9B" w:rsidP="00A83F9B">
            <w:pPr>
              <w:rPr>
                <w:rFonts w:ascii="Times New Roman" w:hAnsi="Times New Roman" w:cs="Times New Roman"/>
                <w:sz w:val="22"/>
                <w:szCs w:val="22"/>
              </w:rPr>
            </w:pPr>
            <w:r w:rsidRPr="001A48C5">
              <w:rPr>
                <w:rFonts w:ascii="Times New Roman" w:hAnsi="Times New Roman" w:cs="Times New Roman"/>
                <w:sz w:val="22"/>
                <w:szCs w:val="22"/>
              </w:rPr>
              <w:t xml:space="preserve">El Banco Mundial será responsable de proporcionar la no objeción a los términos de referencia para la preparación </w:t>
            </w:r>
            <w:r w:rsidR="000748D8" w:rsidRPr="001A48C5">
              <w:rPr>
                <w:rFonts w:ascii="Times New Roman" w:hAnsi="Times New Roman" w:cs="Times New Roman"/>
                <w:sz w:val="22"/>
                <w:szCs w:val="22"/>
              </w:rPr>
              <w:t xml:space="preserve">de la estrategia de abastecimiento de agua y saneamiento rural y </w:t>
            </w:r>
            <w:proofErr w:type="gramStart"/>
            <w:r w:rsidR="000748D8" w:rsidRPr="001A48C5">
              <w:rPr>
                <w:rFonts w:ascii="Times New Roman" w:hAnsi="Times New Roman" w:cs="Times New Roman"/>
                <w:sz w:val="22"/>
                <w:szCs w:val="22"/>
              </w:rPr>
              <w:t>urbana</w:t>
            </w:r>
            <w:proofErr w:type="gramEnd"/>
            <w:r w:rsidR="000748D8" w:rsidRPr="001A48C5">
              <w:rPr>
                <w:rFonts w:ascii="Times New Roman" w:hAnsi="Times New Roman" w:cs="Times New Roman"/>
                <w:sz w:val="22"/>
                <w:szCs w:val="22"/>
              </w:rPr>
              <w:t xml:space="preserve"> </w:t>
            </w:r>
            <w:r w:rsidRPr="001A48C5">
              <w:rPr>
                <w:rFonts w:ascii="Times New Roman" w:hAnsi="Times New Roman" w:cs="Times New Roman"/>
                <w:sz w:val="22"/>
                <w:szCs w:val="22"/>
              </w:rPr>
              <w:t>y de los términos de referencia relacionados con la asistencia técnica para mejorar los documentos de licitac</w:t>
            </w:r>
            <w:r w:rsidR="000748D8" w:rsidRPr="001A48C5">
              <w:rPr>
                <w:rFonts w:ascii="Times New Roman" w:hAnsi="Times New Roman" w:cs="Times New Roman"/>
                <w:sz w:val="22"/>
                <w:szCs w:val="22"/>
              </w:rPr>
              <w:t>ión y fortalecer la supervisión</w:t>
            </w:r>
            <w:r w:rsidRPr="001A48C5">
              <w:rPr>
                <w:rFonts w:ascii="Times New Roman" w:hAnsi="Times New Roman" w:cs="Times New Roman"/>
                <w:sz w:val="22"/>
                <w:szCs w:val="22"/>
              </w:rPr>
              <w:t>.</w:t>
            </w:r>
          </w:p>
          <w:p w:rsidR="00A83F9B" w:rsidRPr="001A48C5" w:rsidRDefault="00A83F9B" w:rsidP="00A83F9B">
            <w:pPr>
              <w:rPr>
                <w:rFonts w:ascii="Times New Roman" w:hAnsi="Times New Roman" w:cs="Times New Roman"/>
                <w:sz w:val="22"/>
                <w:szCs w:val="22"/>
              </w:rPr>
            </w:pPr>
          </w:p>
          <w:p w:rsidR="00CB25DC" w:rsidRPr="001A48C5" w:rsidRDefault="00A83F9B" w:rsidP="000748D8">
            <w:pPr>
              <w:rPr>
                <w:rFonts w:ascii="Times New Roman" w:hAnsi="Times New Roman" w:cs="Times New Roman"/>
                <w:sz w:val="22"/>
                <w:szCs w:val="22"/>
              </w:rPr>
            </w:pPr>
            <w:r w:rsidRPr="001A48C5">
              <w:rPr>
                <w:rFonts w:ascii="Times New Roman" w:hAnsi="Times New Roman" w:cs="Times New Roman"/>
                <w:sz w:val="22"/>
                <w:szCs w:val="22"/>
              </w:rPr>
              <w:t xml:space="preserve">La </w:t>
            </w:r>
            <w:r w:rsidR="000748D8" w:rsidRPr="001A48C5">
              <w:rPr>
                <w:rFonts w:ascii="Times New Roman" w:hAnsi="Times New Roman" w:cs="Times New Roman"/>
                <w:sz w:val="22"/>
                <w:szCs w:val="22"/>
              </w:rPr>
              <w:t xml:space="preserve">asistencia técnica </w:t>
            </w:r>
            <w:r w:rsidRPr="001A48C5">
              <w:rPr>
                <w:rFonts w:ascii="Times New Roman" w:hAnsi="Times New Roman" w:cs="Times New Roman"/>
                <w:sz w:val="22"/>
                <w:szCs w:val="22"/>
              </w:rPr>
              <w:t xml:space="preserve">también proporcionará asistencia para mejorar los sistemas de gestión ambiental y social de las dos </w:t>
            </w:r>
            <w:r w:rsidR="000748D8" w:rsidRPr="001A48C5">
              <w:rPr>
                <w:rFonts w:ascii="Times New Roman" w:hAnsi="Times New Roman" w:cs="Times New Roman"/>
                <w:sz w:val="22"/>
                <w:szCs w:val="22"/>
              </w:rPr>
              <w:t>agencias ejecutoras del Programa</w:t>
            </w:r>
            <w:r w:rsidRPr="001A48C5">
              <w:rPr>
                <w:rFonts w:ascii="Times New Roman" w:hAnsi="Times New Roman" w:cs="Times New Roman"/>
                <w:sz w:val="22"/>
                <w:szCs w:val="22"/>
              </w:rPr>
              <w:t xml:space="preserve">, CEA y </w:t>
            </w:r>
            <w:r w:rsidR="000748D8" w:rsidRPr="001A48C5">
              <w:rPr>
                <w:rFonts w:ascii="Times New Roman" w:hAnsi="Times New Roman" w:cs="Times New Roman"/>
                <w:sz w:val="22"/>
                <w:szCs w:val="22"/>
              </w:rPr>
              <w:t>SAPAO</w:t>
            </w:r>
            <w:r w:rsidRPr="001A48C5">
              <w:rPr>
                <w:rFonts w:ascii="Times New Roman" w:hAnsi="Times New Roman" w:cs="Times New Roman"/>
                <w:sz w:val="22"/>
                <w:szCs w:val="22"/>
              </w:rPr>
              <w:t>.</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rPr>
                <w:rFonts w:ascii="Times New Roman" w:hAnsi="Times New Roman" w:cs="Times New Roman"/>
              </w:rPr>
            </w:pPr>
            <w:r>
              <w:rPr>
                <w:rFonts w:ascii="Times New Roman" w:hAnsi="Times New Roman"/>
                <w:sz w:val="22"/>
              </w:rPr>
              <w:t>Hábitats Naturales (OP/BP 4.04)</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5182A" w:rsidRDefault="00B5182A">
            <w:pPr>
              <w:rPr>
                <w:rFonts w:ascii="Times New Roman" w:hAnsi="Times New Roman" w:cs="Times New Roman"/>
              </w:rPr>
            </w:pPr>
            <w:r w:rsidRPr="00B5182A">
              <w:rPr>
                <w:rFonts w:ascii="Times New Roman" w:hAnsi="Times New Roman"/>
                <w:sz w:val="22"/>
              </w:rPr>
              <w:t>No</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1A48C5" w:rsidRDefault="00B5182A" w:rsidP="00B5182A">
            <w:pPr>
              <w:rPr>
                <w:rFonts w:ascii="Times New Roman" w:hAnsi="Times New Roman" w:cs="Times New Roman"/>
                <w:sz w:val="22"/>
                <w:szCs w:val="22"/>
              </w:rPr>
            </w:pPr>
            <w:r w:rsidRPr="001A48C5">
              <w:rPr>
                <w:rFonts w:ascii="Times New Roman" w:hAnsi="Times New Roman"/>
                <w:sz w:val="22"/>
                <w:szCs w:val="22"/>
              </w:rPr>
              <w:t xml:space="preserve">Esta política no se </w:t>
            </w:r>
            <w:r w:rsidR="0011600B">
              <w:rPr>
                <w:rFonts w:ascii="Times New Roman" w:hAnsi="Times New Roman"/>
                <w:sz w:val="22"/>
                <w:szCs w:val="22"/>
              </w:rPr>
              <w:t>aplica ya que el componente de Asistencia T</w:t>
            </w:r>
            <w:r w:rsidRPr="001A48C5">
              <w:rPr>
                <w:rFonts w:ascii="Times New Roman" w:hAnsi="Times New Roman"/>
                <w:sz w:val="22"/>
                <w:szCs w:val="22"/>
              </w:rPr>
              <w:t>écnica no implicará ningún tipo de conversión de hábitats naturales ni hábitats naturales críticos</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Bosques (OP/BP 4.36)</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5182A" w:rsidRDefault="00B5182A">
            <w:pPr>
              <w:rPr>
                <w:rFonts w:ascii="Times New Roman" w:hAnsi="Times New Roman" w:cs="Times New Roman"/>
              </w:rPr>
            </w:pPr>
            <w:r w:rsidRPr="00B5182A">
              <w:rPr>
                <w:rFonts w:ascii="Times New Roman" w:hAnsi="Times New Roman"/>
                <w:sz w:val="22"/>
              </w:rPr>
              <w:t>No</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1A48C5" w:rsidRDefault="00B5182A" w:rsidP="00B5182A">
            <w:pPr>
              <w:rPr>
                <w:rFonts w:ascii="Times New Roman" w:hAnsi="Times New Roman" w:cs="Times New Roman"/>
                <w:sz w:val="22"/>
                <w:szCs w:val="22"/>
              </w:rPr>
            </w:pPr>
            <w:r w:rsidRPr="001A48C5">
              <w:rPr>
                <w:rFonts w:ascii="Times New Roman" w:hAnsi="Times New Roman"/>
                <w:sz w:val="22"/>
                <w:szCs w:val="22"/>
              </w:rPr>
              <w:t xml:space="preserve">Esta política no se </w:t>
            </w:r>
            <w:r w:rsidR="0011600B">
              <w:rPr>
                <w:rFonts w:ascii="Times New Roman" w:hAnsi="Times New Roman"/>
                <w:sz w:val="22"/>
                <w:szCs w:val="22"/>
              </w:rPr>
              <w:t>aplica ya que el componente de Asistencia T</w:t>
            </w:r>
            <w:r w:rsidRPr="001A48C5">
              <w:rPr>
                <w:rFonts w:ascii="Times New Roman" w:hAnsi="Times New Roman"/>
                <w:sz w:val="22"/>
                <w:szCs w:val="22"/>
              </w:rPr>
              <w:t>écnica no afectará a bosques ni comunidades dependientes de los bosques, ni implicará cambios en la gestión de bosques.</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Control de Plagas (OP 4.09)</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5182A" w:rsidRDefault="00CB25DC">
            <w:pPr>
              <w:rPr>
                <w:rFonts w:ascii="Times New Roman" w:hAnsi="Times New Roman" w:cs="Times New Roman"/>
              </w:rPr>
            </w:pPr>
            <w:r w:rsidRPr="00B5182A">
              <w:rPr>
                <w:rFonts w:ascii="Times New Roman" w:hAnsi="Times New Roman"/>
                <w:sz w:val="22"/>
              </w:rPr>
              <w:t>No</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1A48C5" w:rsidRDefault="00CB25DC" w:rsidP="00B5182A">
            <w:pPr>
              <w:rPr>
                <w:rFonts w:ascii="Times New Roman" w:hAnsi="Times New Roman" w:cs="Times New Roman"/>
                <w:sz w:val="22"/>
                <w:szCs w:val="22"/>
              </w:rPr>
            </w:pPr>
            <w:r w:rsidRPr="001A48C5">
              <w:rPr>
                <w:rFonts w:ascii="Times New Roman" w:hAnsi="Times New Roman"/>
                <w:sz w:val="22"/>
                <w:szCs w:val="22"/>
              </w:rPr>
              <w:t xml:space="preserve">Esta política no se aplica porque no existen intervenciones </w:t>
            </w:r>
            <w:r w:rsidR="00B5182A" w:rsidRPr="001A48C5">
              <w:rPr>
                <w:rFonts w:ascii="Times New Roman" w:hAnsi="Times New Roman"/>
                <w:sz w:val="22"/>
                <w:szCs w:val="22"/>
              </w:rPr>
              <w:t xml:space="preserve">en el componente </w:t>
            </w:r>
            <w:r w:rsidRPr="001A48C5">
              <w:rPr>
                <w:rFonts w:ascii="Times New Roman" w:hAnsi="Times New Roman"/>
                <w:sz w:val="22"/>
                <w:szCs w:val="22"/>
              </w:rPr>
              <w:t>que i</w:t>
            </w:r>
            <w:r w:rsidR="00B5182A" w:rsidRPr="001A48C5">
              <w:rPr>
                <w:rFonts w:ascii="Times New Roman" w:hAnsi="Times New Roman"/>
                <w:sz w:val="22"/>
                <w:szCs w:val="22"/>
              </w:rPr>
              <w:t xml:space="preserve">mpliquen la </w:t>
            </w:r>
            <w:r w:rsidR="00B5182A" w:rsidRPr="001A48C5">
              <w:rPr>
                <w:rFonts w:ascii="Times New Roman" w:hAnsi="Times New Roman"/>
                <w:sz w:val="22"/>
                <w:szCs w:val="22"/>
              </w:rPr>
              <w:lastRenderedPageBreak/>
              <w:t>compra o</w:t>
            </w:r>
            <w:r w:rsidRPr="001A48C5">
              <w:rPr>
                <w:rFonts w:ascii="Times New Roman" w:hAnsi="Times New Roman"/>
                <w:sz w:val="22"/>
                <w:szCs w:val="22"/>
              </w:rPr>
              <w:t xml:space="preserve"> el uso de plaguicidas.</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Recursos Culturales Físicos (OP/BP 4.11)</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B17DCB">
            <w:pPr>
              <w:rPr>
                <w:rFonts w:ascii="Times New Roman" w:hAnsi="Times New Roman" w:cs="Times New Roman"/>
              </w:rPr>
            </w:pPr>
            <w:r w:rsidRPr="00B5182A">
              <w:rPr>
                <w:rFonts w:ascii="Times New Roman" w:hAnsi="Times New Roman"/>
                <w:sz w:val="22"/>
              </w:rPr>
              <w:t>No</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1A48C5" w:rsidRDefault="00B17DCB" w:rsidP="00B17DCB">
            <w:pPr>
              <w:rPr>
                <w:rFonts w:ascii="Times New Roman" w:hAnsi="Times New Roman" w:cs="Times New Roman"/>
                <w:sz w:val="22"/>
                <w:szCs w:val="22"/>
              </w:rPr>
            </w:pPr>
            <w:r w:rsidRPr="001A48C5">
              <w:rPr>
                <w:rFonts w:ascii="Times New Roman" w:hAnsi="Times New Roman"/>
                <w:sz w:val="22"/>
                <w:szCs w:val="22"/>
              </w:rPr>
              <w:t xml:space="preserve">Esta política no se </w:t>
            </w:r>
            <w:r w:rsidR="0011600B">
              <w:rPr>
                <w:rFonts w:ascii="Times New Roman" w:hAnsi="Times New Roman"/>
                <w:sz w:val="22"/>
                <w:szCs w:val="22"/>
              </w:rPr>
              <w:t>aplica ya que el componente de Asistencia T</w:t>
            </w:r>
            <w:r w:rsidRPr="001A48C5">
              <w:rPr>
                <w:rFonts w:ascii="Times New Roman" w:hAnsi="Times New Roman"/>
                <w:sz w:val="22"/>
                <w:szCs w:val="22"/>
              </w:rPr>
              <w:t>écnica no contempla impactos relacionados con los recursos culturales físicos.</w:t>
            </w:r>
          </w:p>
        </w:tc>
      </w:tr>
      <w:tr w:rsidR="00CB25DC" w:rsidTr="00A10B95">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Pueblos Indígenas</w:t>
            </w:r>
            <w:r>
              <w:rPr>
                <w:rFonts w:ascii="Times New Roman" w:hAnsi="Times New Roman"/>
                <w:sz w:val="22"/>
              </w:rPr>
              <w:br/>
              <w:t>(OP/BP 4.10)</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17DCB" w:rsidRDefault="00CB25DC">
            <w:pPr>
              <w:rPr>
                <w:rFonts w:ascii="Times New Roman" w:hAnsi="Times New Roman" w:cs="Times New Roman"/>
              </w:rPr>
            </w:pPr>
            <w:r w:rsidRPr="00B17DCB">
              <w:rPr>
                <w:rFonts w:ascii="Times New Roman" w:hAnsi="Times New Roman"/>
                <w:sz w:val="22"/>
              </w:rPr>
              <w:t>Sí</w:t>
            </w:r>
          </w:p>
        </w:tc>
        <w:tc>
          <w:tcPr>
            <w:tcW w:w="50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A48C5" w:rsidRDefault="001A48C5" w:rsidP="001A48C5">
            <w:pPr>
              <w:rPr>
                <w:rFonts w:ascii="Times New Roman" w:hAnsi="Times New Roman" w:cs="Times New Roman"/>
                <w:sz w:val="22"/>
                <w:szCs w:val="22"/>
              </w:rPr>
            </w:pPr>
            <w:r w:rsidRPr="001A48C5">
              <w:rPr>
                <w:rFonts w:ascii="Times New Roman" w:hAnsi="Times New Roman" w:cs="Times New Roman"/>
                <w:sz w:val="22"/>
                <w:szCs w:val="22"/>
              </w:rPr>
              <w:t xml:space="preserve">Esta política se </w:t>
            </w:r>
            <w:r>
              <w:rPr>
                <w:rFonts w:ascii="Times New Roman" w:hAnsi="Times New Roman" w:cs="Times New Roman"/>
                <w:sz w:val="22"/>
                <w:szCs w:val="22"/>
              </w:rPr>
              <w:t>aplica</w:t>
            </w:r>
            <w:r w:rsidRPr="001A48C5">
              <w:rPr>
                <w:rFonts w:ascii="Times New Roman" w:hAnsi="Times New Roman" w:cs="Times New Roman"/>
                <w:sz w:val="22"/>
                <w:szCs w:val="22"/>
              </w:rPr>
              <w:t xml:space="preserve"> </w:t>
            </w:r>
            <w:r>
              <w:rPr>
                <w:rFonts w:ascii="Times New Roman" w:hAnsi="Times New Roman" w:cs="Times New Roman"/>
                <w:sz w:val="22"/>
                <w:szCs w:val="22"/>
              </w:rPr>
              <w:t xml:space="preserve">ya que </w:t>
            </w:r>
            <w:r w:rsidR="0011600B">
              <w:rPr>
                <w:rFonts w:ascii="Times New Roman" w:hAnsi="Times New Roman" w:cs="Times New Roman"/>
                <w:sz w:val="22"/>
                <w:szCs w:val="22"/>
              </w:rPr>
              <w:t>el componente de Asistencia T</w:t>
            </w:r>
            <w:r w:rsidRPr="001A48C5">
              <w:rPr>
                <w:rFonts w:ascii="Times New Roman" w:hAnsi="Times New Roman" w:cs="Times New Roman"/>
                <w:sz w:val="22"/>
                <w:szCs w:val="22"/>
              </w:rPr>
              <w:t xml:space="preserve">écnica financiará el desarrollo </w:t>
            </w:r>
            <w:r w:rsidR="00063FC3">
              <w:rPr>
                <w:rFonts w:ascii="Times New Roman" w:hAnsi="Times New Roman" w:cs="Times New Roman"/>
                <w:sz w:val="22"/>
                <w:szCs w:val="22"/>
              </w:rPr>
              <w:t xml:space="preserve">y </w:t>
            </w:r>
            <w:r w:rsidR="00CC7B15" w:rsidRPr="001A48C5">
              <w:rPr>
                <w:rFonts w:ascii="Times New Roman" w:hAnsi="Times New Roman" w:cs="Times New Roman"/>
                <w:sz w:val="22"/>
                <w:szCs w:val="22"/>
              </w:rPr>
              <w:t xml:space="preserve">la estrategia de abastecimiento de agua y saneamiento rural y </w:t>
            </w:r>
            <w:proofErr w:type="gramStart"/>
            <w:r w:rsidR="00CC7B15" w:rsidRPr="001A48C5">
              <w:rPr>
                <w:rFonts w:ascii="Times New Roman" w:hAnsi="Times New Roman" w:cs="Times New Roman"/>
                <w:sz w:val="22"/>
                <w:szCs w:val="22"/>
              </w:rPr>
              <w:t>urbana</w:t>
            </w:r>
            <w:proofErr w:type="gramEnd"/>
            <w:r w:rsidR="00CC7B15" w:rsidRPr="001A48C5">
              <w:rPr>
                <w:rFonts w:ascii="Times New Roman" w:hAnsi="Times New Roman" w:cs="Times New Roman"/>
                <w:sz w:val="22"/>
                <w:szCs w:val="22"/>
              </w:rPr>
              <w:t xml:space="preserve"> y los enfoques experimentales para la prestación de servicios de </w:t>
            </w:r>
            <w:proofErr w:type="spellStart"/>
            <w:r w:rsidR="00CC7B15" w:rsidRPr="001A48C5">
              <w:rPr>
                <w:rFonts w:ascii="Times New Roman" w:hAnsi="Times New Roman" w:cs="Times New Roman"/>
                <w:sz w:val="22"/>
                <w:szCs w:val="22"/>
              </w:rPr>
              <w:t>AyS</w:t>
            </w:r>
            <w:proofErr w:type="spellEnd"/>
            <w:r w:rsidR="00CC7B15" w:rsidRPr="001A48C5">
              <w:rPr>
                <w:rFonts w:ascii="Times New Roman" w:hAnsi="Times New Roman" w:cs="Times New Roman"/>
                <w:sz w:val="22"/>
                <w:szCs w:val="22"/>
              </w:rPr>
              <w:t xml:space="preserve"> sostenibles en las zonas rurales y servicios de apoyo</w:t>
            </w:r>
            <w:r w:rsidR="00CC7B15">
              <w:rPr>
                <w:rFonts w:ascii="Times New Roman" w:hAnsi="Times New Roman" w:cs="Times New Roman"/>
                <w:sz w:val="22"/>
                <w:szCs w:val="22"/>
              </w:rPr>
              <w:t>.</w:t>
            </w:r>
          </w:p>
          <w:p w:rsidR="00CC7B15" w:rsidRPr="001A48C5" w:rsidRDefault="00CC7B15" w:rsidP="001A48C5">
            <w:pPr>
              <w:rPr>
                <w:rFonts w:ascii="Times New Roman" w:hAnsi="Times New Roman" w:cs="Times New Roman"/>
                <w:sz w:val="22"/>
                <w:szCs w:val="22"/>
              </w:rPr>
            </w:pPr>
          </w:p>
          <w:p w:rsidR="001A48C5" w:rsidRPr="001A48C5" w:rsidRDefault="001A48C5" w:rsidP="001A48C5">
            <w:pPr>
              <w:rPr>
                <w:rFonts w:ascii="Times New Roman" w:hAnsi="Times New Roman" w:cs="Times New Roman"/>
                <w:sz w:val="22"/>
                <w:szCs w:val="22"/>
              </w:rPr>
            </w:pPr>
            <w:r w:rsidRPr="001A48C5">
              <w:rPr>
                <w:rFonts w:ascii="Times New Roman" w:hAnsi="Times New Roman" w:cs="Times New Roman"/>
                <w:sz w:val="22"/>
                <w:szCs w:val="22"/>
              </w:rPr>
              <w:t xml:space="preserve">El Banco Mundial proporcionará la no objeción a los términos de referencia para la preparación </w:t>
            </w:r>
            <w:r w:rsidR="00063FC3">
              <w:rPr>
                <w:rFonts w:ascii="Times New Roman" w:hAnsi="Times New Roman" w:cs="Times New Roman"/>
                <w:sz w:val="22"/>
                <w:szCs w:val="22"/>
              </w:rPr>
              <w:t>del</w:t>
            </w:r>
            <w:r w:rsidRPr="001A48C5">
              <w:rPr>
                <w:rFonts w:ascii="Times New Roman" w:hAnsi="Times New Roman" w:cs="Times New Roman"/>
                <w:sz w:val="22"/>
                <w:szCs w:val="22"/>
              </w:rPr>
              <w:t xml:space="preserve"> </w:t>
            </w:r>
            <w:r w:rsidR="00CC7B15" w:rsidRPr="001A48C5">
              <w:rPr>
                <w:rFonts w:ascii="Times New Roman" w:hAnsi="Times New Roman" w:cs="Times New Roman"/>
                <w:sz w:val="22"/>
                <w:szCs w:val="22"/>
              </w:rPr>
              <w:t xml:space="preserve">desarrollo </w:t>
            </w:r>
            <w:r w:rsidR="00063FC3">
              <w:rPr>
                <w:rFonts w:ascii="Times New Roman" w:hAnsi="Times New Roman" w:cs="Times New Roman"/>
                <w:sz w:val="22"/>
                <w:szCs w:val="22"/>
              </w:rPr>
              <w:t xml:space="preserve">y </w:t>
            </w:r>
            <w:r w:rsidR="00CC7B15" w:rsidRPr="001A48C5">
              <w:rPr>
                <w:rFonts w:ascii="Times New Roman" w:hAnsi="Times New Roman" w:cs="Times New Roman"/>
                <w:sz w:val="22"/>
                <w:szCs w:val="22"/>
              </w:rPr>
              <w:t xml:space="preserve">la estrategia de abastecimiento de agua y saneamiento rural y </w:t>
            </w:r>
            <w:proofErr w:type="gramStart"/>
            <w:r w:rsidR="00CC7B15" w:rsidRPr="001A48C5">
              <w:rPr>
                <w:rFonts w:ascii="Times New Roman" w:hAnsi="Times New Roman" w:cs="Times New Roman"/>
                <w:sz w:val="22"/>
                <w:szCs w:val="22"/>
              </w:rPr>
              <w:t>urbana</w:t>
            </w:r>
            <w:proofErr w:type="gramEnd"/>
            <w:r w:rsidR="00CC7B15" w:rsidRPr="001A48C5">
              <w:rPr>
                <w:rFonts w:ascii="Times New Roman" w:hAnsi="Times New Roman" w:cs="Times New Roman"/>
                <w:sz w:val="22"/>
                <w:szCs w:val="22"/>
              </w:rPr>
              <w:t xml:space="preserve"> </w:t>
            </w:r>
            <w:r w:rsidRPr="001A48C5">
              <w:rPr>
                <w:rFonts w:ascii="Times New Roman" w:hAnsi="Times New Roman" w:cs="Times New Roman"/>
                <w:sz w:val="22"/>
                <w:szCs w:val="22"/>
              </w:rPr>
              <w:t xml:space="preserve">para garantizar que cualquier actividad y asesoramiento </w:t>
            </w:r>
            <w:r w:rsidR="00CC7B15">
              <w:rPr>
                <w:rFonts w:ascii="Times New Roman" w:hAnsi="Times New Roman" w:cs="Times New Roman"/>
                <w:sz w:val="22"/>
                <w:szCs w:val="22"/>
              </w:rPr>
              <w:t xml:space="preserve">que se dé al respecto </w:t>
            </w:r>
            <w:r w:rsidRPr="001A48C5">
              <w:rPr>
                <w:rFonts w:ascii="Times New Roman" w:hAnsi="Times New Roman" w:cs="Times New Roman"/>
                <w:sz w:val="22"/>
                <w:szCs w:val="22"/>
              </w:rPr>
              <w:t>est</w:t>
            </w:r>
            <w:r w:rsidR="00CC7B15">
              <w:rPr>
                <w:rFonts w:ascii="Times New Roman" w:hAnsi="Times New Roman" w:cs="Times New Roman"/>
                <w:sz w:val="22"/>
                <w:szCs w:val="22"/>
              </w:rPr>
              <w:t>é</w:t>
            </w:r>
            <w:r w:rsidRPr="001A48C5">
              <w:rPr>
                <w:rFonts w:ascii="Times New Roman" w:hAnsi="Times New Roman" w:cs="Times New Roman"/>
                <w:sz w:val="22"/>
                <w:szCs w:val="22"/>
              </w:rPr>
              <w:t xml:space="preserve"> </w:t>
            </w:r>
            <w:r w:rsidR="00CC7B15">
              <w:rPr>
                <w:rFonts w:ascii="Times New Roman" w:hAnsi="Times New Roman" w:cs="Times New Roman"/>
                <w:sz w:val="22"/>
                <w:szCs w:val="22"/>
              </w:rPr>
              <w:t>alineado</w:t>
            </w:r>
            <w:r w:rsidRPr="001A48C5">
              <w:rPr>
                <w:rFonts w:ascii="Times New Roman" w:hAnsi="Times New Roman" w:cs="Times New Roman"/>
                <w:sz w:val="22"/>
                <w:szCs w:val="22"/>
              </w:rPr>
              <w:t xml:space="preserve"> c</w:t>
            </w:r>
            <w:r w:rsidR="00CC7B15">
              <w:rPr>
                <w:rFonts w:ascii="Times New Roman" w:hAnsi="Times New Roman" w:cs="Times New Roman"/>
                <w:sz w:val="22"/>
                <w:szCs w:val="22"/>
              </w:rPr>
              <w:t>on los principios de la OP 4.10. Además, la e</w:t>
            </w:r>
            <w:r w:rsidRPr="001A48C5">
              <w:rPr>
                <w:rFonts w:ascii="Times New Roman" w:hAnsi="Times New Roman" w:cs="Times New Roman"/>
                <w:sz w:val="22"/>
                <w:szCs w:val="22"/>
              </w:rPr>
              <w:t xml:space="preserve">strategia se discutirá de manera adecuada con las </w:t>
            </w:r>
            <w:r w:rsidR="00CC7B15">
              <w:rPr>
                <w:rFonts w:ascii="Times New Roman" w:hAnsi="Times New Roman" w:cs="Times New Roman"/>
                <w:sz w:val="22"/>
                <w:szCs w:val="22"/>
              </w:rPr>
              <w:t>Organizaciones de Pueblos Indígenas</w:t>
            </w:r>
            <w:r w:rsidRPr="001A48C5">
              <w:rPr>
                <w:rFonts w:ascii="Times New Roman" w:hAnsi="Times New Roman" w:cs="Times New Roman"/>
                <w:sz w:val="22"/>
                <w:szCs w:val="22"/>
              </w:rPr>
              <w:t xml:space="preserve"> pertinentes que</w:t>
            </w:r>
            <w:r w:rsidR="00CC7B15">
              <w:rPr>
                <w:rFonts w:ascii="Times New Roman" w:hAnsi="Times New Roman" w:cs="Times New Roman"/>
                <w:sz w:val="22"/>
                <w:szCs w:val="22"/>
              </w:rPr>
              <w:t xml:space="preserve"> trabajan en el sector del agua</w:t>
            </w:r>
            <w:r w:rsidRPr="001A48C5">
              <w:rPr>
                <w:rFonts w:ascii="Times New Roman" w:hAnsi="Times New Roman" w:cs="Times New Roman"/>
                <w:sz w:val="22"/>
                <w:szCs w:val="22"/>
              </w:rPr>
              <w:t>.</w:t>
            </w:r>
          </w:p>
          <w:p w:rsidR="001A48C5" w:rsidRPr="001A48C5" w:rsidRDefault="001A48C5" w:rsidP="001A48C5">
            <w:pPr>
              <w:rPr>
                <w:rFonts w:ascii="Times New Roman" w:hAnsi="Times New Roman" w:cs="Times New Roman"/>
                <w:sz w:val="22"/>
                <w:szCs w:val="22"/>
              </w:rPr>
            </w:pPr>
          </w:p>
          <w:p w:rsidR="001A48C5" w:rsidRPr="001A48C5" w:rsidRDefault="001A48C5" w:rsidP="001A48C5">
            <w:pPr>
              <w:rPr>
                <w:rFonts w:ascii="Times New Roman" w:hAnsi="Times New Roman" w:cs="Times New Roman"/>
                <w:sz w:val="22"/>
                <w:szCs w:val="22"/>
              </w:rPr>
            </w:pPr>
            <w:r w:rsidRPr="001A48C5">
              <w:rPr>
                <w:rFonts w:ascii="Times New Roman" w:hAnsi="Times New Roman" w:cs="Times New Roman"/>
                <w:sz w:val="22"/>
                <w:szCs w:val="22"/>
              </w:rPr>
              <w:t>Los pueblos indígenas constituyen la mayoría de los beneficiarios</w:t>
            </w:r>
            <w:r w:rsidR="00CC7B15">
              <w:rPr>
                <w:rFonts w:ascii="Times New Roman" w:hAnsi="Times New Roman" w:cs="Times New Roman"/>
                <w:sz w:val="22"/>
                <w:szCs w:val="22"/>
              </w:rPr>
              <w:t xml:space="preserve"> del diseño de </w:t>
            </w:r>
            <w:r w:rsidR="00CC7B15" w:rsidRPr="001A48C5">
              <w:rPr>
                <w:rFonts w:ascii="Times New Roman" w:hAnsi="Times New Roman" w:cs="Times New Roman"/>
                <w:sz w:val="22"/>
                <w:szCs w:val="22"/>
              </w:rPr>
              <w:t xml:space="preserve">enfoques experimentales para la prestación de servicios de </w:t>
            </w:r>
            <w:proofErr w:type="spellStart"/>
            <w:r w:rsidR="00CC7B15" w:rsidRPr="001A48C5">
              <w:rPr>
                <w:rFonts w:ascii="Times New Roman" w:hAnsi="Times New Roman" w:cs="Times New Roman"/>
                <w:sz w:val="22"/>
                <w:szCs w:val="22"/>
              </w:rPr>
              <w:t>AyS</w:t>
            </w:r>
            <w:proofErr w:type="spellEnd"/>
            <w:r w:rsidR="00CC7B15" w:rsidRPr="001A48C5">
              <w:rPr>
                <w:rFonts w:ascii="Times New Roman" w:hAnsi="Times New Roman" w:cs="Times New Roman"/>
                <w:sz w:val="22"/>
                <w:szCs w:val="22"/>
              </w:rPr>
              <w:t xml:space="preserve"> sostenibles en las zonas rurales y servicios de apoyo</w:t>
            </w:r>
            <w:r w:rsidR="00CC7B15">
              <w:rPr>
                <w:rFonts w:ascii="Times New Roman" w:hAnsi="Times New Roman" w:cs="Times New Roman"/>
                <w:sz w:val="22"/>
                <w:szCs w:val="22"/>
              </w:rPr>
              <w:t>. A este respecto</w:t>
            </w:r>
            <w:r w:rsidRPr="001A48C5">
              <w:rPr>
                <w:rFonts w:ascii="Times New Roman" w:hAnsi="Times New Roman" w:cs="Times New Roman"/>
                <w:sz w:val="22"/>
                <w:szCs w:val="22"/>
              </w:rPr>
              <w:t>, el diseño del piloto n</w:t>
            </w:r>
            <w:r w:rsidR="00CC7B15">
              <w:rPr>
                <w:rFonts w:ascii="Times New Roman" w:hAnsi="Times New Roman" w:cs="Times New Roman"/>
                <w:sz w:val="22"/>
                <w:szCs w:val="22"/>
              </w:rPr>
              <w:t>o requerirá un Plan de Pueblos I</w:t>
            </w:r>
            <w:r w:rsidRPr="001A48C5">
              <w:rPr>
                <w:rFonts w:ascii="Times New Roman" w:hAnsi="Times New Roman" w:cs="Times New Roman"/>
                <w:sz w:val="22"/>
                <w:szCs w:val="22"/>
              </w:rPr>
              <w:t>ndígena</w:t>
            </w:r>
            <w:r w:rsidR="00CC7B15">
              <w:rPr>
                <w:rFonts w:ascii="Times New Roman" w:hAnsi="Times New Roman" w:cs="Times New Roman"/>
                <w:sz w:val="22"/>
                <w:szCs w:val="22"/>
              </w:rPr>
              <w:t>s</w:t>
            </w:r>
            <w:r w:rsidRPr="001A48C5">
              <w:rPr>
                <w:rFonts w:ascii="Times New Roman" w:hAnsi="Times New Roman" w:cs="Times New Roman"/>
                <w:sz w:val="22"/>
                <w:szCs w:val="22"/>
              </w:rPr>
              <w:t xml:space="preserve"> separad</w:t>
            </w:r>
            <w:r w:rsidR="00CC7B15">
              <w:rPr>
                <w:rFonts w:ascii="Times New Roman" w:hAnsi="Times New Roman" w:cs="Times New Roman"/>
                <w:sz w:val="22"/>
                <w:szCs w:val="22"/>
              </w:rPr>
              <w:t>o. Sin embargo</w:t>
            </w:r>
            <w:r w:rsidRPr="001A48C5">
              <w:rPr>
                <w:rFonts w:ascii="Times New Roman" w:hAnsi="Times New Roman" w:cs="Times New Roman"/>
                <w:sz w:val="22"/>
                <w:szCs w:val="22"/>
              </w:rPr>
              <w:t>, de conformidad con la OP 4.10, los elementos de un Plan para los Pueblos Indígenas se incluirán en el diseño general de actividad. El diseño detallado de esta actividad se llev</w:t>
            </w:r>
            <w:r w:rsidR="00CC7B15">
              <w:rPr>
                <w:rFonts w:ascii="Times New Roman" w:hAnsi="Times New Roman" w:cs="Times New Roman"/>
                <w:sz w:val="22"/>
                <w:szCs w:val="22"/>
              </w:rPr>
              <w:t>ará a cabo durante la ejecución</w:t>
            </w:r>
            <w:r w:rsidRPr="001A48C5">
              <w:rPr>
                <w:rFonts w:ascii="Times New Roman" w:hAnsi="Times New Roman" w:cs="Times New Roman"/>
                <w:sz w:val="22"/>
                <w:szCs w:val="22"/>
              </w:rPr>
              <w:t xml:space="preserve"> en consulta con las</w:t>
            </w:r>
            <w:r w:rsidR="00CC7B15">
              <w:rPr>
                <w:rFonts w:ascii="Times New Roman" w:hAnsi="Times New Roman" w:cs="Times New Roman"/>
                <w:sz w:val="22"/>
                <w:szCs w:val="22"/>
              </w:rPr>
              <w:t xml:space="preserve"> Organizaciones de Pueblos Indígenas</w:t>
            </w:r>
            <w:r w:rsidR="00CC7B15" w:rsidRPr="001A48C5">
              <w:rPr>
                <w:rFonts w:ascii="Times New Roman" w:hAnsi="Times New Roman" w:cs="Times New Roman"/>
                <w:sz w:val="22"/>
                <w:szCs w:val="22"/>
              </w:rPr>
              <w:t xml:space="preserve"> pertinentes</w:t>
            </w:r>
            <w:r w:rsidRPr="001A48C5">
              <w:rPr>
                <w:rFonts w:ascii="Times New Roman" w:hAnsi="Times New Roman" w:cs="Times New Roman"/>
                <w:sz w:val="22"/>
                <w:szCs w:val="22"/>
              </w:rPr>
              <w:t>. El Banco Mundial será responsable de proporcionar la no objeción a los términos de referencia del diseño de los enfoques experimentales para proveer de agua y saneamiento rural sostenible y servicios de apoyo - que se prepara durante el segundo año de la operación.</w:t>
            </w:r>
          </w:p>
          <w:p w:rsidR="001A48C5" w:rsidRPr="001A48C5" w:rsidRDefault="001A48C5" w:rsidP="001A48C5">
            <w:pPr>
              <w:rPr>
                <w:rFonts w:ascii="Times New Roman" w:hAnsi="Times New Roman" w:cs="Times New Roman"/>
                <w:sz w:val="22"/>
                <w:szCs w:val="22"/>
              </w:rPr>
            </w:pPr>
          </w:p>
          <w:p w:rsidR="00CB25DC" w:rsidRPr="001A48C5" w:rsidRDefault="001A48C5" w:rsidP="00CC7B15">
            <w:pPr>
              <w:rPr>
                <w:rFonts w:ascii="Times New Roman" w:hAnsi="Times New Roman" w:cs="Times New Roman"/>
                <w:sz w:val="22"/>
                <w:szCs w:val="22"/>
              </w:rPr>
            </w:pPr>
            <w:r w:rsidRPr="001A48C5">
              <w:rPr>
                <w:rFonts w:ascii="Times New Roman" w:hAnsi="Times New Roman" w:cs="Times New Roman"/>
                <w:sz w:val="22"/>
                <w:szCs w:val="22"/>
              </w:rPr>
              <w:t xml:space="preserve">El equipo </w:t>
            </w:r>
            <w:r w:rsidR="00CC7B15">
              <w:rPr>
                <w:rFonts w:ascii="Times New Roman" w:hAnsi="Times New Roman" w:cs="Times New Roman"/>
                <w:sz w:val="22"/>
                <w:szCs w:val="22"/>
              </w:rPr>
              <w:t>del Banco Mundial ayudará</w:t>
            </w:r>
            <w:r w:rsidRPr="001A48C5">
              <w:rPr>
                <w:rFonts w:ascii="Times New Roman" w:hAnsi="Times New Roman" w:cs="Times New Roman"/>
                <w:sz w:val="22"/>
                <w:szCs w:val="22"/>
              </w:rPr>
              <w:t xml:space="preserve"> al Estado de Oaxaca en la preparación de los términos de referencia </w:t>
            </w:r>
            <w:r w:rsidR="00CC7B15">
              <w:rPr>
                <w:rFonts w:ascii="Times New Roman" w:hAnsi="Times New Roman" w:cs="Times New Roman"/>
                <w:sz w:val="22"/>
                <w:szCs w:val="22"/>
              </w:rPr>
              <w:t>para</w:t>
            </w:r>
            <w:r w:rsidRPr="001A48C5">
              <w:rPr>
                <w:rFonts w:ascii="Times New Roman" w:hAnsi="Times New Roman" w:cs="Times New Roman"/>
                <w:sz w:val="22"/>
                <w:szCs w:val="22"/>
              </w:rPr>
              <w:t xml:space="preserve"> la revisión del gasto público del </w:t>
            </w:r>
            <w:r w:rsidR="00CC7B15">
              <w:rPr>
                <w:rFonts w:ascii="Times New Roman" w:hAnsi="Times New Roman" w:cs="Times New Roman"/>
                <w:sz w:val="22"/>
                <w:szCs w:val="22"/>
              </w:rPr>
              <w:t>s</w:t>
            </w:r>
            <w:r w:rsidRPr="001A48C5">
              <w:rPr>
                <w:rFonts w:ascii="Times New Roman" w:hAnsi="Times New Roman" w:cs="Times New Roman"/>
                <w:sz w:val="22"/>
                <w:szCs w:val="22"/>
              </w:rPr>
              <w:t xml:space="preserve">ector </w:t>
            </w:r>
            <w:r w:rsidR="00CC7B15">
              <w:rPr>
                <w:rFonts w:ascii="Times New Roman" w:hAnsi="Times New Roman" w:cs="Times New Roman"/>
                <w:sz w:val="22"/>
                <w:szCs w:val="22"/>
              </w:rPr>
              <w:t xml:space="preserve">de </w:t>
            </w:r>
            <w:proofErr w:type="spellStart"/>
            <w:r w:rsidR="00CC7B15">
              <w:rPr>
                <w:rFonts w:ascii="Times New Roman" w:hAnsi="Times New Roman" w:cs="Times New Roman"/>
                <w:sz w:val="22"/>
                <w:szCs w:val="22"/>
              </w:rPr>
              <w:t>AyS</w:t>
            </w:r>
            <w:proofErr w:type="spellEnd"/>
            <w:r w:rsidR="00CC7B15">
              <w:rPr>
                <w:rFonts w:ascii="Times New Roman" w:hAnsi="Times New Roman" w:cs="Times New Roman"/>
                <w:sz w:val="22"/>
                <w:szCs w:val="22"/>
              </w:rPr>
              <w:t xml:space="preserve"> de Oaxaca para incluir</w:t>
            </w:r>
            <w:r w:rsidRPr="001A48C5">
              <w:rPr>
                <w:rFonts w:ascii="Times New Roman" w:hAnsi="Times New Roman" w:cs="Times New Roman"/>
                <w:sz w:val="22"/>
                <w:szCs w:val="22"/>
              </w:rPr>
              <w:t>, cuando la información lo permit</w:t>
            </w:r>
            <w:r w:rsidR="00CC7B15">
              <w:rPr>
                <w:rFonts w:ascii="Times New Roman" w:hAnsi="Times New Roman" w:cs="Times New Roman"/>
                <w:sz w:val="22"/>
                <w:szCs w:val="22"/>
              </w:rPr>
              <w:t>a</w:t>
            </w:r>
            <w:r w:rsidRPr="001A48C5">
              <w:rPr>
                <w:rFonts w:ascii="Times New Roman" w:hAnsi="Times New Roman" w:cs="Times New Roman"/>
                <w:sz w:val="22"/>
                <w:szCs w:val="22"/>
              </w:rPr>
              <w:t xml:space="preserve">, los datos desagregados para evaluar cuánto de los recursos ha llegado a los más pobres y </w:t>
            </w:r>
            <w:r w:rsidR="00CC7B15">
              <w:rPr>
                <w:rFonts w:ascii="Times New Roman" w:hAnsi="Times New Roman" w:cs="Times New Roman"/>
                <w:sz w:val="22"/>
                <w:szCs w:val="22"/>
              </w:rPr>
              <w:t>a los pueblos indígenas</w:t>
            </w:r>
            <w:r w:rsidRPr="001A48C5">
              <w:rPr>
                <w:rFonts w:ascii="Times New Roman" w:hAnsi="Times New Roman" w:cs="Times New Roman"/>
                <w:sz w:val="22"/>
                <w:szCs w:val="22"/>
              </w:rPr>
              <w:t>.</w:t>
            </w:r>
          </w:p>
        </w:tc>
      </w:tr>
      <w:tr w:rsidR="00CB25DC" w:rsidTr="003F6E1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Reasentamiento Involuntario (OP/BP 4.12)</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17DCB" w:rsidRDefault="00B17DCB">
            <w:pPr>
              <w:rPr>
                <w:rFonts w:ascii="Times New Roman" w:hAnsi="Times New Roman" w:cs="Times New Roman"/>
              </w:rPr>
            </w:pPr>
            <w:r w:rsidRPr="00B17DCB">
              <w:rPr>
                <w:rFonts w:ascii="Times New Roman" w:hAnsi="Times New Roman"/>
                <w:sz w:val="22"/>
              </w:rPr>
              <w:t>No</w:t>
            </w:r>
          </w:p>
        </w:tc>
        <w:tc>
          <w:tcPr>
            <w:tcW w:w="504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21728" w:rsidRPr="00FC5E5C" w:rsidRDefault="00721728" w:rsidP="00721728">
            <w:pPr>
              <w:rPr>
                <w:rFonts w:ascii="Times New Roman" w:hAnsi="Times New Roman" w:cs="Times New Roman"/>
                <w:sz w:val="22"/>
                <w:szCs w:val="22"/>
              </w:rPr>
            </w:pPr>
            <w:r w:rsidRPr="00FC5E5C">
              <w:rPr>
                <w:rFonts w:ascii="Times New Roman" w:hAnsi="Times New Roman" w:cs="Times New Roman"/>
                <w:sz w:val="22"/>
                <w:szCs w:val="22"/>
              </w:rPr>
              <w:t xml:space="preserve">Esta política no se </w:t>
            </w:r>
            <w:r w:rsidR="0011600B">
              <w:rPr>
                <w:rFonts w:ascii="Times New Roman" w:hAnsi="Times New Roman" w:cs="Times New Roman"/>
                <w:sz w:val="22"/>
                <w:szCs w:val="22"/>
              </w:rPr>
              <w:t>aplica porque el componente de Asistencia T</w:t>
            </w:r>
            <w:r w:rsidRPr="00FC5E5C">
              <w:rPr>
                <w:rFonts w:ascii="Times New Roman" w:hAnsi="Times New Roman" w:cs="Times New Roman"/>
                <w:sz w:val="22"/>
                <w:szCs w:val="22"/>
              </w:rPr>
              <w:t xml:space="preserve">écnica financiará actividades de asistencia técnica a nivel estratégico. </w:t>
            </w:r>
            <w:r w:rsidR="00FC5E5C">
              <w:rPr>
                <w:rFonts w:ascii="Times New Roman" w:hAnsi="Times New Roman" w:cs="Times New Roman"/>
                <w:sz w:val="22"/>
                <w:szCs w:val="22"/>
              </w:rPr>
              <w:t>L</w:t>
            </w:r>
            <w:r w:rsidR="00FC5E5C" w:rsidRPr="00FC5E5C">
              <w:rPr>
                <w:rFonts w:ascii="Times New Roman" w:hAnsi="Times New Roman" w:cs="Times New Roman"/>
                <w:sz w:val="22"/>
                <w:szCs w:val="22"/>
              </w:rPr>
              <w:t xml:space="preserve">a estrategia de abastecimiento de agua y saneamiento rural y </w:t>
            </w:r>
            <w:proofErr w:type="gramStart"/>
            <w:r w:rsidR="00FC5E5C" w:rsidRPr="00FC5E5C">
              <w:rPr>
                <w:rFonts w:ascii="Times New Roman" w:hAnsi="Times New Roman" w:cs="Times New Roman"/>
                <w:sz w:val="22"/>
                <w:szCs w:val="22"/>
              </w:rPr>
              <w:t>urbana</w:t>
            </w:r>
            <w:proofErr w:type="gramEnd"/>
            <w:r w:rsidR="00FC5E5C" w:rsidRPr="00FC5E5C">
              <w:rPr>
                <w:rFonts w:ascii="Times New Roman" w:hAnsi="Times New Roman" w:cs="Times New Roman"/>
                <w:sz w:val="22"/>
                <w:szCs w:val="22"/>
              </w:rPr>
              <w:t xml:space="preserve"> </w:t>
            </w:r>
            <w:r w:rsidRPr="00FC5E5C">
              <w:rPr>
                <w:rFonts w:ascii="Times New Roman" w:hAnsi="Times New Roman" w:cs="Times New Roman"/>
                <w:sz w:val="22"/>
                <w:szCs w:val="22"/>
              </w:rPr>
              <w:lastRenderedPageBreak/>
              <w:t>ayud</w:t>
            </w:r>
            <w:r w:rsidR="00FC5E5C">
              <w:rPr>
                <w:rFonts w:ascii="Times New Roman" w:hAnsi="Times New Roman" w:cs="Times New Roman"/>
                <w:sz w:val="22"/>
                <w:szCs w:val="22"/>
              </w:rPr>
              <w:t>ará</w:t>
            </w:r>
            <w:r w:rsidRPr="00FC5E5C">
              <w:rPr>
                <w:rFonts w:ascii="Times New Roman" w:hAnsi="Times New Roman" w:cs="Times New Roman"/>
                <w:sz w:val="22"/>
                <w:szCs w:val="22"/>
              </w:rPr>
              <w:t xml:space="preserve"> al cliente a identificar las inversiones necesarias para el desarrollo </w:t>
            </w:r>
            <w:r w:rsidR="00FC5E5C">
              <w:rPr>
                <w:rFonts w:ascii="Times New Roman" w:hAnsi="Times New Roman" w:cs="Times New Roman"/>
                <w:sz w:val="22"/>
                <w:szCs w:val="22"/>
              </w:rPr>
              <w:t xml:space="preserve">del sector </w:t>
            </w:r>
            <w:r w:rsidRPr="00FC5E5C">
              <w:rPr>
                <w:rFonts w:ascii="Times New Roman" w:hAnsi="Times New Roman" w:cs="Times New Roman"/>
                <w:sz w:val="22"/>
                <w:szCs w:val="22"/>
              </w:rPr>
              <w:t>a largo plazo. Dada la naturaleza de esta act</w:t>
            </w:r>
            <w:r w:rsidR="00FC5E5C">
              <w:rPr>
                <w:rFonts w:ascii="Times New Roman" w:hAnsi="Times New Roman" w:cs="Times New Roman"/>
                <w:sz w:val="22"/>
                <w:szCs w:val="22"/>
              </w:rPr>
              <w:t xml:space="preserve">ividad en la que se identificarán de manera amplia </w:t>
            </w:r>
            <w:r w:rsidRPr="00FC5E5C">
              <w:rPr>
                <w:rFonts w:ascii="Times New Roman" w:hAnsi="Times New Roman" w:cs="Times New Roman"/>
                <w:sz w:val="22"/>
                <w:szCs w:val="22"/>
              </w:rPr>
              <w:t>las prioridades de inversión del sector, la estrategia no apoyará el diseño de las inversiones específicas que pu</w:t>
            </w:r>
            <w:r w:rsidR="00FC5E5C">
              <w:rPr>
                <w:rFonts w:ascii="Times New Roman" w:hAnsi="Times New Roman" w:cs="Times New Roman"/>
                <w:sz w:val="22"/>
                <w:szCs w:val="22"/>
              </w:rPr>
              <w:t>dieran</w:t>
            </w:r>
            <w:r w:rsidRPr="00FC5E5C">
              <w:rPr>
                <w:rFonts w:ascii="Times New Roman" w:hAnsi="Times New Roman" w:cs="Times New Roman"/>
                <w:sz w:val="22"/>
                <w:szCs w:val="22"/>
              </w:rPr>
              <w:t xml:space="preserve"> requerir reasentamiento involuntario, ni el diseño de planes de gestión de los recursos hídricos que pu</w:t>
            </w:r>
            <w:r w:rsidR="00FC5E5C">
              <w:rPr>
                <w:rFonts w:ascii="Times New Roman" w:hAnsi="Times New Roman" w:cs="Times New Roman"/>
                <w:sz w:val="22"/>
                <w:szCs w:val="22"/>
              </w:rPr>
              <w:t>dieran</w:t>
            </w:r>
            <w:r w:rsidRPr="00FC5E5C">
              <w:rPr>
                <w:rFonts w:ascii="Times New Roman" w:hAnsi="Times New Roman" w:cs="Times New Roman"/>
                <w:sz w:val="22"/>
                <w:szCs w:val="22"/>
              </w:rPr>
              <w:t xml:space="preserve"> dar lugar a restricciones en el uso del suelo o el acceso a los recursos naturales. </w:t>
            </w:r>
          </w:p>
          <w:p w:rsidR="00721728" w:rsidRPr="00FC5E5C" w:rsidRDefault="00721728" w:rsidP="00721728">
            <w:pPr>
              <w:rPr>
                <w:rFonts w:ascii="Times New Roman" w:hAnsi="Times New Roman" w:cs="Times New Roman"/>
                <w:sz w:val="22"/>
                <w:szCs w:val="22"/>
              </w:rPr>
            </w:pPr>
          </w:p>
          <w:p w:rsidR="00CB25DC" w:rsidRDefault="00721728" w:rsidP="00CC7B15">
            <w:pPr>
              <w:rPr>
                <w:rFonts w:ascii="Times New Roman" w:hAnsi="Times New Roman" w:cs="Times New Roman"/>
              </w:rPr>
            </w:pPr>
            <w:r w:rsidRPr="00FC5E5C">
              <w:rPr>
                <w:rFonts w:ascii="Times New Roman" w:hAnsi="Times New Roman" w:cs="Times New Roman"/>
                <w:sz w:val="22"/>
                <w:szCs w:val="22"/>
              </w:rPr>
              <w:t xml:space="preserve">No obstante, cualquier </w:t>
            </w:r>
            <w:r w:rsidR="00CC7B15">
              <w:rPr>
                <w:rFonts w:ascii="Times New Roman" w:hAnsi="Times New Roman" w:cs="Times New Roman"/>
                <w:sz w:val="22"/>
                <w:szCs w:val="22"/>
              </w:rPr>
              <w:t>asesoramiento</w:t>
            </w:r>
            <w:r w:rsidRPr="00FC5E5C">
              <w:rPr>
                <w:rFonts w:ascii="Times New Roman" w:hAnsi="Times New Roman" w:cs="Times New Roman"/>
                <w:sz w:val="22"/>
                <w:szCs w:val="22"/>
              </w:rPr>
              <w:t xml:space="preserve"> </w:t>
            </w:r>
            <w:r w:rsidR="00FC5E5C">
              <w:rPr>
                <w:rFonts w:ascii="Times New Roman" w:hAnsi="Times New Roman" w:cs="Times New Roman"/>
                <w:sz w:val="22"/>
                <w:szCs w:val="22"/>
              </w:rPr>
              <w:t>que se dé</w:t>
            </w:r>
            <w:r w:rsidR="00CC7B15">
              <w:rPr>
                <w:rFonts w:ascii="Times New Roman" w:hAnsi="Times New Roman" w:cs="Times New Roman"/>
                <w:sz w:val="22"/>
                <w:szCs w:val="22"/>
              </w:rPr>
              <w:t xml:space="preserve"> al respecto</w:t>
            </w:r>
            <w:r w:rsidR="00FC5E5C">
              <w:rPr>
                <w:rFonts w:ascii="Times New Roman" w:hAnsi="Times New Roman" w:cs="Times New Roman"/>
                <w:sz w:val="22"/>
                <w:szCs w:val="22"/>
              </w:rPr>
              <w:t xml:space="preserve"> para el</w:t>
            </w:r>
            <w:r w:rsidRPr="00FC5E5C">
              <w:rPr>
                <w:rFonts w:ascii="Times New Roman" w:hAnsi="Times New Roman" w:cs="Times New Roman"/>
                <w:sz w:val="22"/>
                <w:szCs w:val="22"/>
              </w:rPr>
              <w:t xml:space="preserve"> diseño de la estrategia se llevará a cabo de acuerdo </w:t>
            </w:r>
            <w:r w:rsidR="00FC5E5C">
              <w:rPr>
                <w:rFonts w:ascii="Times New Roman" w:hAnsi="Times New Roman" w:cs="Times New Roman"/>
                <w:sz w:val="22"/>
                <w:szCs w:val="22"/>
              </w:rPr>
              <w:t>con los principios de la</w:t>
            </w:r>
            <w:r w:rsidRPr="00FC5E5C">
              <w:rPr>
                <w:rFonts w:ascii="Times New Roman" w:hAnsi="Times New Roman" w:cs="Times New Roman"/>
                <w:sz w:val="22"/>
                <w:szCs w:val="22"/>
              </w:rPr>
              <w:t xml:space="preserve"> OP4.12.</w:t>
            </w:r>
          </w:p>
        </w:tc>
      </w:tr>
      <w:tr w:rsidR="00CB25DC" w:rsidTr="003F6E1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rPr>
                <w:rFonts w:ascii="Times New Roman" w:hAnsi="Times New Roman" w:cs="Times New Roman"/>
              </w:rPr>
            </w:pPr>
            <w:r>
              <w:rPr>
                <w:rFonts w:ascii="Times New Roman" w:hAnsi="Times New Roman"/>
                <w:sz w:val="22"/>
              </w:rPr>
              <w:t>Seguridad de las Presas (OP/BP 4.37)</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17DCB" w:rsidRDefault="00CB25DC">
            <w:pPr>
              <w:rPr>
                <w:rFonts w:ascii="Times New Roman" w:hAnsi="Times New Roman" w:cs="Times New Roman"/>
              </w:rPr>
            </w:pPr>
            <w:r w:rsidRPr="00B17DCB">
              <w:rPr>
                <w:rFonts w:ascii="Times New Roman" w:hAnsi="Times New Roman"/>
                <w:sz w:val="22"/>
              </w:rPr>
              <w:t>No</w:t>
            </w:r>
          </w:p>
        </w:tc>
        <w:tc>
          <w:tcPr>
            <w:tcW w:w="504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30CE6" w:rsidP="00A74C45">
            <w:pPr>
              <w:rPr>
                <w:rFonts w:ascii="Times New Roman" w:hAnsi="Times New Roman" w:cs="Times New Roman"/>
              </w:rPr>
            </w:pPr>
            <w:r w:rsidRPr="00C30CE6">
              <w:rPr>
                <w:rFonts w:ascii="Times New Roman" w:hAnsi="Times New Roman"/>
                <w:sz w:val="22"/>
              </w:rPr>
              <w:t xml:space="preserve">Esta política no se </w:t>
            </w:r>
            <w:r w:rsidR="00A74C45">
              <w:rPr>
                <w:rFonts w:ascii="Times New Roman" w:hAnsi="Times New Roman"/>
                <w:sz w:val="22"/>
              </w:rPr>
              <w:t>aplica</w:t>
            </w:r>
            <w:r w:rsidR="0011600B">
              <w:rPr>
                <w:rFonts w:ascii="Times New Roman" w:hAnsi="Times New Roman"/>
                <w:sz w:val="22"/>
              </w:rPr>
              <w:t xml:space="preserve"> ya que el componente de Asistencia T</w:t>
            </w:r>
            <w:r w:rsidRPr="00C30CE6">
              <w:rPr>
                <w:rFonts w:ascii="Times New Roman" w:hAnsi="Times New Roman"/>
                <w:sz w:val="22"/>
              </w:rPr>
              <w:t>écnica no apoya la construcción o rehabilitación de las presas ni se basan en la explotación de presas existentes.</w:t>
            </w:r>
          </w:p>
        </w:tc>
      </w:tr>
      <w:tr w:rsidR="00CB25DC" w:rsidTr="003F6E1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285237">
            <w:pPr>
              <w:rPr>
                <w:rFonts w:ascii="Times New Roman" w:hAnsi="Times New Roman" w:cs="Times New Roman"/>
              </w:rPr>
            </w:pPr>
            <w:r>
              <w:rPr>
                <w:rFonts w:ascii="Times New Roman" w:hAnsi="Times New Roman"/>
                <w:sz w:val="22"/>
              </w:rPr>
              <w:t>Proyectos relativos a Cursos de Aguas Internacionales (OP/BP 7.50)</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17DCB" w:rsidRDefault="00B17DCB">
            <w:pPr>
              <w:rPr>
                <w:rFonts w:ascii="Times New Roman" w:hAnsi="Times New Roman" w:cs="Times New Roman"/>
              </w:rPr>
            </w:pPr>
            <w:r w:rsidRPr="00B17DCB">
              <w:rPr>
                <w:rFonts w:ascii="Times New Roman" w:hAnsi="Times New Roman"/>
                <w:sz w:val="22"/>
              </w:rPr>
              <w:t>No</w:t>
            </w:r>
          </w:p>
        </w:tc>
        <w:tc>
          <w:tcPr>
            <w:tcW w:w="504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30CE6" w:rsidP="00C30CE6">
            <w:pPr>
              <w:rPr>
                <w:rFonts w:ascii="Times New Roman" w:hAnsi="Times New Roman" w:cs="Times New Roman"/>
              </w:rPr>
            </w:pPr>
            <w:r w:rsidRPr="00C30CE6">
              <w:rPr>
                <w:rFonts w:ascii="Times New Roman" w:hAnsi="Times New Roman"/>
                <w:sz w:val="22"/>
              </w:rPr>
              <w:t xml:space="preserve">Esta política no se </w:t>
            </w:r>
            <w:r>
              <w:rPr>
                <w:rFonts w:ascii="Times New Roman" w:hAnsi="Times New Roman"/>
                <w:sz w:val="22"/>
              </w:rPr>
              <w:t>aplica</w:t>
            </w:r>
            <w:r w:rsidRPr="00C30CE6">
              <w:rPr>
                <w:rFonts w:ascii="Times New Roman" w:hAnsi="Times New Roman"/>
                <w:sz w:val="22"/>
              </w:rPr>
              <w:t xml:space="preserve"> </w:t>
            </w:r>
            <w:r>
              <w:rPr>
                <w:rFonts w:ascii="Times New Roman" w:hAnsi="Times New Roman"/>
                <w:sz w:val="22"/>
              </w:rPr>
              <w:t>ya que</w:t>
            </w:r>
            <w:r w:rsidR="0011600B">
              <w:rPr>
                <w:rFonts w:ascii="Times New Roman" w:hAnsi="Times New Roman"/>
                <w:sz w:val="22"/>
              </w:rPr>
              <w:t xml:space="preserve"> el componente de Asistencia T</w:t>
            </w:r>
            <w:r w:rsidRPr="00C30CE6">
              <w:rPr>
                <w:rFonts w:ascii="Times New Roman" w:hAnsi="Times New Roman"/>
                <w:sz w:val="22"/>
              </w:rPr>
              <w:t xml:space="preserve">écnica no </w:t>
            </w:r>
            <w:r>
              <w:rPr>
                <w:rFonts w:ascii="Times New Roman" w:hAnsi="Times New Roman"/>
                <w:sz w:val="22"/>
              </w:rPr>
              <w:t>financiará</w:t>
            </w:r>
            <w:r w:rsidRPr="00C30CE6">
              <w:rPr>
                <w:rFonts w:ascii="Times New Roman" w:hAnsi="Times New Roman"/>
                <w:sz w:val="22"/>
              </w:rPr>
              <w:t xml:space="preserve"> actividades que impliquen el uso o la contaminación potencial de los cursos de agua internacionales.</w:t>
            </w:r>
          </w:p>
        </w:tc>
      </w:tr>
      <w:tr w:rsidR="00CB25DC" w:rsidTr="003F6E17">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New Roman" w:hAnsi="Times New Roman" w:cs="Times New Roman"/>
                <w:color w:val="auto"/>
              </w:rPr>
            </w:pP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pPr>
              <w:rPr>
                <w:rFonts w:ascii="Times New Roman" w:hAnsi="Times New Roman" w:cs="Times New Roman"/>
              </w:rPr>
            </w:pPr>
            <w:r>
              <w:rPr>
                <w:rFonts w:ascii="Times New Roman" w:hAnsi="Times New Roman"/>
                <w:sz w:val="22"/>
              </w:rPr>
              <w:t>Proyectos en Zonas en Disputa (OP/BP 7.60)</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Pr="00B17DCB" w:rsidRDefault="00CB25DC">
            <w:pPr>
              <w:rPr>
                <w:rFonts w:ascii="Times New Roman" w:hAnsi="Times New Roman" w:cs="Times New Roman"/>
              </w:rPr>
            </w:pPr>
            <w:r w:rsidRPr="00B17DCB">
              <w:rPr>
                <w:rFonts w:ascii="Times New Roman" w:hAnsi="Times New Roman"/>
                <w:sz w:val="22"/>
              </w:rPr>
              <w:t>No</w:t>
            </w:r>
          </w:p>
        </w:tc>
        <w:tc>
          <w:tcPr>
            <w:tcW w:w="504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B25DC" w:rsidRDefault="00CB25DC" w:rsidP="00C30CE6">
            <w:pPr>
              <w:rPr>
                <w:rFonts w:ascii="Times New Roman" w:hAnsi="Times New Roman" w:cs="Times New Roman"/>
              </w:rPr>
            </w:pPr>
            <w:r>
              <w:rPr>
                <w:rFonts w:ascii="Times New Roman" w:hAnsi="Times New Roman"/>
                <w:sz w:val="22"/>
              </w:rPr>
              <w:t xml:space="preserve">Esta política no se aplica </w:t>
            </w:r>
            <w:r w:rsidR="00C30CE6">
              <w:rPr>
                <w:rFonts w:ascii="Times New Roman" w:hAnsi="Times New Roman"/>
                <w:sz w:val="22"/>
              </w:rPr>
              <w:t xml:space="preserve">ya que el </w:t>
            </w:r>
            <w:r w:rsidR="0011600B">
              <w:rPr>
                <w:rFonts w:ascii="Times New Roman" w:hAnsi="Times New Roman"/>
                <w:sz w:val="22"/>
              </w:rPr>
              <w:t>componente de Asistencia T</w:t>
            </w:r>
            <w:r w:rsidR="00C30CE6" w:rsidRPr="00B5182A">
              <w:rPr>
                <w:rFonts w:ascii="Times New Roman" w:hAnsi="Times New Roman"/>
                <w:sz w:val="22"/>
              </w:rPr>
              <w:t xml:space="preserve">écnica no </w:t>
            </w:r>
            <w:r w:rsidR="00C30CE6">
              <w:rPr>
                <w:rFonts w:ascii="Times New Roman" w:hAnsi="Times New Roman"/>
                <w:sz w:val="22"/>
              </w:rPr>
              <w:t>financia actividades</w:t>
            </w:r>
            <w:r>
              <w:rPr>
                <w:rFonts w:ascii="Times New Roman" w:hAnsi="Times New Roman"/>
                <w:sz w:val="22"/>
              </w:rPr>
              <w:t xml:space="preserve"> en zonas en disputa</w:t>
            </w:r>
            <w:r w:rsidR="00C30CE6">
              <w:rPr>
                <w:rFonts w:ascii="Times New Roman" w:hAnsi="Times New Roman"/>
                <w:sz w:val="22"/>
              </w:rPr>
              <w:t>, tal y como se definen en la política</w:t>
            </w:r>
            <w:r>
              <w:rPr>
                <w:rFonts w:ascii="Times New Roman" w:hAnsi="Times New Roman"/>
                <w:sz w:val="22"/>
              </w:rPr>
              <w:t>.</w:t>
            </w:r>
          </w:p>
        </w:tc>
      </w:tr>
      <w:tr w:rsidR="00CB25DC" w:rsidTr="00D25AD9">
        <w:tc>
          <w:tcPr>
            <w:tcW w:w="9362" w:type="dxa"/>
            <w:gridSpan w:val="14"/>
            <w:tcBorders>
              <w:top w:val="nil"/>
              <w:left w:val="nil"/>
              <w:bottom w:val="nil"/>
              <w:right w:val="nil"/>
            </w:tcBorders>
            <w:shd w:val="clear" w:color="auto" w:fill="FFFFFF"/>
            <w:tcMar>
              <w:top w:w="50" w:type="dxa"/>
              <w:left w:w="50" w:type="dxa"/>
              <w:bottom w:w="50" w:type="dxa"/>
              <w:right w:w="50" w:type="dxa"/>
            </w:tcMar>
            <w:vAlign w:val="center"/>
          </w:tcPr>
          <w:p w:rsidR="00CB25DC" w:rsidRDefault="00CB25DC">
            <w:pPr>
              <w:rPr>
                <w:rFonts w:ascii="Times" w:hAnsi="Times" w:cs="Times"/>
                <w:color w:val="FFFFFF"/>
                <w:sz w:val="4"/>
                <w:szCs w:val="4"/>
              </w:rPr>
            </w:pPr>
            <w:r>
              <w:rPr>
                <w:rFonts w:ascii="Times" w:hAnsi="Times"/>
                <w:color w:val="FFFFFF"/>
                <w:sz w:val="4"/>
              </w:rPr>
              <w:t>.</w:t>
            </w:r>
          </w:p>
        </w:tc>
      </w:tr>
    </w:tbl>
    <w:p w:rsidR="00C67D12" w:rsidRDefault="00C67D12"/>
    <w:tbl>
      <w:tblPr>
        <w:tblW w:w="9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0"/>
        <w:gridCol w:w="187"/>
        <w:gridCol w:w="9175"/>
      </w:tblGrid>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rPr>
              <w:t>II. Principales cuestiones relativas a las políticas de salvaguarda y su tratamiento</w:t>
            </w:r>
          </w:p>
        </w:tc>
      </w:tr>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i/>
                <w:sz w:val="22"/>
              </w:rPr>
              <w:t>A. Resumen de las principales cuestiones vinculadas con las salvaguardas</w:t>
            </w:r>
          </w:p>
        </w:tc>
      </w:tr>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b/>
                <w:sz w:val="22"/>
              </w:rPr>
              <w:t>1. Describa los problemas e impactos relativos a las salvaguardas asociados con el proyecto propuesto. Señale y explique los posibles impactos de gran escala, considerables o irreversibles:</w:t>
            </w:r>
          </w:p>
        </w:tc>
      </w:tr>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D4785E" w:rsidP="00D4785E">
            <w:pPr>
              <w:jc w:val="both"/>
              <w:rPr>
                <w:rFonts w:ascii="Times New Roman" w:hAnsi="Times New Roman" w:cs="Times New Roman"/>
              </w:rPr>
            </w:pPr>
            <w:r w:rsidRPr="00D4785E">
              <w:rPr>
                <w:rFonts w:ascii="Times New Roman" w:hAnsi="Times New Roman"/>
                <w:sz w:val="22"/>
              </w:rPr>
              <w:t xml:space="preserve">No </w:t>
            </w:r>
            <w:r>
              <w:rPr>
                <w:rFonts w:ascii="Times New Roman" w:hAnsi="Times New Roman"/>
                <w:sz w:val="22"/>
              </w:rPr>
              <w:t xml:space="preserve">existen potenciales </w:t>
            </w:r>
            <w:r w:rsidRPr="00D4785E">
              <w:rPr>
                <w:rFonts w:ascii="Times New Roman" w:hAnsi="Times New Roman"/>
                <w:sz w:val="22"/>
              </w:rPr>
              <w:t xml:space="preserve">impactos significativos </w:t>
            </w:r>
            <w:r>
              <w:rPr>
                <w:rFonts w:ascii="Times New Roman" w:hAnsi="Times New Roman"/>
                <w:sz w:val="22"/>
              </w:rPr>
              <w:t>o</w:t>
            </w:r>
            <w:r w:rsidRPr="00D4785E">
              <w:rPr>
                <w:rFonts w:ascii="Times New Roman" w:hAnsi="Times New Roman"/>
                <w:sz w:val="22"/>
              </w:rPr>
              <w:t xml:space="preserve"> irreversibles </w:t>
            </w:r>
            <w:r>
              <w:rPr>
                <w:rFonts w:ascii="Times New Roman" w:hAnsi="Times New Roman"/>
                <w:sz w:val="22"/>
              </w:rPr>
              <w:t xml:space="preserve">de gran escala </w:t>
            </w:r>
            <w:r w:rsidRPr="00D4785E">
              <w:rPr>
                <w:rFonts w:ascii="Times New Roman" w:hAnsi="Times New Roman"/>
                <w:sz w:val="22"/>
              </w:rPr>
              <w:t>que p</w:t>
            </w:r>
            <w:r>
              <w:rPr>
                <w:rFonts w:ascii="Times New Roman" w:hAnsi="Times New Roman"/>
                <w:sz w:val="22"/>
              </w:rPr>
              <w:t>udieran</w:t>
            </w:r>
            <w:r w:rsidRPr="00D4785E">
              <w:rPr>
                <w:rFonts w:ascii="Times New Roman" w:hAnsi="Times New Roman"/>
                <w:sz w:val="22"/>
              </w:rPr>
              <w:t xml:space="preserve"> resultar de las actividades de este componente </w:t>
            </w:r>
            <w:r w:rsidR="0011600B">
              <w:rPr>
                <w:rFonts w:ascii="Times New Roman" w:hAnsi="Times New Roman"/>
                <w:sz w:val="22"/>
              </w:rPr>
              <w:t>de Asistencia T</w:t>
            </w:r>
            <w:r>
              <w:rPr>
                <w:rFonts w:ascii="Times New Roman" w:hAnsi="Times New Roman"/>
                <w:sz w:val="22"/>
              </w:rPr>
              <w:t>écnica</w:t>
            </w:r>
            <w:r w:rsidRPr="00D4785E">
              <w:rPr>
                <w:rFonts w:ascii="Times New Roman" w:hAnsi="Times New Roman"/>
                <w:sz w:val="22"/>
              </w:rPr>
              <w:t>.</w:t>
            </w:r>
          </w:p>
        </w:tc>
      </w:tr>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A10B95">
            <w:pPr>
              <w:rPr>
                <w:rFonts w:ascii="Times New Roman" w:hAnsi="Times New Roman" w:cs="Times New Roman"/>
              </w:rPr>
            </w:pPr>
            <w:r>
              <w:rPr>
                <w:rFonts w:ascii="Times New Roman" w:hAnsi="Times New Roman"/>
                <w:b/>
                <w:sz w:val="22"/>
              </w:rPr>
              <w:t xml:space="preserve">2. Describa los posibles impactos indirectos o de largo plazo que se prevén como consecuencia de actividades futuras en la zona comprendida por el </w:t>
            </w:r>
            <w:r w:rsidR="0011600B">
              <w:rPr>
                <w:rFonts w:ascii="Times New Roman" w:hAnsi="Times New Roman"/>
                <w:b/>
                <w:sz w:val="22"/>
              </w:rPr>
              <w:t>componente de Asistencia T</w:t>
            </w:r>
            <w:r w:rsidR="00A10B95">
              <w:rPr>
                <w:rFonts w:ascii="Times New Roman" w:hAnsi="Times New Roman"/>
                <w:b/>
                <w:sz w:val="22"/>
              </w:rPr>
              <w:t>écnica</w:t>
            </w:r>
            <w:r>
              <w:rPr>
                <w:rFonts w:ascii="Times New Roman" w:hAnsi="Times New Roman"/>
                <w:b/>
                <w:sz w:val="22"/>
              </w:rPr>
              <w:t>:</w:t>
            </w:r>
          </w:p>
        </w:tc>
      </w:tr>
      <w:tr w:rsidR="00C26068"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A10B95" w:rsidP="00E41379">
            <w:pPr>
              <w:jc w:val="both"/>
              <w:rPr>
                <w:rFonts w:ascii="Times New Roman" w:hAnsi="Times New Roman" w:cs="Times New Roman"/>
              </w:rPr>
            </w:pPr>
            <w:r w:rsidRPr="00A10B95">
              <w:rPr>
                <w:rFonts w:ascii="Times New Roman" w:hAnsi="Times New Roman"/>
                <w:sz w:val="22"/>
              </w:rPr>
              <w:t>Dado el carácter estratégico de la</w:t>
            </w:r>
            <w:r>
              <w:rPr>
                <w:rFonts w:ascii="Times New Roman" w:hAnsi="Times New Roman"/>
                <w:sz w:val="22"/>
              </w:rPr>
              <w:t xml:space="preserve"> </w:t>
            </w:r>
            <w:r w:rsidRPr="00A10B95">
              <w:rPr>
                <w:rFonts w:ascii="Times New Roman" w:hAnsi="Times New Roman"/>
                <w:sz w:val="22"/>
              </w:rPr>
              <w:t>estrategia de abastecimiento de agua y saneamiento rural y urbana, no se esperan impactos que p</w:t>
            </w:r>
            <w:r w:rsidR="00E41379">
              <w:rPr>
                <w:rFonts w:ascii="Times New Roman" w:hAnsi="Times New Roman"/>
                <w:sz w:val="22"/>
              </w:rPr>
              <w:t>udieran</w:t>
            </w:r>
            <w:r w:rsidRPr="00A10B95">
              <w:rPr>
                <w:rFonts w:ascii="Times New Roman" w:hAnsi="Times New Roman"/>
                <w:sz w:val="22"/>
              </w:rPr>
              <w:t xml:space="preserve"> causar impactos </w:t>
            </w:r>
            <w:r w:rsidR="00E41379">
              <w:rPr>
                <w:rFonts w:ascii="Times New Roman" w:hAnsi="Times New Roman"/>
                <w:sz w:val="22"/>
              </w:rPr>
              <w:t>indirectos y/o a largo plazo</w:t>
            </w:r>
            <w:r w:rsidRPr="00A10B95">
              <w:rPr>
                <w:rFonts w:ascii="Times New Roman" w:hAnsi="Times New Roman"/>
                <w:sz w:val="22"/>
              </w:rPr>
              <w:t xml:space="preserve">. No obstante, cualquier </w:t>
            </w:r>
            <w:r>
              <w:rPr>
                <w:rFonts w:ascii="Times New Roman" w:hAnsi="Times New Roman"/>
                <w:sz w:val="22"/>
              </w:rPr>
              <w:t xml:space="preserve">asesoramiento </w:t>
            </w:r>
            <w:r w:rsidRPr="00A10B95">
              <w:rPr>
                <w:rFonts w:ascii="Times New Roman" w:hAnsi="Times New Roman"/>
                <w:sz w:val="22"/>
              </w:rPr>
              <w:t xml:space="preserve">dado para la preparación de la estrategia </w:t>
            </w:r>
            <w:r>
              <w:rPr>
                <w:rFonts w:ascii="Times New Roman" w:hAnsi="Times New Roman"/>
                <w:sz w:val="22"/>
              </w:rPr>
              <w:t>tendrá en cuenta</w:t>
            </w:r>
            <w:r w:rsidRPr="00A10B95">
              <w:rPr>
                <w:rFonts w:ascii="Times New Roman" w:hAnsi="Times New Roman"/>
                <w:sz w:val="22"/>
              </w:rPr>
              <w:t xml:space="preserve"> los principios sociales y ambientales en las políticas de salvaguardia del Banco Mundial.</w:t>
            </w: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A10B95" w:rsidRDefault="00A10B95" w:rsidP="00A10B95">
            <w:pPr>
              <w:jc w:val="both"/>
              <w:rPr>
                <w:rFonts w:ascii="Times New Roman" w:hAnsi="Times New Roman"/>
                <w:b/>
                <w:sz w:val="22"/>
              </w:rPr>
            </w:pPr>
            <w:r w:rsidRPr="00A10B95">
              <w:rPr>
                <w:rFonts w:ascii="Times New Roman" w:hAnsi="Times New Roman"/>
                <w:b/>
                <w:sz w:val="22"/>
              </w:rPr>
              <w:t xml:space="preserve">3. Describa opciones alternativas para el </w:t>
            </w:r>
            <w:r>
              <w:rPr>
                <w:rFonts w:ascii="Times New Roman" w:hAnsi="Times New Roman"/>
                <w:b/>
                <w:sz w:val="22"/>
              </w:rPr>
              <w:t>componente</w:t>
            </w:r>
            <w:r w:rsidRPr="00A10B95">
              <w:rPr>
                <w:rFonts w:ascii="Times New Roman" w:hAnsi="Times New Roman"/>
                <w:b/>
                <w:sz w:val="22"/>
              </w:rPr>
              <w:t xml:space="preserve"> (si corresponde) que puedan ayudar a evitar o minimizar los impactos adversos:</w:t>
            </w: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A10B95" w:rsidRDefault="00A10B95" w:rsidP="00C23633">
            <w:pPr>
              <w:jc w:val="both"/>
              <w:rPr>
                <w:rFonts w:ascii="Times New Roman" w:hAnsi="Times New Roman"/>
                <w:sz w:val="22"/>
              </w:rPr>
            </w:pPr>
            <w:r>
              <w:rPr>
                <w:rFonts w:ascii="Times New Roman" w:hAnsi="Times New Roman"/>
                <w:sz w:val="22"/>
              </w:rPr>
              <w:t>N/A</w:t>
            </w: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A10B95" w:rsidRDefault="00A10B95" w:rsidP="00C23633">
            <w:pPr>
              <w:jc w:val="both"/>
              <w:rPr>
                <w:rFonts w:ascii="Times New Roman" w:hAnsi="Times New Roman"/>
                <w:b/>
                <w:sz w:val="22"/>
              </w:rPr>
            </w:pPr>
            <w:r w:rsidRPr="00A10B95">
              <w:rPr>
                <w:rFonts w:ascii="Times New Roman" w:hAnsi="Times New Roman"/>
                <w:b/>
                <w:sz w:val="22"/>
              </w:rPr>
              <w:t>4. Describa las medidas adoptadas por el prestatario para resolver las cuestiones relativas a las políticas de salvaguarda. Evalúe la capacidad del prestatario para planificar e implementar tales medidas:</w:t>
            </w: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A10B95" w:rsidRDefault="00A10B95" w:rsidP="00C23633">
            <w:pPr>
              <w:jc w:val="both"/>
              <w:rPr>
                <w:rFonts w:ascii="Times New Roman" w:hAnsi="Times New Roman"/>
                <w:sz w:val="22"/>
              </w:rPr>
            </w:pPr>
            <w:r>
              <w:rPr>
                <w:rFonts w:ascii="Times New Roman" w:hAnsi="Times New Roman"/>
                <w:sz w:val="22"/>
              </w:rPr>
              <w:t>N/A</w:t>
            </w:r>
          </w:p>
          <w:p w:rsidR="00A10B95" w:rsidRPr="00A10B95" w:rsidRDefault="00A10B95" w:rsidP="00C23633">
            <w:pPr>
              <w:jc w:val="both"/>
              <w:rPr>
                <w:rFonts w:ascii="Times New Roman" w:hAnsi="Times New Roman"/>
                <w:sz w:val="22"/>
              </w:rPr>
            </w:pP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A10B95" w:rsidRDefault="00A10B95" w:rsidP="00C23633">
            <w:pPr>
              <w:jc w:val="both"/>
              <w:rPr>
                <w:rFonts w:ascii="Times New Roman" w:hAnsi="Times New Roman"/>
                <w:b/>
                <w:sz w:val="22"/>
              </w:rPr>
            </w:pPr>
            <w:r w:rsidRPr="00A10B95">
              <w:rPr>
                <w:rFonts w:ascii="Times New Roman" w:hAnsi="Times New Roman"/>
                <w:b/>
                <w:sz w:val="22"/>
              </w:rPr>
              <w:t>5. Identifique a las principales partes interesadas y describa los mecanismos de consulta y divulgación de las políticas de salvaguarda, haciendo hincapié en los posibles grupos afectados:</w:t>
            </w:r>
          </w:p>
        </w:tc>
      </w:tr>
      <w:tr w:rsidR="00A10B95" w:rsidTr="00A10B95">
        <w:trPr>
          <w:gridBefore w:val="1"/>
          <w:wBefore w:w="50" w:type="dxa"/>
        </w:trPr>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10B95" w:rsidRPr="00D4785E" w:rsidRDefault="00A10B95" w:rsidP="00C23633">
            <w:pPr>
              <w:jc w:val="both"/>
              <w:rPr>
                <w:rFonts w:ascii="Times New Roman" w:hAnsi="Times New Roman"/>
                <w:sz w:val="22"/>
              </w:rPr>
            </w:pPr>
            <w:r w:rsidRPr="009168C2">
              <w:rPr>
                <w:rFonts w:ascii="Times New Roman" w:hAnsi="Times New Roman"/>
                <w:sz w:val="22"/>
              </w:rPr>
              <w:t>Cuando</w:t>
            </w:r>
            <w:r>
              <w:rPr>
                <w:rFonts w:ascii="Times New Roman" w:hAnsi="Times New Roman"/>
                <w:sz w:val="22"/>
              </w:rPr>
              <w:t xml:space="preserve"> se desarrolle</w:t>
            </w:r>
            <w:r w:rsidRPr="009168C2">
              <w:rPr>
                <w:rFonts w:ascii="Times New Roman" w:hAnsi="Times New Roman"/>
                <w:sz w:val="22"/>
              </w:rPr>
              <w:t xml:space="preserve"> </w:t>
            </w:r>
            <w:r w:rsidRPr="00A10B95">
              <w:rPr>
                <w:rFonts w:ascii="Times New Roman" w:hAnsi="Times New Roman"/>
                <w:sz w:val="22"/>
              </w:rPr>
              <w:t xml:space="preserve">la estrategia de abastecimiento de agua y saneamiento rural y </w:t>
            </w:r>
            <w:proofErr w:type="gramStart"/>
            <w:r w:rsidRPr="00A10B95">
              <w:rPr>
                <w:rFonts w:ascii="Times New Roman" w:hAnsi="Times New Roman"/>
                <w:sz w:val="22"/>
              </w:rPr>
              <w:t>urbana</w:t>
            </w:r>
            <w:proofErr w:type="gramEnd"/>
            <w:r w:rsidRPr="009168C2">
              <w:rPr>
                <w:rFonts w:ascii="Times New Roman" w:hAnsi="Times New Roman"/>
                <w:sz w:val="22"/>
              </w:rPr>
              <w:t>, se discutirá de manera adecuada con los miembros de las O</w:t>
            </w:r>
            <w:r>
              <w:rPr>
                <w:rFonts w:ascii="Times New Roman" w:hAnsi="Times New Roman"/>
                <w:sz w:val="22"/>
              </w:rPr>
              <w:t>rganizaciones de la Sociedad Civil y las Organizaciones de los Pueblos Indígenas</w:t>
            </w:r>
            <w:r w:rsidRPr="009168C2">
              <w:rPr>
                <w:rFonts w:ascii="Times New Roman" w:hAnsi="Times New Roman"/>
                <w:sz w:val="22"/>
              </w:rPr>
              <w:t xml:space="preserve"> que trabajan en el sector del agua.</w:t>
            </w:r>
          </w:p>
        </w:tc>
      </w:tr>
      <w:tr w:rsidR="00A10B95" w:rsidTr="00A10B95">
        <w:tc>
          <w:tcPr>
            <w:tcW w:w="9412" w:type="dxa"/>
            <w:gridSpan w:val="3"/>
            <w:tcBorders>
              <w:top w:val="nil"/>
              <w:left w:val="nil"/>
              <w:bottom w:val="nil"/>
              <w:right w:val="nil"/>
            </w:tcBorders>
            <w:shd w:val="clear" w:color="auto" w:fill="FFFFFF"/>
            <w:tcMar>
              <w:top w:w="50" w:type="dxa"/>
              <w:left w:w="50" w:type="dxa"/>
              <w:bottom w:w="50" w:type="dxa"/>
              <w:right w:w="50" w:type="dxa"/>
            </w:tcMar>
            <w:vAlign w:val="center"/>
          </w:tcPr>
          <w:p w:rsidR="00A10B95" w:rsidRDefault="00A10B95" w:rsidP="00C23633">
            <w:pPr>
              <w:jc w:val="both"/>
              <w:rPr>
                <w:rFonts w:ascii="Times" w:hAnsi="Times" w:cs="Times"/>
                <w:color w:val="FFFFFF"/>
                <w:sz w:val="4"/>
                <w:szCs w:val="4"/>
              </w:rPr>
            </w:pPr>
            <w:r>
              <w:rPr>
                <w:rFonts w:ascii="Times" w:hAnsi="Times"/>
                <w:color w:val="FFFFFF"/>
                <w:sz w:val="4"/>
              </w:rPr>
              <w:t>.</w:t>
            </w:r>
          </w:p>
        </w:tc>
      </w:tr>
    </w:tbl>
    <w:p w:rsidR="00E8155F" w:rsidRDefault="00E8155F"/>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175"/>
      </w:tblGrid>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rsidP="00285237">
            <w:pPr>
              <w:jc w:val="both"/>
              <w:rPr>
                <w:rFonts w:ascii="Times New Roman" w:hAnsi="Times New Roman" w:cs="Times New Roman"/>
              </w:rPr>
            </w:pPr>
            <w:r>
              <w:rPr>
                <w:rFonts w:ascii="Times New Roman" w:hAnsi="Times New Roman"/>
                <w:b/>
                <w:i/>
                <w:sz w:val="22"/>
              </w:rPr>
              <w:t>B. Requisitos relativos a la divulgación</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E41379">
            <w:pPr>
              <w:jc w:val="both"/>
              <w:rPr>
                <w:rFonts w:ascii="Times New Roman" w:hAnsi="Times New Roman" w:cs="Times New Roman"/>
              </w:rPr>
            </w:pPr>
            <w:r>
              <w:rPr>
                <w:rFonts w:ascii="Times New Roman" w:hAnsi="Times New Roman"/>
                <w:b/>
                <w:sz w:val="22"/>
              </w:rPr>
              <w:t xml:space="preserve">Si, en virtud del </w:t>
            </w:r>
            <w:r w:rsidR="00E41379">
              <w:rPr>
                <w:rFonts w:ascii="Times New Roman" w:hAnsi="Times New Roman"/>
                <w:b/>
                <w:sz w:val="22"/>
              </w:rPr>
              <w:t>componente</w:t>
            </w:r>
            <w:r>
              <w:rPr>
                <w:rFonts w:ascii="Times New Roman" w:hAnsi="Times New Roman"/>
                <w:b/>
                <w:sz w:val="22"/>
              </w:rPr>
              <w:t xml:space="preserve"> deben aplicarse las políticas de salvaguardas sobre control de plagas o recursos culturales físicos, las cuestiones respectivas se deberán abordar y dar a conocer como parte de la auditoría/evaluación ambiental o el plan de gestión ambiental.</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b/>
                <w:sz w:val="22"/>
              </w:rPr>
              <w:t>Si no está prevista la divulgación en el país de alguno de los documentos anteriores, explique los motivos.</w:t>
            </w:r>
          </w:p>
        </w:tc>
      </w:tr>
      <w:tr w:rsidR="00C26068" w:rsidTr="00D25A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E41379" w:rsidP="00285237">
            <w:pPr>
              <w:jc w:val="both"/>
              <w:rPr>
                <w:rFonts w:ascii="Times New Roman" w:hAnsi="Times New Roman" w:cs="Times New Roman"/>
                <w:color w:val="auto"/>
              </w:rPr>
            </w:pPr>
            <w:r>
              <w:rPr>
                <w:rFonts w:ascii="Times New Roman" w:hAnsi="Times New Roman" w:cs="Times New Roman"/>
                <w:color w:val="auto"/>
              </w:rPr>
              <w:t>N/A</w:t>
            </w:r>
          </w:p>
        </w:tc>
      </w:tr>
      <w:tr w:rsidR="00C26068" w:rsidTr="00D25AD9">
        <w:tc>
          <w:tcPr>
            <w:tcW w:w="9362" w:type="dxa"/>
            <w:gridSpan w:val="2"/>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rsidP="00285237">
            <w:pPr>
              <w:jc w:val="both"/>
              <w:rPr>
                <w:rFonts w:ascii="Times" w:hAnsi="Times" w:cs="Times"/>
                <w:color w:val="FFFFFF"/>
                <w:sz w:val="4"/>
                <w:szCs w:val="4"/>
              </w:rPr>
            </w:pPr>
            <w:r>
              <w:rPr>
                <w:rFonts w:ascii="Times" w:hAnsi="Times"/>
                <w:color w:val="FFFFFF"/>
                <w:sz w:val="4"/>
              </w:rPr>
              <w:t>.</w:t>
            </w:r>
          </w:p>
        </w:tc>
      </w:tr>
    </w:tbl>
    <w:p w:rsidR="00E8155F" w:rsidRDefault="00E8155F"/>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0"/>
        <w:gridCol w:w="7"/>
        <w:gridCol w:w="2806"/>
        <w:gridCol w:w="3277"/>
        <w:gridCol w:w="468"/>
        <w:gridCol w:w="562"/>
        <w:gridCol w:w="468"/>
        <w:gridCol w:w="312"/>
        <w:gridCol w:w="851"/>
        <w:gridCol w:w="431"/>
      </w:tblGrid>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82" w:type="dxa"/>
            <w:gridSpan w:val="9"/>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i/>
                <w:sz w:val="22"/>
              </w:rPr>
              <w:t>C. Indicadores de seguimiento del cumplimiento institucional</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8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b/>
                <w:sz w:val="22"/>
              </w:rPr>
              <w:t>Política del Banco Mundial sobre el Acceso a la Información</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 xml:space="preserve">¿Se han enviado al </w:t>
            </w:r>
            <w:proofErr w:type="spellStart"/>
            <w:r>
              <w:rPr>
                <w:rFonts w:ascii="Times New Roman" w:hAnsi="Times New Roman"/>
                <w:sz w:val="22"/>
              </w:rPr>
              <w:t>InfoShop</w:t>
            </w:r>
            <w:proofErr w:type="spellEnd"/>
            <w:r>
              <w:rPr>
                <w:rFonts w:ascii="Times New Roman" w:hAnsi="Times New Roman"/>
                <w:sz w:val="22"/>
              </w:rPr>
              <w:t xml:space="preserve"> del Banco Mundial los documentos pertinentes sobre políticas de salvaguarda?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rsidP="00E41379">
            <w:pPr>
              <w:rPr>
                <w:sz w:val="18"/>
                <w:szCs w:val="18"/>
              </w:rPr>
            </w:pPr>
            <w:r>
              <w:rPr>
                <w:sz w:val="18"/>
              </w:rPr>
              <w:t>[</w:t>
            </w:r>
            <w:r w:rsidR="00E41379">
              <w:rPr>
                <w:sz w:val="18"/>
              </w:rPr>
              <w:t xml:space="preserve"> </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E41379">
              <w:rPr>
                <w:sz w:val="18"/>
              </w:rPr>
              <w:t>X</w:t>
            </w:r>
            <w:r>
              <w:rPr>
                <w:sz w:val="18"/>
              </w:rPr>
              <w:t>]</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 xml:space="preserve">¿Los documentos pertinentes se han dado a conocer en el país, en un sitio público, en un lenguaje y </w:t>
            </w:r>
            <w:r w:rsidR="007930D3">
              <w:rPr>
                <w:rFonts w:ascii="Times New Roman" w:hAnsi="Times New Roman"/>
                <w:sz w:val="22"/>
              </w:rPr>
              <w:t xml:space="preserve">de </w:t>
            </w:r>
            <w:r>
              <w:rPr>
                <w:rFonts w:ascii="Times New Roman" w:hAnsi="Times New Roman"/>
                <w:sz w:val="22"/>
              </w:rPr>
              <w:t>una manera comprensible</w:t>
            </w:r>
            <w:r w:rsidR="007930D3">
              <w:rPr>
                <w:rFonts w:ascii="Times New Roman" w:hAnsi="Times New Roman"/>
                <w:sz w:val="22"/>
              </w:rPr>
              <w:t>s</w:t>
            </w:r>
            <w:r>
              <w:rPr>
                <w:rFonts w:ascii="Times New Roman" w:hAnsi="Times New Roman"/>
                <w:sz w:val="22"/>
              </w:rPr>
              <w:t xml:space="preserve"> y accesible</w:t>
            </w:r>
            <w:r w:rsidR="007930D3">
              <w:rPr>
                <w:rFonts w:ascii="Times New Roman" w:hAnsi="Times New Roman"/>
                <w:sz w:val="22"/>
              </w:rPr>
              <w:t>s</w:t>
            </w:r>
            <w:r>
              <w:rPr>
                <w:rFonts w:ascii="Times New Roman" w:hAnsi="Times New Roman"/>
                <w:sz w:val="22"/>
              </w:rPr>
              <w:t xml:space="preserve"> para los grupos afectados por el proyecto y las ONG locales?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rsidP="00E41379">
            <w:pPr>
              <w:rPr>
                <w:sz w:val="18"/>
                <w:szCs w:val="18"/>
              </w:rPr>
            </w:pPr>
            <w:r>
              <w:rPr>
                <w:sz w:val="18"/>
              </w:rPr>
              <w:t>[</w:t>
            </w:r>
            <w:r w:rsidR="00E41379">
              <w:rPr>
                <w:sz w:val="18"/>
              </w:rPr>
              <w:t xml:space="preserve"> </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E41379">
              <w:rPr>
                <w:sz w:val="18"/>
              </w:rPr>
              <w:t>X</w:t>
            </w:r>
            <w:r w:rsidR="00D25AD9">
              <w:rPr>
                <w:sz w:val="18"/>
              </w:rPr>
              <w:t xml:space="preserve"> </w:t>
            </w:r>
            <w:r>
              <w:rPr>
                <w:sz w:val="18"/>
              </w:rPr>
              <w:t>]</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8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b/>
                <w:sz w:val="22"/>
              </w:rPr>
              <w:t>Todas las políticas de salvaguarda</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¿Se ha preparado un cronograma de actividades y un presupuesto satisfactorios, y se han establecido claramente las responsabilidades institucionales para la implementación de medidas relacionadas con las políticas de salvaguarda?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rsidP="00E41379">
            <w:pPr>
              <w:rPr>
                <w:sz w:val="18"/>
                <w:szCs w:val="18"/>
              </w:rPr>
            </w:pPr>
            <w:r>
              <w:rPr>
                <w:sz w:val="18"/>
              </w:rPr>
              <w:t>[</w:t>
            </w:r>
            <w:r w:rsidR="00E41379">
              <w:rPr>
                <w:sz w:val="18"/>
              </w:rPr>
              <w:t xml:space="preserve"> </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E41379">
              <w:rPr>
                <w:sz w:val="18"/>
              </w:rPr>
              <w:t>X</w:t>
            </w:r>
            <w:r w:rsidR="00D25AD9">
              <w:rPr>
                <w:sz w:val="18"/>
              </w:rPr>
              <w:t xml:space="preserve"> </w:t>
            </w:r>
            <w:r>
              <w:rPr>
                <w:sz w:val="18"/>
              </w:rPr>
              <w:t>]</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¿Los costos relativos a las medidas de salvaguarda se han incluido en el costo total del proyecto?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F73D77">
              <w:rPr>
                <w:sz w:val="18"/>
              </w:rPr>
              <w:t>X</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¿En el sistema de seguimiento y evaluación del proyecto se incluyen el seguimiento de las medidas y los impactos vinculados a las políticas de salvaguarda?</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F73D77">
              <w:rPr>
                <w:sz w:val="18"/>
              </w:rPr>
              <w:t>X</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609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285237">
            <w:pPr>
              <w:jc w:val="both"/>
              <w:rPr>
                <w:rFonts w:ascii="Times New Roman" w:hAnsi="Times New Roman" w:cs="Times New Roman"/>
              </w:rPr>
            </w:pPr>
            <w:r>
              <w:rPr>
                <w:rFonts w:ascii="Times New Roman" w:hAnsi="Times New Roman"/>
                <w:sz w:val="22"/>
              </w:rPr>
              <w:t>¿Se han acordado con el prestatario mecanismos de implementación satisfactorios? ¿Se los ha incluido adecuadamente en los documentos legales del proyecto?</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Sí</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F73D77">
              <w:rPr>
                <w:sz w:val="18"/>
              </w:rPr>
              <w:t>X</w:t>
            </w:r>
            <w:r>
              <w:rPr>
                <w:sz w:val="18"/>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No</w:t>
            </w:r>
          </w:p>
        </w:tc>
        <w:tc>
          <w:tcPr>
            <w:tcW w:w="31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c>
          <w:tcPr>
            <w:tcW w:w="851"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26068" w:rsidRDefault="0053397F">
            <w:pPr>
              <w:jc w:val="right"/>
              <w:rPr>
                <w:rFonts w:ascii="Times New Roman" w:hAnsi="Times New Roman" w:cs="Times New Roman"/>
              </w:rPr>
            </w:pPr>
            <w:r>
              <w:rPr>
                <w:rFonts w:ascii="Times New Roman" w:hAnsi="Times New Roman"/>
                <w:sz w:val="22"/>
              </w:rPr>
              <w:t xml:space="preserve">No </w:t>
            </w:r>
            <w:proofErr w:type="spellStart"/>
            <w:r>
              <w:rPr>
                <w:rFonts w:ascii="Times New Roman" w:hAnsi="Times New Roman"/>
                <w:sz w:val="22"/>
              </w:rPr>
              <w:t>corr</w:t>
            </w:r>
            <w:proofErr w:type="spellEnd"/>
            <w:r>
              <w:rPr>
                <w:rFonts w:ascii="Times New Roman" w:hAnsi="Times New Roman"/>
                <w:sz w:val="22"/>
              </w:rPr>
              <w:t>.</w:t>
            </w:r>
          </w:p>
        </w:tc>
        <w:tc>
          <w:tcPr>
            <w:tcW w:w="431"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sz w:val="18"/>
                <w:szCs w:val="18"/>
              </w:rPr>
            </w:pPr>
            <w:r>
              <w:rPr>
                <w:sz w:val="18"/>
              </w:rPr>
              <w:t>[</w:t>
            </w:r>
            <w:r w:rsidR="00D25AD9">
              <w:rPr>
                <w:sz w:val="18"/>
              </w:rPr>
              <w:t xml:space="preserve"> </w:t>
            </w:r>
            <w:r>
              <w:rPr>
                <w:sz w:val="18"/>
              </w:rPr>
              <w:t>]</w:t>
            </w:r>
          </w:p>
        </w:tc>
      </w:tr>
      <w:tr w:rsidR="00C26068" w:rsidTr="00D25AD9">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w:hAnsi="Times" w:cs="Times"/>
                <w:color w:val="FFFFFF"/>
                <w:sz w:val="16"/>
                <w:szCs w:val="16"/>
              </w:rPr>
            </w:pPr>
            <w:r>
              <w:rPr>
                <w:rFonts w:ascii="Times" w:hAnsi="Times"/>
                <w:color w:val="FFFFFF"/>
                <w:sz w:val="16"/>
              </w:rPr>
              <w:t>.</w:t>
            </w:r>
          </w:p>
        </w:tc>
      </w:tr>
      <w:tr w:rsidR="00C26068" w:rsidTr="00D25AD9">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w:hAnsi="Times" w:cs="Times"/>
                <w:color w:val="FFFFFF"/>
                <w:sz w:val="4"/>
                <w:szCs w:val="4"/>
              </w:rPr>
            </w:pPr>
            <w:r>
              <w:rPr>
                <w:rFonts w:ascii="Times" w:hAnsi="Times"/>
                <w:color w:val="FFFFFF"/>
                <w:sz w:val="4"/>
              </w:rPr>
              <w:t>.</w:t>
            </w:r>
          </w:p>
        </w:tc>
      </w:tr>
      <w:tr w:rsidR="00C26068" w:rsidTr="00D25AD9">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9175" w:type="dxa"/>
            <w:gridSpan w:val="8"/>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New Roman" w:hAnsi="Times New Roman" w:cs="Times New Roman"/>
              </w:rPr>
            </w:pPr>
            <w:r>
              <w:rPr>
                <w:rFonts w:ascii="Times New Roman" w:hAnsi="Times New Roman"/>
                <w:b/>
              </w:rPr>
              <w:t>III. APROBACIONES</w:t>
            </w:r>
          </w:p>
        </w:tc>
      </w:tr>
      <w:tr w:rsidR="00C26068" w:rsidTr="00D25AD9">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C26068" w:rsidRDefault="0053397F">
            <w:pPr>
              <w:rPr>
                <w:rFonts w:ascii="Times" w:hAnsi="Times" w:cs="Times"/>
                <w:color w:val="FFFFFF"/>
                <w:sz w:val="6"/>
                <w:szCs w:val="6"/>
              </w:rPr>
            </w:pPr>
            <w:r>
              <w:rPr>
                <w:rFonts w:ascii="Times" w:hAnsi="Times"/>
                <w:color w:val="FFFFFF"/>
                <w:sz w:val="6"/>
              </w:rPr>
              <w:t>.</w:t>
            </w:r>
          </w:p>
        </w:tc>
      </w:tr>
      <w:tr w:rsidR="00C26068" w:rsidRPr="002A1D4A"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sz w:val="22"/>
              </w:rPr>
              <w:t>Gerente de proyecto:</w:t>
            </w:r>
          </w:p>
        </w:tc>
        <w:tc>
          <w:tcPr>
            <w:tcW w:w="636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Pr="005573B0" w:rsidRDefault="0053397F">
            <w:pPr>
              <w:rPr>
                <w:rFonts w:ascii="Times New Roman" w:hAnsi="Times New Roman" w:cs="Times New Roman"/>
              </w:rPr>
            </w:pPr>
            <w:r>
              <w:rPr>
                <w:rFonts w:ascii="Times New Roman" w:hAnsi="Times New Roman"/>
                <w:sz w:val="22"/>
              </w:rPr>
              <w:t xml:space="preserve">Nombre: </w:t>
            </w:r>
            <w:r w:rsidR="00E41379">
              <w:rPr>
                <w:rFonts w:ascii="Times New Roman" w:hAnsi="Times New Roman" w:cs="Times New Roman"/>
                <w:sz w:val="22"/>
                <w:szCs w:val="22"/>
              </w:rPr>
              <w:t xml:space="preserve">Charles </w:t>
            </w:r>
            <w:proofErr w:type="spellStart"/>
            <w:r w:rsidR="00E41379">
              <w:rPr>
                <w:rFonts w:ascii="Times New Roman" w:hAnsi="Times New Roman" w:cs="Times New Roman"/>
                <w:sz w:val="22"/>
                <w:szCs w:val="22"/>
              </w:rPr>
              <w:t>Delfieux</w:t>
            </w:r>
            <w:proofErr w:type="spellEnd"/>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Pr="005573B0" w:rsidRDefault="00C26068">
            <w:pPr>
              <w:rPr>
                <w:rFonts w:ascii="Times New Roman" w:hAnsi="Times New Roman" w:cs="Times New Roman"/>
                <w:color w:val="auto"/>
              </w:rPr>
            </w:pPr>
          </w:p>
        </w:tc>
        <w:tc>
          <w:tcPr>
            <w:tcW w:w="918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i/>
                <w:sz w:val="22"/>
              </w:rPr>
              <w:t>Aprobada por:</w:t>
            </w:r>
          </w:p>
        </w:tc>
      </w:tr>
      <w:tr w:rsidR="00E41379" w:rsidTr="00E47CF7">
        <w:tc>
          <w:tcPr>
            <w:tcW w:w="187" w:type="dxa"/>
            <w:gridSpan w:val="2"/>
            <w:tcBorders>
              <w:top w:val="nil"/>
              <w:left w:val="nil"/>
              <w:bottom w:val="nil"/>
              <w:right w:val="nil"/>
            </w:tcBorders>
            <w:shd w:val="clear" w:color="auto" w:fill="FFFFFF"/>
            <w:tcMar>
              <w:top w:w="50" w:type="dxa"/>
              <w:left w:w="50" w:type="dxa"/>
              <w:bottom w:w="50" w:type="dxa"/>
              <w:right w:w="50" w:type="dxa"/>
            </w:tcMar>
            <w:vAlign w:val="center"/>
          </w:tcPr>
          <w:p w:rsidR="00E41379" w:rsidRDefault="00E41379" w:rsidP="00E47CF7">
            <w:pPr>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41379" w:rsidRDefault="00E41379" w:rsidP="00E47CF7">
            <w:pPr>
              <w:rPr>
                <w:rFonts w:ascii="Times New Roman" w:hAnsi="Times New Roman" w:cs="Times New Roman"/>
              </w:rPr>
            </w:pPr>
            <w:r>
              <w:rPr>
                <w:rFonts w:ascii="Times New Roman" w:hAnsi="Times New Roman"/>
                <w:sz w:val="22"/>
              </w:rPr>
              <w:t>Coordinador de Salvaguardas Regional</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41379" w:rsidRPr="00E41379" w:rsidRDefault="00E41379" w:rsidP="00E47CF7">
            <w:pPr>
              <w:rPr>
                <w:rFonts w:ascii="Times New Roman" w:hAnsi="Times New Roman" w:cs="Times New Roman"/>
                <w:lang w:val="en-US"/>
              </w:rPr>
            </w:pPr>
            <w:proofErr w:type="spellStart"/>
            <w:r w:rsidRPr="00E41379">
              <w:rPr>
                <w:rFonts w:ascii="Times New Roman" w:hAnsi="Times New Roman"/>
                <w:sz w:val="22"/>
                <w:lang w:val="en-US"/>
              </w:rPr>
              <w:t>Nombre</w:t>
            </w:r>
            <w:proofErr w:type="spellEnd"/>
            <w:r w:rsidRPr="00E41379">
              <w:rPr>
                <w:rFonts w:ascii="Times New Roman" w:hAnsi="Times New Roman"/>
                <w:sz w:val="22"/>
                <w:lang w:val="en-US"/>
              </w:rPr>
              <w:t xml:space="preserve">: </w:t>
            </w:r>
            <w:r>
              <w:rPr>
                <w:rFonts w:ascii="Times New Roman" w:hAnsi="Times New Roman" w:cs="Times New Roman"/>
                <w:sz w:val="22"/>
                <w:szCs w:val="22"/>
              </w:rPr>
              <w:t>Glenn S. Morgan</w:t>
            </w:r>
          </w:p>
        </w:tc>
        <w:tc>
          <w:tcPr>
            <w:tcW w:w="262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41379" w:rsidRDefault="00E41379" w:rsidP="00E41379">
            <w:pPr>
              <w:rPr>
                <w:rFonts w:ascii="Times New Roman" w:hAnsi="Times New Roman" w:cs="Times New Roman"/>
              </w:rPr>
            </w:pPr>
            <w:r>
              <w:rPr>
                <w:rFonts w:ascii="Times New Roman" w:hAnsi="Times New Roman"/>
                <w:sz w:val="22"/>
              </w:rPr>
              <w:t>Fecha: 4 de abril de 2014</w:t>
            </w:r>
          </w:p>
        </w:tc>
      </w:tr>
      <w:tr w:rsidR="00C26068" w:rsidTr="00E41379">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C26068" w:rsidRDefault="00C26068">
            <w:pPr>
              <w:rPr>
                <w:rFonts w:ascii="Times New Roman" w:hAnsi="Times New Roman" w:cs="Times New Roman"/>
                <w:color w:val="auto"/>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pPr>
              <w:rPr>
                <w:rFonts w:ascii="Times New Roman" w:hAnsi="Times New Roman" w:cs="Times New Roman"/>
              </w:rPr>
            </w:pPr>
            <w:r>
              <w:rPr>
                <w:rFonts w:ascii="Times New Roman" w:hAnsi="Times New Roman"/>
                <w:sz w:val="22"/>
              </w:rPr>
              <w:t>Gerente sectorial:</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Pr="00E41379" w:rsidRDefault="0053397F">
            <w:pPr>
              <w:rPr>
                <w:rFonts w:ascii="Times New Roman" w:hAnsi="Times New Roman" w:cs="Times New Roman"/>
                <w:lang w:val="en-US"/>
              </w:rPr>
            </w:pPr>
            <w:proofErr w:type="spellStart"/>
            <w:r w:rsidRPr="00E41379">
              <w:rPr>
                <w:rFonts w:ascii="Times New Roman" w:hAnsi="Times New Roman"/>
                <w:sz w:val="22"/>
                <w:lang w:val="en-US"/>
              </w:rPr>
              <w:t>Nombre</w:t>
            </w:r>
            <w:proofErr w:type="spellEnd"/>
            <w:r w:rsidRPr="00E41379">
              <w:rPr>
                <w:rFonts w:ascii="Times New Roman" w:hAnsi="Times New Roman"/>
                <w:sz w:val="22"/>
                <w:lang w:val="en-US"/>
              </w:rPr>
              <w:t xml:space="preserve">: </w:t>
            </w:r>
            <w:proofErr w:type="spellStart"/>
            <w:r w:rsidR="00E41379">
              <w:rPr>
                <w:rFonts w:ascii="Times New Roman" w:hAnsi="Times New Roman" w:cs="Times New Roman"/>
                <w:sz w:val="22"/>
                <w:szCs w:val="22"/>
              </w:rPr>
              <w:t>Wambui</w:t>
            </w:r>
            <w:proofErr w:type="spellEnd"/>
            <w:r w:rsidR="00E41379">
              <w:rPr>
                <w:rFonts w:ascii="Times New Roman" w:hAnsi="Times New Roman" w:cs="Times New Roman"/>
                <w:sz w:val="22"/>
                <w:szCs w:val="22"/>
              </w:rPr>
              <w:t xml:space="preserve"> </w:t>
            </w:r>
            <w:proofErr w:type="spellStart"/>
            <w:r w:rsidR="00E41379">
              <w:rPr>
                <w:rFonts w:ascii="Times New Roman" w:hAnsi="Times New Roman" w:cs="Times New Roman"/>
                <w:sz w:val="22"/>
                <w:szCs w:val="22"/>
              </w:rPr>
              <w:t>Gichuri</w:t>
            </w:r>
            <w:proofErr w:type="spellEnd"/>
          </w:p>
        </w:tc>
        <w:tc>
          <w:tcPr>
            <w:tcW w:w="262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26068" w:rsidRDefault="0053397F" w:rsidP="00E41379">
            <w:pPr>
              <w:rPr>
                <w:rFonts w:ascii="Times New Roman" w:hAnsi="Times New Roman" w:cs="Times New Roman"/>
              </w:rPr>
            </w:pPr>
            <w:r>
              <w:rPr>
                <w:rFonts w:ascii="Times New Roman" w:hAnsi="Times New Roman"/>
                <w:sz w:val="22"/>
              </w:rPr>
              <w:t xml:space="preserve">Fecha: </w:t>
            </w:r>
            <w:r w:rsidR="00E41379">
              <w:rPr>
                <w:rFonts w:ascii="Times New Roman" w:hAnsi="Times New Roman"/>
                <w:sz w:val="22"/>
              </w:rPr>
              <w:t>4 de abril</w:t>
            </w:r>
            <w:r w:rsidR="00CC75D2">
              <w:rPr>
                <w:rFonts w:ascii="Times New Roman" w:hAnsi="Times New Roman"/>
                <w:sz w:val="22"/>
              </w:rPr>
              <w:t xml:space="preserve"> de 2014</w:t>
            </w:r>
          </w:p>
        </w:tc>
      </w:tr>
    </w:tbl>
    <w:p w:rsidR="0053397F" w:rsidRDefault="0053397F" w:rsidP="0011600B"/>
    <w:sectPr w:rsidR="0053397F" w:rsidSect="00C217C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5E" w:rsidRDefault="00D4785E" w:rsidP="00865472">
      <w:r>
        <w:separator/>
      </w:r>
    </w:p>
  </w:endnote>
  <w:endnote w:type="continuationSeparator" w:id="0">
    <w:p w:rsidR="00D4785E" w:rsidRDefault="00D4785E" w:rsidP="008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5E" w:rsidRDefault="00D4785E" w:rsidP="00865472">
      <w:r>
        <w:separator/>
      </w:r>
    </w:p>
  </w:footnote>
  <w:footnote w:type="continuationSeparator" w:id="0">
    <w:p w:rsidR="00D4785E" w:rsidRDefault="00D4785E" w:rsidP="00865472">
      <w:r>
        <w:continuationSeparator/>
      </w:r>
    </w:p>
  </w:footnote>
  <w:footnote w:id="1">
    <w:p w:rsidR="00D4785E" w:rsidRPr="00F06FE7" w:rsidRDefault="00D4785E">
      <w:pPr>
        <w:pStyle w:val="FootnoteText"/>
        <w:rPr>
          <w:lang w:val="es-MX"/>
        </w:rPr>
      </w:pPr>
      <w:r>
        <w:rPr>
          <w:rStyle w:val="FootnoteReference"/>
        </w:rPr>
        <w:footnoteRef/>
      </w:r>
      <w:r>
        <w:t xml:space="preserve"> </w:t>
      </w:r>
      <w:r w:rsidRPr="00F06FE7">
        <w:rPr>
          <w:rFonts w:ascii="Times New Roman" w:hAnsi="Times New Roman" w:cs="Times New Roman"/>
          <w:i/>
        </w:rPr>
        <w:t>Modernización del sector Agua potable y Saneamiento de Oaxaca (MAS Oaxaca)</w:t>
      </w:r>
    </w:p>
  </w:footnote>
  <w:footnote w:id="2">
    <w:p w:rsidR="00D4785E" w:rsidRPr="00F06FE7" w:rsidRDefault="00D4785E" w:rsidP="005A7438">
      <w:pPr>
        <w:pStyle w:val="FootnoteText"/>
        <w:jc w:val="both"/>
        <w:rPr>
          <w:lang w:val="es-MX"/>
        </w:rPr>
      </w:pPr>
      <w:r>
        <w:rPr>
          <w:rStyle w:val="FootnoteReference"/>
        </w:rPr>
        <w:footnoteRef/>
      </w:r>
      <w:r>
        <w:t xml:space="preserve"> </w:t>
      </w:r>
      <w:r w:rsidRPr="00F06FE7">
        <w:rPr>
          <w:rFonts w:ascii="Times New Roman" w:hAnsi="Times New Roman" w:cs="Times New Roman"/>
        </w:rPr>
        <w:t>De acuerdo con la naturaleza híbrida de la operación, los sistemas y las políticas que aplican para evaluar y mitigar los impactos ambientales y sociales dependerá del instrumento financiero utilizado. En el caso de las acti</w:t>
      </w:r>
      <w:r>
        <w:rPr>
          <w:rFonts w:ascii="Times New Roman" w:hAnsi="Times New Roman" w:cs="Times New Roman"/>
        </w:rPr>
        <w:t xml:space="preserve">vidades financiadas por el </w:t>
      </w:r>
      <w:proofErr w:type="spellStart"/>
      <w:r>
        <w:rPr>
          <w:rFonts w:ascii="Times New Roman" w:hAnsi="Times New Roman" w:cs="Times New Roman"/>
        </w:rPr>
        <w:t>PforR</w:t>
      </w:r>
      <w:proofErr w:type="spellEnd"/>
      <w:r w:rsidRPr="00F06FE7">
        <w:rPr>
          <w:rFonts w:ascii="Times New Roman" w:hAnsi="Times New Roman" w:cs="Times New Roman"/>
        </w:rPr>
        <w:t>,</w:t>
      </w:r>
      <w:r>
        <w:rPr>
          <w:rFonts w:ascii="Times New Roman" w:hAnsi="Times New Roman" w:cs="Times New Roman"/>
        </w:rPr>
        <w:t xml:space="preserve"> aplicarán</w:t>
      </w:r>
      <w:r w:rsidRPr="00F06FE7">
        <w:rPr>
          <w:rFonts w:ascii="Times New Roman" w:hAnsi="Times New Roman" w:cs="Times New Roman"/>
        </w:rPr>
        <w:t xml:space="preserve"> los sistemas ambientales y sociales </w:t>
      </w:r>
      <w:r>
        <w:rPr>
          <w:rFonts w:ascii="Times New Roman" w:hAnsi="Times New Roman" w:cs="Times New Roman"/>
        </w:rPr>
        <w:t xml:space="preserve">estatales y </w:t>
      </w:r>
      <w:r w:rsidRPr="00F06FE7">
        <w:rPr>
          <w:rFonts w:ascii="Times New Roman" w:hAnsi="Times New Roman" w:cs="Times New Roman"/>
        </w:rPr>
        <w:t>del país</w:t>
      </w:r>
      <w:r>
        <w:rPr>
          <w:rFonts w:ascii="Times New Roman" w:hAnsi="Times New Roman" w:cs="Times New Roman"/>
        </w:rPr>
        <w:t>,</w:t>
      </w:r>
      <w:r w:rsidRPr="00F06FE7">
        <w:rPr>
          <w:rFonts w:ascii="Times New Roman" w:hAnsi="Times New Roman" w:cs="Times New Roman"/>
        </w:rPr>
        <w:t xml:space="preserve"> </w:t>
      </w:r>
      <w:r>
        <w:rPr>
          <w:rFonts w:ascii="Times New Roman" w:hAnsi="Times New Roman" w:cs="Times New Roman"/>
        </w:rPr>
        <w:t>una vez</w:t>
      </w:r>
      <w:r w:rsidRPr="00F06FE7">
        <w:rPr>
          <w:rFonts w:ascii="Times New Roman" w:hAnsi="Times New Roman" w:cs="Times New Roman"/>
        </w:rPr>
        <w:t xml:space="preserve"> que hayan sido evaluados por el Banco </w:t>
      </w:r>
      <w:r>
        <w:rPr>
          <w:rFonts w:ascii="Times New Roman" w:hAnsi="Times New Roman" w:cs="Times New Roman"/>
        </w:rPr>
        <w:t xml:space="preserve">Mundial </w:t>
      </w:r>
      <w:r w:rsidRPr="00F06FE7">
        <w:rPr>
          <w:rFonts w:ascii="Times New Roman" w:hAnsi="Times New Roman" w:cs="Times New Roman"/>
        </w:rPr>
        <w:t>y el fortaleci</w:t>
      </w:r>
      <w:r>
        <w:rPr>
          <w:rFonts w:ascii="Times New Roman" w:hAnsi="Times New Roman" w:cs="Times New Roman"/>
        </w:rPr>
        <w:t>dos</w:t>
      </w:r>
      <w:r w:rsidRPr="00F06FE7">
        <w:rPr>
          <w:rFonts w:ascii="Times New Roman" w:hAnsi="Times New Roman" w:cs="Times New Roman"/>
        </w:rPr>
        <w:t>, según sea necesario. Para las actividades financia</w:t>
      </w:r>
      <w:r w:rsidR="0011600B">
        <w:rPr>
          <w:rFonts w:ascii="Times New Roman" w:hAnsi="Times New Roman" w:cs="Times New Roman"/>
        </w:rPr>
        <w:t>das a través del componente de Asistencia T</w:t>
      </w:r>
      <w:r w:rsidRPr="00F06FE7">
        <w:rPr>
          <w:rFonts w:ascii="Times New Roman" w:hAnsi="Times New Roman" w:cs="Times New Roman"/>
        </w:rPr>
        <w:t>éc</w:t>
      </w:r>
      <w:r>
        <w:rPr>
          <w:rFonts w:ascii="Times New Roman" w:hAnsi="Times New Roman" w:cs="Times New Roman"/>
        </w:rPr>
        <w:t>nica siguiendo las políticas</w:t>
      </w:r>
      <w:r w:rsidRPr="00F06FE7">
        <w:rPr>
          <w:rFonts w:ascii="Times New Roman" w:hAnsi="Times New Roman" w:cs="Times New Roman"/>
        </w:rPr>
        <w:t xml:space="preserve"> IPF, se aplicarán </w:t>
      </w:r>
      <w:r>
        <w:rPr>
          <w:rFonts w:ascii="Times New Roman" w:hAnsi="Times New Roman" w:cs="Times New Roman"/>
        </w:rPr>
        <w:t>las</w:t>
      </w:r>
      <w:r w:rsidRPr="00F06FE7">
        <w:rPr>
          <w:rFonts w:ascii="Times New Roman" w:hAnsi="Times New Roman" w:cs="Times New Roman"/>
        </w:rPr>
        <w:t xml:space="preserve"> salvaguardias ambientales y sociales</w:t>
      </w:r>
      <w:r>
        <w:rPr>
          <w:rFonts w:ascii="Times New Roman" w:hAnsi="Times New Roman" w:cs="Times New Roman"/>
        </w:rPr>
        <w:t xml:space="preserve"> del Banco Mundial</w:t>
      </w:r>
      <w:r w:rsidRPr="00F06FE7">
        <w:rPr>
          <w:rFonts w:ascii="Times New Roman" w:hAnsi="Times New Roman" w:cs="Times New Roman"/>
        </w:rPr>
        <w:t>.</w:t>
      </w:r>
    </w:p>
  </w:footnote>
  <w:footnote w:id="3">
    <w:p w:rsidR="00D4785E" w:rsidRPr="00382EF8" w:rsidRDefault="00D4785E" w:rsidP="00382EF8">
      <w:pPr>
        <w:pStyle w:val="FootnoteText"/>
        <w:jc w:val="both"/>
        <w:rPr>
          <w:lang w:val="es-MX"/>
        </w:rPr>
      </w:pPr>
      <w:r>
        <w:rPr>
          <w:rStyle w:val="FootnoteReference"/>
        </w:rPr>
        <w:footnoteRef/>
      </w:r>
      <w:r>
        <w:t xml:space="preserve"> </w:t>
      </w:r>
      <w:r w:rsidRPr="00382EF8">
        <w:rPr>
          <w:rFonts w:ascii="Times New Roman" w:hAnsi="Times New Roman" w:cs="Times New Roman"/>
        </w:rPr>
        <w:t xml:space="preserve">El Programa no va a financiar ninguna actividad que pudiera tener un impacto adverso significativo en el medio ambiente o en las personas afectadas, según se define en la OP 9.00, o que requiera la adquisición de bienes o la contratación de obras o servicios de consultoría que excedan los </w:t>
      </w:r>
      <w:r>
        <w:rPr>
          <w:rFonts w:ascii="Times New Roman" w:hAnsi="Times New Roman" w:cs="Times New Roman"/>
        </w:rPr>
        <w:t>umbrales</w:t>
      </w:r>
      <w:r w:rsidRPr="00382EF8">
        <w:rPr>
          <w:rFonts w:ascii="Times New Roman" w:hAnsi="Times New Roman" w:cs="Times New Roman"/>
        </w:rPr>
        <w:t xml:space="preserve"> establecidos por el Comité de Revisión de las Adquisiciones para las Operaciones</w:t>
      </w:r>
      <w:r>
        <w:rPr>
          <w:rFonts w:ascii="Times New Roman" w:hAnsi="Times New Roman" w:cs="Times New Roman"/>
        </w:rPr>
        <w:t xml:space="preserve"> del Banco Mundial</w:t>
      </w:r>
    </w:p>
  </w:footnote>
  <w:footnote w:id="4">
    <w:p w:rsidR="00D4785E" w:rsidRPr="00CF43F0" w:rsidRDefault="00D4785E" w:rsidP="00B95826">
      <w:pPr>
        <w:pStyle w:val="FootnoteText"/>
        <w:jc w:val="both"/>
        <w:rPr>
          <w:rFonts w:cs="Times New Roman"/>
          <w:sz w:val="18"/>
          <w:szCs w:val="18"/>
        </w:rPr>
      </w:pPr>
      <w:r w:rsidRPr="00CF43F0">
        <w:rPr>
          <w:rStyle w:val="FootnoteReference"/>
          <w:rFonts w:cs="Times New Roman"/>
          <w:sz w:val="18"/>
          <w:szCs w:val="18"/>
        </w:rPr>
        <w:footnoteRef/>
      </w:r>
      <w:r w:rsidRPr="00CF43F0">
        <w:rPr>
          <w:rFonts w:cs="Times New Roman"/>
          <w:sz w:val="18"/>
          <w:szCs w:val="18"/>
        </w:rPr>
        <w:t xml:space="preserve"> </w:t>
      </w:r>
      <w:r w:rsidRPr="00B95826">
        <w:rPr>
          <w:rFonts w:ascii="Times New Roman" w:hAnsi="Times New Roman" w:cs="Times New Roman"/>
        </w:rPr>
        <w:t xml:space="preserve">Durante la ejecución del programa, se revisará la ley que en la actualidad rige el sector de </w:t>
      </w:r>
      <w:proofErr w:type="spellStart"/>
      <w:r w:rsidRPr="00B95826">
        <w:rPr>
          <w:rFonts w:ascii="Times New Roman" w:hAnsi="Times New Roman" w:cs="Times New Roman"/>
        </w:rPr>
        <w:t>AyS</w:t>
      </w:r>
      <w:proofErr w:type="spellEnd"/>
      <w:r w:rsidRPr="00B95826">
        <w:rPr>
          <w:rFonts w:ascii="Times New Roman" w:hAnsi="Times New Roman" w:cs="Times New Roman"/>
        </w:rPr>
        <w:t xml:space="preserve"> del estado, promulgada en 2005, de conformidad con las directrices que adjuntas a la matriz de indicadores de desembolso y se someterá a la consideración del Congreso estatal.</w:t>
      </w:r>
    </w:p>
  </w:footnote>
  <w:footnote w:id="5">
    <w:p w:rsidR="00D4785E" w:rsidRPr="00CF43F0" w:rsidRDefault="00D4785E" w:rsidP="00B95826">
      <w:pPr>
        <w:pStyle w:val="FootnoteText"/>
        <w:jc w:val="both"/>
        <w:rPr>
          <w:rFonts w:cs="Times New Roman"/>
          <w:sz w:val="18"/>
          <w:szCs w:val="18"/>
        </w:rPr>
      </w:pPr>
      <w:r w:rsidRPr="00CF43F0">
        <w:rPr>
          <w:rStyle w:val="FootnoteReference"/>
          <w:rFonts w:cs="Times New Roman"/>
          <w:sz w:val="18"/>
          <w:szCs w:val="18"/>
        </w:rPr>
        <w:footnoteRef/>
      </w:r>
      <w:r w:rsidRPr="00CF43F0">
        <w:rPr>
          <w:rFonts w:cs="Times New Roman"/>
          <w:sz w:val="18"/>
          <w:szCs w:val="18"/>
        </w:rPr>
        <w:t xml:space="preserve"> </w:t>
      </w:r>
      <w:r w:rsidRPr="00B95826">
        <w:rPr>
          <w:rFonts w:ascii="Times New Roman" w:hAnsi="Times New Roman" w:cs="Times New Roman"/>
        </w:rPr>
        <w:t xml:space="preserve">Heroica Ciudad de </w:t>
      </w:r>
      <w:proofErr w:type="spellStart"/>
      <w:r w:rsidRPr="00B95826">
        <w:rPr>
          <w:rFonts w:ascii="Times New Roman" w:hAnsi="Times New Roman" w:cs="Times New Roman"/>
        </w:rPr>
        <w:t>Huajuapan</w:t>
      </w:r>
      <w:proofErr w:type="spellEnd"/>
      <w:r w:rsidRPr="00B95826">
        <w:rPr>
          <w:rFonts w:ascii="Times New Roman" w:hAnsi="Times New Roman" w:cs="Times New Roman"/>
        </w:rPr>
        <w:t xml:space="preserve"> de León, Loma Bonita, </w:t>
      </w:r>
      <w:proofErr w:type="spellStart"/>
      <w:r w:rsidRPr="00B95826">
        <w:rPr>
          <w:rFonts w:ascii="Times New Roman" w:hAnsi="Times New Roman" w:cs="Times New Roman"/>
        </w:rPr>
        <w:t>Miahuatlán</w:t>
      </w:r>
      <w:proofErr w:type="spellEnd"/>
      <w:r w:rsidRPr="00B95826">
        <w:rPr>
          <w:rFonts w:ascii="Times New Roman" w:hAnsi="Times New Roman" w:cs="Times New Roman"/>
        </w:rPr>
        <w:t xml:space="preserve"> de Porfirio Díaz, Ocotlán de Morelos, San Juan Bautista Tuxtepec, Heroica Ciudad de </w:t>
      </w:r>
      <w:proofErr w:type="spellStart"/>
      <w:r w:rsidRPr="00B95826">
        <w:rPr>
          <w:rFonts w:ascii="Times New Roman" w:hAnsi="Times New Roman" w:cs="Times New Roman"/>
        </w:rPr>
        <w:t>Tlaxiaco</w:t>
      </w:r>
      <w:proofErr w:type="spellEnd"/>
      <w:r w:rsidRPr="00B95826">
        <w:rPr>
          <w:rFonts w:ascii="Times New Roman" w:hAnsi="Times New Roman" w:cs="Times New Roman"/>
        </w:rPr>
        <w:t xml:space="preserve">, </w:t>
      </w:r>
      <w:proofErr w:type="spellStart"/>
      <w:r w:rsidRPr="00B95826">
        <w:rPr>
          <w:rFonts w:ascii="Times New Roman" w:hAnsi="Times New Roman" w:cs="Times New Roman"/>
        </w:rPr>
        <w:t>Zimatlán</w:t>
      </w:r>
      <w:proofErr w:type="spellEnd"/>
      <w:r w:rsidRPr="00B95826">
        <w:rPr>
          <w:rFonts w:ascii="Times New Roman" w:hAnsi="Times New Roman" w:cs="Times New Roman"/>
        </w:rPr>
        <w:t xml:space="preserve"> de Álvarez, Asunción </w:t>
      </w:r>
      <w:proofErr w:type="spellStart"/>
      <w:r w:rsidRPr="00B95826">
        <w:rPr>
          <w:rFonts w:ascii="Times New Roman" w:hAnsi="Times New Roman" w:cs="Times New Roman"/>
        </w:rPr>
        <w:t>Ixtaltepec</w:t>
      </w:r>
      <w:proofErr w:type="spellEnd"/>
      <w:r w:rsidRPr="00B95826">
        <w:rPr>
          <w:rFonts w:ascii="Times New Roman" w:hAnsi="Times New Roman" w:cs="Times New Roman"/>
        </w:rPr>
        <w:t xml:space="preserve">, Ciudad </w:t>
      </w:r>
      <w:proofErr w:type="spellStart"/>
      <w:r w:rsidRPr="00B95826">
        <w:rPr>
          <w:rFonts w:ascii="Times New Roman" w:hAnsi="Times New Roman" w:cs="Times New Roman"/>
        </w:rPr>
        <w:t>Ixtepec</w:t>
      </w:r>
      <w:proofErr w:type="spellEnd"/>
      <w:r w:rsidRPr="00B95826">
        <w:rPr>
          <w:rFonts w:ascii="Times New Roman" w:hAnsi="Times New Roman" w:cs="Times New Roman"/>
        </w:rPr>
        <w:t xml:space="preserve">, El Espinal, Heroica Ciudad de Juchitán de Zaragoza, Matías Romero Avendaño, Salina Cruz, San Francisco </w:t>
      </w:r>
      <w:proofErr w:type="spellStart"/>
      <w:r w:rsidRPr="00B95826">
        <w:rPr>
          <w:rFonts w:ascii="Times New Roman" w:hAnsi="Times New Roman" w:cs="Times New Roman"/>
        </w:rPr>
        <w:t>Telixtlahuaca</w:t>
      </w:r>
      <w:proofErr w:type="spellEnd"/>
      <w:r w:rsidRPr="00B95826">
        <w:rPr>
          <w:rFonts w:ascii="Times New Roman" w:hAnsi="Times New Roman" w:cs="Times New Roman"/>
        </w:rPr>
        <w:t xml:space="preserve">, Puerto Escondido, Santiago </w:t>
      </w:r>
      <w:proofErr w:type="spellStart"/>
      <w:r w:rsidRPr="00B95826">
        <w:rPr>
          <w:rFonts w:ascii="Times New Roman" w:hAnsi="Times New Roman" w:cs="Times New Roman"/>
        </w:rPr>
        <w:t>Pinotepa</w:t>
      </w:r>
      <w:proofErr w:type="spellEnd"/>
      <w:r w:rsidRPr="00B95826">
        <w:rPr>
          <w:rFonts w:ascii="Times New Roman" w:hAnsi="Times New Roman" w:cs="Times New Roman"/>
        </w:rPr>
        <w:t xml:space="preserve"> Nacional, Santo Domingo Tehuantepec, Santo Domingo </w:t>
      </w:r>
      <w:proofErr w:type="spellStart"/>
      <w:r w:rsidRPr="00B95826">
        <w:rPr>
          <w:rFonts w:ascii="Times New Roman" w:hAnsi="Times New Roman" w:cs="Times New Roman"/>
        </w:rPr>
        <w:t>Zanatepec</w:t>
      </w:r>
      <w:proofErr w:type="spellEnd"/>
      <w:r w:rsidRPr="00B95826">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3A77"/>
    <w:multiLevelType w:val="hybridMultilevel"/>
    <w:tmpl w:val="9BA20F4A"/>
    <w:lvl w:ilvl="0" w:tplc="14C2C8C6">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4AAF"/>
    <w:multiLevelType w:val="hybridMultilevel"/>
    <w:tmpl w:val="CC009CC6"/>
    <w:lvl w:ilvl="0" w:tplc="121899E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CE0E0B"/>
    <w:multiLevelType w:val="hybridMultilevel"/>
    <w:tmpl w:val="DF124E5C"/>
    <w:lvl w:ilvl="0" w:tplc="65282C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E7DFD"/>
    <w:multiLevelType w:val="hybridMultilevel"/>
    <w:tmpl w:val="300EE47E"/>
    <w:lvl w:ilvl="0" w:tplc="7694704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B0"/>
    <w:rsid w:val="00002532"/>
    <w:rsid w:val="000055ED"/>
    <w:rsid w:val="00011142"/>
    <w:rsid w:val="00014357"/>
    <w:rsid w:val="000176B6"/>
    <w:rsid w:val="000213B6"/>
    <w:rsid w:val="00026DC7"/>
    <w:rsid w:val="0003070C"/>
    <w:rsid w:val="000349C0"/>
    <w:rsid w:val="000426FA"/>
    <w:rsid w:val="00055BF3"/>
    <w:rsid w:val="00063A08"/>
    <w:rsid w:val="00063FC3"/>
    <w:rsid w:val="0007390D"/>
    <w:rsid w:val="000748D8"/>
    <w:rsid w:val="00082071"/>
    <w:rsid w:val="000C1ED7"/>
    <w:rsid w:val="000D1AD5"/>
    <w:rsid w:val="000D7FBC"/>
    <w:rsid w:val="000E2F5E"/>
    <w:rsid w:val="000E4A7E"/>
    <w:rsid w:val="0010199A"/>
    <w:rsid w:val="0011600B"/>
    <w:rsid w:val="00117545"/>
    <w:rsid w:val="00120717"/>
    <w:rsid w:val="001318D6"/>
    <w:rsid w:val="00132630"/>
    <w:rsid w:val="00140F61"/>
    <w:rsid w:val="001462CB"/>
    <w:rsid w:val="001726DC"/>
    <w:rsid w:val="00173653"/>
    <w:rsid w:val="0017509B"/>
    <w:rsid w:val="0018105A"/>
    <w:rsid w:val="00184CCD"/>
    <w:rsid w:val="00191C0C"/>
    <w:rsid w:val="001A369A"/>
    <w:rsid w:val="001A48C5"/>
    <w:rsid w:val="001B0E56"/>
    <w:rsid w:val="001B4663"/>
    <w:rsid w:val="001C44F7"/>
    <w:rsid w:val="001C5037"/>
    <w:rsid w:val="001F499D"/>
    <w:rsid w:val="0021336D"/>
    <w:rsid w:val="002200B7"/>
    <w:rsid w:val="00222DD9"/>
    <w:rsid w:val="00222FDA"/>
    <w:rsid w:val="00236FB5"/>
    <w:rsid w:val="002440A0"/>
    <w:rsid w:val="00264AF4"/>
    <w:rsid w:val="00267B7E"/>
    <w:rsid w:val="00285237"/>
    <w:rsid w:val="00291127"/>
    <w:rsid w:val="00293D0C"/>
    <w:rsid w:val="00295258"/>
    <w:rsid w:val="002970D0"/>
    <w:rsid w:val="002A1D4A"/>
    <w:rsid w:val="002C0B50"/>
    <w:rsid w:val="002D0A29"/>
    <w:rsid w:val="002D2F35"/>
    <w:rsid w:val="002F59F9"/>
    <w:rsid w:val="0031652C"/>
    <w:rsid w:val="00316CB5"/>
    <w:rsid w:val="00344DE4"/>
    <w:rsid w:val="00351B73"/>
    <w:rsid w:val="00351F7A"/>
    <w:rsid w:val="00362745"/>
    <w:rsid w:val="0036518B"/>
    <w:rsid w:val="0038173B"/>
    <w:rsid w:val="00382EF8"/>
    <w:rsid w:val="00391BE9"/>
    <w:rsid w:val="00394A15"/>
    <w:rsid w:val="003969AD"/>
    <w:rsid w:val="003A3982"/>
    <w:rsid w:val="003A58D6"/>
    <w:rsid w:val="003D7363"/>
    <w:rsid w:val="003E26E6"/>
    <w:rsid w:val="003F131A"/>
    <w:rsid w:val="003F381D"/>
    <w:rsid w:val="003F396F"/>
    <w:rsid w:val="003F6E17"/>
    <w:rsid w:val="0040030B"/>
    <w:rsid w:val="00436009"/>
    <w:rsid w:val="0044522E"/>
    <w:rsid w:val="00447F56"/>
    <w:rsid w:val="004525FF"/>
    <w:rsid w:val="004702FD"/>
    <w:rsid w:val="00473828"/>
    <w:rsid w:val="004A22A9"/>
    <w:rsid w:val="004B3134"/>
    <w:rsid w:val="004B7609"/>
    <w:rsid w:val="004B7E77"/>
    <w:rsid w:val="004E37A6"/>
    <w:rsid w:val="004F417F"/>
    <w:rsid w:val="005048BD"/>
    <w:rsid w:val="00511280"/>
    <w:rsid w:val="00522052"/>
    <w:rsid w:val="00531A70"/>
    <w:rsid w:val="0053397F"/>
    <w:rsid w:val="00535FA0"/>
    <w:rsid w:val="00542586"/>
    <w:rsid w:val="00544B25"/>
    <w:rsid w:val="005450C6"/>
    <w:rsid w:val="00546A02"/>
    <w:rsid w:val="00551D33"/>
    <w:rsid w:val="0055665A"/>
    <w:rsid w:val="005573B0"/>
    <w:rsid w:val="0058084B"/>
    <w:rsid w:val="005A7438"/>
    <w:rsid w:val="005B2470"/>
    <w:rsid w:val="005B2990"/>
    <w:rsid w:val="005D4F69"/>
    <w:rsid w:val="005E244B"/>
    <w:rsid w:val="005F228F"/>
    <w:rsid w:val="005F31B2"/>
    <w:rsid w:val="005F4E32"/>
    <w:rsid w:val="005F74FD"/>
    <w:rsid w:val="00624D36"/>
    <w:rsid w:val="00633FEC"/>
    <w:rsid w:val="00635395"/>
    <w:rsid w:val="00636EE6"/>
    <w:rsid w:val="00643069"/>
    <w:rsid w:val="006448E9"/>
    <w:rsid w:val="00663DC6"/>
    <w:rsid w:val="006A38F0"/>
    <w:rsid w:val="006A4C33"/>
    <w:rsid w:val="006D0101"/>
    <w:rsid w:val="006D4A5B"/>
    <w:rsid w:val="006E3DC2"/>
    <w:rsid w:val="006F636A"/>
    <w:rsid w:val="0070490E"/>
    <w:rsid w:val="00707200"/>
    <w:rsid w:val="00721728"/>
    <w:rsid w:val="00721CA2"/>
    <w:rsid w:val="00740EA9"/>
    <w:rsid w:val="00743B9C"/>
    <w:rsid w:val="00743FB0"/>
    <w:rsid w:val="00745569"/>
    <w:rsid w:val="00772531"/>
    <w:rsid w:val="00780954"/>
    <w:rsid w:val="007930D3"/>
    <w:rsid w:val="007A78C5"/>
    <w:rsid w:val="007C3BAD"/>
    <w:rsid w:val="007D7551"/>
    <w:rsid w:val="007F3B76"/>
    <w:rsid w:val="007F6458"/>
    <w:rsid w:val="00816813"/>
    <w:rsid w:val="00820935"/>
    <w:rsid w:val="0085059B"/>
    <w:rsid w:val="008552E7"/>
    <w:rsid w:val="00857C6F"/>
    <w:rsid w:val="00864B6F"/>
    <w:rsid w:val="00865472"/>
    <w:rsid w:val="0086727A"/>
    <w:rsid w:val="00877DD3"/>
    <w:rsid w:val="0088160F"/>
    <w:rsid w:val="00886D3A"/>
    <w:rsid w:val="00892A20"/>
    <w:rsid w:val="008B5849"/>
    <w:rsid w:val="008C103E"/>
    <w:rsid w:val="008C2973"/>
    <w:rsid w:val="008C4C19"/>
    <w:rsid w:val="008D350E"/>
    <w:rsid w:val="008D4DE2"/>
    <w:rsid w:val="008E507E"/>
    <w:rsid w:val="008F06BD"/>
    <w:rsid w:val="008F0C88"/>
    <w:rsid w:val="008F6127"/>
    <w:rsid w:val="008F79B9"/>
    <w:rsid w:val="00905883"/>
    <w:rsid w:val="009168C2"/>
    <w:rsid w:val="0092002C"/>
    <w:rsid w:val="009409D8"/>
    <w:rsid w:val="009644B3"/>
    <w:rsid w:val="00967709"/>
    <w:rsid w:val="009738CC"/>
    <w:rsid w:val="009A29A5"/>
    <w:rsid w:val="009A307A"/>
    <w:rsid w:val="009F0C89"/>
    <w:rsid w:val="00A07B96"/>
    <w:rsid w:val="00A10B95"/>
    <w:rsid w:val="00A146E0"/>
    <w:rsid w:val="00A44566"/>
    <w:rsid w:val="00A50FFE"/>
    <w:rsid w:val="00A51451"/>
    <w:rsid w:val="00A65ED0"/>
    <w:rsid w:val="00A66B46"/>
    <w:rsid w:val="00A74C45"/>
    <w:rsid w:val="00A83F9B"/>
    <w:rsid w:val="00A912F3"/>
    <w:rsid w:val="00AC10B2"/>
    <w:rsid w:val="00AC291D"/>
    <w:rsid w:val="00AD0087"/>
    <w:rsid w:val="00AD50F3"/>
    <w:rsid w:val="00AE0A2B"/>
    <w:rsid w:val="00AE5E49"/>
    <w:rsid w:val="00B1447C"/>
    <w:rsid w:val="00B17DCB"/>
    <w:rsid w:val="00B32FEE"/>
    <w:rsid w:val="00B36D83"/>
    <w:rsid w:val="00B374C8"/>
    <w:rsid w:val="00B409B5"/>
    <w:rsid w:val="00B5182A"/>
    <w:rsid w:val="00B61FEE"/>
    <w:rsid w:val="00B71C7C"/>
    <w:rsid w:val="00B95826"/>
    <w:rsid w:val="00BA027E"/>
    <w:rsid w:val="00BD6C64"/>
    <w:rsid w:val="00BE1DC8"/>
    <w:rsid w:val="00BF0ED0"/>
    <w:rsid w:val="00C012E5"/>
    <w:rsid w:val="00C06190"/>
    <w:rsid w:val="00C174AE"/>
    <w:rsid w:val="00C2018B"/>
    <w:rsid w:val="00C20CE4"/>
    <w:rsid w:val="00C217C6"/>
    <w:rsid w:val="00C26068"/>
    <w:rsid w:val="00C267DC"/>
    <w:rsid w:val="00C30034"/>
    <w:rsid w:val="00C30CE6"/>
    <w:rsid w:val="00C3130A"/>
    <w:rsid w:val="00C35CBA"/>
    <w:rsid w:val="00C476F7"/>
    <w:rsid w:val="00C54543"/>
    <w:rsid w:val="00C614DB"/>
    <w:rsid w:val="00C67D12"/>
    <w:rsid w:val="00C73826"/>
    <w:rsid w:val="00C817DA"/>
    <w:rsid w:val="00C91E49"/>
    <w:rsid w:val="00C923A4"/>
    <w:rsid w:val="00CA3E25"/>
    <w:rsid w:val="00CB25DC"/>
    <w:rsid w:val="00CC2343"/>
    <w:rsid w:val="00CC75D2"/>
    <w:rsid w:val="00CC7B15"/>
    <w:rsid w:val="00D22E10"/>
    <w:rsid w:val="00D230A5"/>
    <w:rsid w:val="00D255E6"/>
    <w:rsid w:val="00D25AD9"/>
    <w:rsid w:val="00D338B7"/>
    <w:rsid w:val="00D33AA2"/>
    <w:rsid w:val="00D34E13"/>
    <w:rsid w:val="00D37DD9"/>
    <w:rsid w:val="00D41698"/>
    <w:rsid w:val="00D42751"/>
    <w:rsid w:val="00D4785E"/>
    <w:rsid w:val="00D741C0"/>
    <w:rsid w:val="00D86BE8"/>
    <w:rsid w:val="00DA0A63"/>
    <w:rsid w:val="00DA4BCA"/>
    <w:rsid w:val="00DA7C8D"/>
    <w:rsid w:val="00DB5E4E"/>
    <w:rsid w:val="00DC0E4F"/>
    <w:rsid w:val="00DF62AB"/>
    <w:rsid w:val="00E16BA1"/>
    <w:rsid w:val="00E21FAA"/>
    <w:rsid w:val="00E22F10"/>
    <w:rsid w:val="00E41379"/>
    <w:rsid w:val="00E508F2"/>
    <w:rsid w:val="00E56551"/>
    <w:rsid w:val="00E56B5C"/>
    <w:rsid w:val="00E66CBF"/>
    <w:rsid w:val="00E77F45"/>
    <w:rsid w:val="00E8155F"/>
    <w:rsid w:val="00EB4F32"/>
    <w:rsid w:val="00EC52A4"/>
    <w:rsid w:val="00EE0F17"/>
    <w:rsid w:val="00EE11EA"/>
    <w:rsid w:val="00EE1CB9"/>
    <w:rsid w:val="00F06FE7"/>
    <w:rsid w:val="00F24EA6"/>
    <w:rsid w:val="00F302A2"/>
    <w:rsid w:val="00F35674"/>
    <w:rsid w:val="00F36A02"/>
    <w:rsid w:val="00F66F58"/>
    <w:rsid w:val="00F73D77"/>
    <w:rsid w:val="00F81705"/>
    <w:rsid w:val="00F82913"/>
    <w:rsid w:val="00F85268"/>
    <w:rsid w:val="00F95329"/>
    <w:rsid w:val="00FA5648"/>
    <w:rsid w:val="00FB6098"/>
    <w:rsid w:val="00FB6888"/>
    <w:rsid w:val="00FC10E0"/>
    <w:rsid w:val="00FC5E5C"/>
    <w:rsid w:val="00FE4AED"/>
    <w:rsid w:val="00FF111D"/>
    <w:rsid w:val="00FF1F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65472"/>
    <w:rPr>
      <w:color w:val="0000FF" w:themeColor="hyperlink"/>
      <w:u w:val="single"/>
    </w:rPr>
  </w:style>
  <w:style w:type="character" w:styleId="CommentReference">
    <w:name w:val="annotation reference"/>
    <w:basedOn w:val="DefaultParagraphFont"/>
    <w:uiPriority w:val="99"/>
    <w:semiHidden/>
    <w:unhideWhenUsed/>
    <w:rsid w:val="00362745"/>
    <w:rPr>
      <w:sz w:val="16"/>
      <w:szCs w:val="16"/>
    </w:rPr>
  </w:style>
  <w:style w:type="paragraph" w:styleId="CommentText">
    <w:name w:val="annotation text"/>
    <w:basedOn w:val="Normal"/>
    <w:link w:val="CommentTextChar"/>
    <w:uiPriority w:val="99"/>
    <w:semiHidden/>
    <w:unhideWhenUsed/>
    <w:rsid w:val="00362745"/>
    <w:rPr>
      <w:sz w:val="20"/>
      <w:szCs w:val="20"/>
    </w:rPr>
  </w:style>
  <w:style w:type="character" w:customStyle="1" w:styleId="CommentTextChar">
    <w:name w:val="Comment Text Char"/>
    <w:basedOn w:val="DefaultParagraphFont"/>
    <w:link w:val="CommentText"/>
    <w:uiPriority w:val="99"/>
    <w:semiHidden/>
    <w:rsid w:val="0036274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62745"/>
    <w:rPr>
      <w:b/>
      <w:bCs/>
    </w:rPr>
  </w:style>
  <w:style w:type="character" w:customStyle="1" w:styleId="CommentSubjectChar">
    <w:name w:val="Comment Subject Char"/>
    <w:basedOn w:val="CommentTextChar"/>
    <w:link w:val="CommentSubject"/>
    <w:uiPriority w:val="99"/>
    <w:semiHidden/>
    <w:rsid w:val="00362745"/>
    <w:rPr>
      <w:rFonts w:ascii="Arial" w:hAnsi="Arial" w:cs="Arial"/>
      <w:b/>
      <w:bCs/>
      <w:color w:val="000000"/>
      <w:sz w:val="20"/>
      <w:szCs w:val="20"/>
    </w:rPr>
  </w:style>
  <w:style w:type="paragraph" w:styleId="BalloonText">
    <w:name w:val="Balloon Text"/>
    <w:basedOn w:val="Normal"/>
    <w:link w:val="BalloonTextChar"/>
    <w:uiPriority w:val="99"/>
    <w:semiHidden/>
    <w:unhideWhenUsed/>
    <w:rsid w:val="00362745"/>
    <w:rPr>
      <w:rFonts w:ascii="Tahoma" w:hAnsi="Tahoma" w:cs="Tahoma"/>
      <w:sz w:val="16"/>
      <w:szCs w:val="16"/>
    </w:rPr>
  </w:style>
  <w:style w:type="character" w:customStyle="1" w:styleId="BalloonTextChar">
    <w:name w:val="Balloon Text Char"/>
    <w:basedOn w:val="DefaultParagraphFont"/>
    <w:link w:val="BalloonText"/>
    <w:uiPriority w:val="99"/>
    <w:semiHidden/>
    <w:rsid w:val="00362745"/>
    <w:rPr>
      <w:rFonts w:ascii="Tahoma" w:hAnsi="Tahoma" w:cs="Tahoma"/>
      <w:color w:val="000000"/>
      <w:sz w:val="16"/>
      <w:szCs w:val="16"/>
    </w:rPr>
  </w:style>
  <w:style w:type="paragraph" w:styleId="Header">
    <w:name w:val="header"/>
    <w:basedOn w:val="Normal"/>
    <w:link w:val="HeaderChar"/>
    <w:uiPriority w:val="99"/>
    <w:unhideWhenUsed/>
    <w:rsid w:val="00511280"/>
    <w:pPr>
      <w:tabs>
        <w:tab w:val="center" w:pos="4680"/>
        <w:tab w:val="right" w:pos="9360"/>
      </w:tabs>
    </w:pPr>
  </w:style>
  <w:style w:type="character" w:customStyle="1" w:styleId="HeaderChar">
    <w:name w:val="Header Char"/>
    <w:basedOn w:val="DefaultParagraphFont"/>
    <w:link w:val="Header"/>
    <w:uiPriority w:val="99"/>
    <w:rsid w:val="00511280"/>
    <w:rPr>
      <w:rFonts w:ascii="Arial" w:hAnsi="Arial" w:cs="Arial"/>
      <w:color w:val="000000"/>
      <w:sz w:val="24"/>
      <w:szCs w:val="24"/>
    </w:rPr>
  </w:style>
  <w:style w:type="paragraph" w:styleId="Footer">
    <w:name w:val="footer"/>
    <w:basedOn w:val="Normal"/>
    <w:link w:val="FooterChar"/>
    <w:uiPriority w:val="99"/>
    <w:unhideWhenUsed/>
    <w:rsid w:val="00511280"/>
    <w:pPr>
      <w:tabs>
        <w:tab w:val="center" w:pos="4680"/>
        <w:tab w:val="right" w:pos="9360"/>
      </w:tabs>
    </w:pPr>
  </w:style>
  <w:style w:type="character" w:customStyle="1" w:styleId="FooterChar">
    <w:name w:val="Footer Char"/>
    <w:basedOn w:val="DefaultParagraphFont"/>
    <w:link w:val="Footer"/>
    <w:uiPriority w:val="99"/>
    <w:rsid w:val="00511280"/>
    <w:rPr>
      <w:rFonts w:ascii="Arial" w:hAnsi="Arial" w:cs="Arial"/>
      <w:color w:val="000000"/>
      <w:sz w:val="24"/>
      <w:szCs w:val="24"/>
    </w:rPr>
  </w:style>
  <w:style w:type="paragraph" w:styleId="NoSpacing">
    <w:name w:val="No Spacing"/>
    <w:link w:val="NoSpacingChar"/>
    <w:uiPriority w:val="1"/>
    <w:qFormat/>
    <w:rsid w:val="00CB25DC"/>
    <w:pPr>
      <w:spacing w:after="0" w:line="240" w:lineRule="auto"/>
    </w:pPr>
    <w:rPr>
      <w:lang w:val="en-US" w:eastAsia="en-US" w:bidi="ar-SA"/>
    </w:rPr>
  </w:style>
  <w:style w:type="character" w:customStyle="1" w:styleId="NoSpacingChar">
    <w:name w:val="No Spacing Char"/>
    <w:basedOn w:val="DefaultParagraphFont"/>
    <w:link w:val="NoSpacing"/>
    <w:uiPriority w:val="1"/>
    <w:rsid w:val="00CB25DC"/>
    <w:rPr>
      <w:lang w:val="en-US" w:eastAsia="en-US" w:bidi="ar-SA"/>
    </w:rPr>
  </w:style>
  <w:style w:type="paragraph" w:styleId="FootnoteText">
    <w:name w:val="footnote text"/>
    <w:aliases w:val="single space,footnote text,fn,FOOTNOTES,Car,Footnote,text,ft,Footnote Text Char Char Char Char Char Char,Footnote Text Char Char Char Char1,Footnote Text Char Char Char Char Char1,Footnote Text Char Char Char Char Char,f,Geneva,Geneva 9"/>
    <w:basedOn w:val="Normal"/>
    <w:link w:val="FootnoteTextChar"/>
    <w:uiPriority w:val="99"/>
    <w:unhideWhenUsed/>
    <w:rsid w:val="00F06FE7"/>
    <w:rPr>
      <w:sz w:val="20"/>
      <w:szCs w:val="20"/>
    </w:rPr>
  </w:style>
  <w:style w:type="character" w:customStyle="1" w:styleId="FootnoteTextChar">
    <w:name w:val="Footnote Text Char"/>
    <w:aliases w:val="single space Char,footnote text Char,fn Char,FOOTNOTES Char,Car Char,Footnote Char,text Char,ft Char,Footnote Text Char Char Char Char Char Char Char,Footnote Text Char Char Char Char1 Char,Footnote Text Char Char Char Char Char1 Char"/>
    <w:basedOn w:val="DefaultParagraphFont"/>
    <w:link w:val="FootnoteText"/>
    <w:uiPriority w:val="99"/>
    <w:rsid w:val="00F06FE7"/>
    <w:rPr>
      <w:rFonts w:ascii="Arial" w:hAnsi="Arial" w:cs="Arial"/>
      <w:color w:val="000000"/>
      <w:sz w:val="20"/>
      <w:szCs w:val="20"/>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fr,Ref"/>
    <w:basedOn w:val="DefaultParagraphFont"/>
    <w:uiPriority w:val="99"/>
    <w:unhideWhenUsed/>
    <w:rsid w:val="00F06FE7"/>
    <w:rPr>
      <w:vertAlign w:val="superscript"/>
    </w:rPr>
  </w:style>
  <w:style w:type="character" w:customStyle="1" w:styleId="hps">
    <w:name w:val="hps"/>
    <w:basedOn w:val="DefaultParagraphFont"/>
    <w:rsid w:val="00382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865472"/>
    <w:rPr>
      <w:color w:val="0000FF" w:themeColor="hyperlink"/>
      <w:u w:val="single"/>
    </w:rPr>
  </w:style>
  <w:style w:type="character" w:styleId="CommentReference">
    <w:name w:val="annotation reference"/>
    <w:basedOn w:val="DefaultParagraphFont"/>
    <w:uiPriority w:val="99"/>
    <w:semiHidden/>
    <w:unhideWhenUsed/>
    <w:rsid w:val="00362745"/>
    <w:rPr>
      <w:sz w:val="16"/>
      <w:szCs w:val="16"/>
    </w:rPr>
  </w:style>
  <w:style w:type="paragraph" w:styleId="CommentText">
    <w:name w:val="annotation text"/>
    <w:basedOn w:val="Normal"/>
    <w:link w:val="CommentTextChar"/>
    <w:uiPriority w:val="99"/>
    <w:semiHidden/>
    <w:unhideWhenUsed/>
    <w:rsid w:val="00362745"/>
    <w:rPr>
      <w:sz w:val="20"/>
      <w:szCs w:val="20"/>
    </w:rPr>
  </w:style>
  <w:style w:type="character" w:customStyle="1" w:styleId="CommentTextChar">
    <w:name w:val="Comment Text Char"/>
    <w:basedOn w:val="DefaultParagraphFont"/>
    <w:link w:val="CommentText"/>
    <w:uiPriority w:val="99"/>
    <w:semiHidden/>
    <w:rsid w:val="0036274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62745"/>
    <w:rPr>
      <w:b/>
      <w:bCs/>
    </w:rPr>
  </w:style>
  <w:style w:type="character" w:customStyle="1" w:styleId="CommentSubjectChar">
    <w:name w:val="Comment Subject Char"/>
    <w:basedOn w:val="CommentTextChar"/>
    <w:link w:val="CommentSubject"/>
    <w:uiPriority w:val="99"/>
    <w:semiHidden/>
    <w:rsid w:val="00362745"/>
    <w:rPr>
      <w:rFonts w:ascii="Arial" w:hAnsi="Arial" w:cs="Arial"/>
      <w:b/>
      <w:bCs/>
      <w:color w:val="000000"/>
      <w:sz w:val="20"/>
      <w:szCs w:val="20"/>
    </w:rPr>
  </w:style>
  <w:style w:type="paragraph" w:styleId="BalloonText">
    <w:name w:val="Balloon Text"/>
    <w:basedOn w:val="Normal"/>
    <w:link w:val="BalloonTextChar"/>
    <w:uiPriority w:val="99"/>
    <w:semiHidden/>
    <w:unhideWhenUsed/>
    <w:rsid w:val="00362745"/>
    <w:rPr>
      <w:rFonts w:ascii="Tahoma" w:hAnsi="Tahoma" w:cs="Tahoma"/>
      <w:sz w:val="16"/>
      <w:szCs w:val="16"/>
    </w:rPr>
  </w:style>
  <w:style w:type="character" w:customStyle="1" w:styleId="BalloonTextChar">
    <w:name w:val="Balloon Text Char"/>
    <w:basedOn w:val="DefaultParagraphFont"/>
    <w:link w:val="BalloonText"/>
    <w:uiPriority w:val="99"/>
    <w:semiHidden/>
    <w:rsid w:val="00362745"/>
    <w:rPr>
      <w:rFonts w:ascii="Tahoma" w:hAnsi="Tahoma" w:cs="Tahoma"/>
      <w:color w:val="000000"/>
      <w:sz w:val="16"/>
      <w:szCs w:val="16"/>
    </w:rPr>
  </w:style>
  <w:style w:type="paragraph" w:styleId="Header">
    <w:name w:val="header"/>
    <w:basedOn w:val="Normal"/>
    <w:link w:val="HeaderChar"/>
    <w:uiPriority w:val="99"/>
    <w:unhideWhenUsed/>
    <w:rsid w:val="00511280"/>
    <w:pPr>
      <w:tabs>
        <w:tab w:val="center" w:pos="4680"/>
        <w:tab w:val="right" w:pos="9360"/>
      </w:tabs>
    </w:pPr>
  </w:style>
  <w:style w:type="character" w:customStyle="1" w:styleId="HeaderChar">
    <w:name w:val="Header Char"/>
    <w:basedOn w:val="DefaultParagraphFont"/>
    <w:link w:val="Header"/>
    <w:uiPriority w:val="99"/>
    <w:rsid w:val="00511280"/>
    <w:rPr>
      <w:rFonts w:ascii="Arial" w:hAnsi="Arial" w:cs="Arial"/>
      <w:color w:val="000000"/>
      <w:sz w:val="24"/>
      <w:szCs w:val="24"/>
    </w:rPr>
  </w:style>
  <w:style w:type="paragraph" w:styleId="Footer">
    <w:name w:val="footer"/>
    <w:basedOn w:val="Normal"/>
    <w:link w:val="FooterChar"/>
    <w:uiPriority w:val="99"/>
    <w:unhideWhenUsed/>
    <w:rsid w:val="00511280"/>
    <w:pPr>
      <w:tabs>
        <w:tab w:val="center" w:pos="4680"/>
        <w:tab w:val="right" w:pos="9360"/>
      </w:tabs>
    </w:pPr>
  </w:style>
  <w:style w:type="character" w:customStyle="1" w:styleId="FooterChar">
    <w:name w:val="Footer Char"/>
    <w:basedOn w:val="DefaultParagraphFont"/>
    <w:link w:val="Footer"/>
    <w:uiPriority w:val="99"/>
    <w:rsid w:val="00511280"/>
    <w:rPr>
      <w:rFonts w:ascii="Arial" w:hAnsi="Arial" w:cs="Arial"/>
      <w:color w:val="000000"/>
      <w:sz w:val="24"/>
      <w:szCs w:val="24"/>
    </w:rPr>
  </w:style>
  <w:style w:type="paragraph" w:styleId="NoSpacing">
    <w:name w:val="No Spacing"/>
    <w:link w:val="NoSpacingChar"/>
    <w:uiPriority w:val="1"/>
    <w:qFormat/>
    <w:rsid w:val="00CB25DC"/>
    <w:pPr>
      <w:spacing w:after="0" w:line="240" w:lineRule="auto"/>
    </w:pPr>
    <w:rPr>
      <w:lang w:val="en-US" w:eastAsia="en-US" w:bidi="ar-SA"/>
    </w:rPr>
  </w:style>
  <w:style w:type="character" w:customStyle="1" w:styleId="NoSpacingChar">
    <w:name w:val="No Spacing Char"/>
    <w:basedOn w:val="DefaultParagraphFont"/>
    <w:link w:val="NoSpacing"/>
    <w:uiPriority w:val="1"/>
    <w:rsid w:val="00CB25DC"/>
    <w:rPr>
      <w:lang w:val="en-US" w:eastAsia="en-US" w:bidi="ar-SA"/>
    </w:rPr>
  </w:style>
  <w:style w:type="paragraph" w:styleId="FootnoteText">
    <w:name w:val="footnote text"/>
    <w:aliases w:val="single space,footnote text,fn,FOOTNOTES,Car,Footnote,text,ft,Footnote Text Char Char Char Char Char Char,Footnote Text Char Char Char Char1,Footnote Text Char Char Char Char Char1,Footnote Text Char Char Char Char Char,f,Geneva,Geneva 9"/>
    <w:basedOn w:val="Normal"/>
    <w:link w:val="FootnoteTextChar"/>
    <w:uiPriority w:val="99"/>
    <w:unhideWhenUsed/>
    <w:rsid w:val="00F06FE7"/>
    <w:rPr>
      <w:sz w:val="20"/>
      <w:szCs w:val="20"/>
    </w:rPr>
  </w:style>
  <w:style w:type="character" w:customStyle="1" w:styleId="FootnoteTextChar">
    <w:name w:val="Footnote Text Char"/>
    <w:aliases w:val="single space Char,footnote text Char,fn Char,FOOTNOTES Char,Car Char,Footnote Char,text Char,ft Char,Footnote Text Char Char Char Char Char Char Char,Footnote Text Char Char Char Char1 Char,Footnote Text Char Char Char Char Char1 Char"/>
    <w:basedOn w:val="DefaultParagraphFont"/>
    <w:link w:val="FootnoteText"/>
    <w:uiPriority w:val="99"/>
    <w:rsid w:val="00F06FE7"/>
    <w:rPr>
      <w:rFonts w:ascii="Arial" w:hAnsi="Arial" w:cs="Arial"/>
      <w:color w:val="000000"/>
      <w:sz w:val="20"/>
      <w:szCs w:val="20"/>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fr,Ref"/>
    <w:basedOn w:val="DefaultParagraphFont"/>
    <w:uiPriority w:val="99"/>
    <w:unhideWhenUsed/>
    <w:rsid w:val="00F06FE7"/>
    <w:rPr>
      <w:vertAlign w:val="superscript"/>
    </w:rPr>
  </w:style>
  <w:style w:type="character" w:customStyle="1" w:styleId="hps">
    <w:name w:val="hps"/>
    <w:basedOn w:val="DefaultParagraphFont"/>
    <w:rsid w:val="0038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832B-8679-473D-88A5-D86CA0F3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3484</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2014-05-21T14:15:00Z</dcterms:created>
  <dcterms:modified xsi:type="dcterms:W3CDTF">2014-05-22T20:42:00Z</dcterms:modified>
</cp:coreProperties>
</file>