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3C" w:rsidRPr="00350004" w:rsidRDefault="007F3D3C" w:rsidP="007F3D3C">
      <w:pPr>
        <w:pStyle w:val="Default"/>
        <w:jc w:val="center"/>
        <w:rPr>
          <w:color w:val="auto"/>
          <w:sz w:val="22"/>
          <w:szCs w:val="22"/>
        </w:rPr>
      </w:pPr>
      <w:r>
        <w:rPr>
          <w:b/>
          <w:color w:val="auto"/>
          <w:sz w:val="22"/>
        </w:rPr>
        <w:t>DOCUMENT D</w:t>
      </w:r>
      <w:r w:rsidR="000E2AB1">
        <w:rPr>
          <w:b/>
          <w:color w:val="auto"/>
          <w:sz w:val="22"/>
        </w:rPr>
        <w:t>’</w:t>
      </w:r>
      <w:r>
        <w:rPr>
          <w:b/>
          <w:color w:val="auto"/>
          <w:sz w:val="22"/>
        </w:rPr>
        <w:t>INFORMATION DU PROGRAMME (PID)</w:t>
      </w:r>
    </w:p>
    <w:p w:rsidR="007F3D3C" w:rsidRPr="00350004" w:rsidRDefault="007F3D3C" w:rsidP="007F3D3C">
      <w:pPr>
        <w:pStyle w:val="Default"/>
        <w:jc w:val="center"/>
        <w:rPr>
          <w:color w:val="auto"/>
          <w:sz w:val="22"/>
          <w:szCs w:val="22"/>
        </w:rPr>
      </w:pPr>
      <w:r>
        <w:rPr>
          <w:b/>
          <w:color w:val="auto"/>
          <w:sz w:val="22"/>
        </w:rPr>
        <w:t>PHASE DE CONCEPTION</w:t>
      </w:r>
    </w:p>
    <w:p w:rsidR="007F3D3C" w:rsidRPr="00350004" w:rsidRDefault="00355469" w:rsidP="007F3D3C">
      <w:pPr>
        <w:pStyle w:val="Default"/>
        <w:jc w:val="right"/>
        <w:rPr>
          <w:color w:val="auto"/>
          <w:sz w:val="22"/>
          <w:szCs w:val="22"/>
        </w:rPr>
      </w:pPr>
      <w:bookmarkStart w:id="0" w:name="_GoBack"/>
      <w:bookmarkEnd w:id="0"/>
      <w:r>
        <w:rPr>
          <w:color w:val="auto"/>
          <w:sz w:val="22"/>
        </w:rPr>
        <w:t xml:space="preserve"> </w:t>
      </w:r>
    </w:p>
    <w:p w:rsidR="005054B2" w:rsidRPr="00350004" w:rsidRDefault="007F3D3C" w:rsidP="007F3D3C">
      <w:pPr>
        <w:pStyle w:val="Default"/>
        <w:jc w:val="right"/>
        <w:rPr>
          <w:sz w:val="22"/>
          <w:szCs w:val="22"/>
        </w:rPr>
      </w:pPr>
      <w:r>
        <w:rPr>
          <w:color w:val="auto"/>
          <w:sz w:val="22"/>
        </w:rPr>
        <w:t>Rapport n</w:t>
      </w:r>
      <w:r>
        <w:rPr>
          <w:color w:val="auto"/>
          <w:sz w:val="22"/>
          <w:vertAlign w:val="superscript"/>
        </w:rPr>
        <w:t>o</w:t>
      </w:r>
      <w:proofErr w:type="gramStart"/>
      <w:r>
        <w:rPr>
          <w:color w:val="auto"/>
          <w:sz w:val="22"/>
        </w:rPr>
        <w:t>:</w:t>
      </w:r>
      <w:r w:rsidR="00BD45B9">
        <w:rPr>
          <w:color w:val="auto"/>
          <w:sz w:val="22"/>
        </w:rPr>
        <w:t xml:space="preserve">  91346</w:t>
      </w:r>
      <w:proofErr w:type="gramEnd"/>
    </w:p>
    <w:p w:rsidR="007F3D3C" w:rsidRPr="00350004" w:rsidRDefault="007F3D3C" w:rsidP="005054B2">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Intitulé de l</w:t>
            </w:r>
            <w:r w:rsidR="000E2AB1">
              <w:rPr>
                <w:b/>
                <w:sz w:val="22"/>
              </w:rPr>
              <w:t>’</w:t>
            </w:r>
            <w:r>
              <w:rPr>
                <w:b/>
                <w:sz w:val="22"/>
              </w:rPr>
              <w:t xml:space="preserve">opération </w:t>
            </w:r>
          </w:p>
        </w:tc>
        <w:tc>
          <w:tcPr>
            <w:tcW w:w="4779" w:type="dxa"/>
          </w:tcPr>
          <w:p w:rsidR="005054B2" w:rsidRPr="00350004" w:rsidRDefault="00392F62" w:rsidP="005054B2">
            <w:pPr>
              <w:rPr>
                <w:bCs/>
                <w:caps/>
                <w:sz w:val="22"/>
                <w:szCs w:val="22"/>
              </w:rPr>
            </w:pPr>
            <w:r>
              <w:rPr>
                <w:sz w:val="22"/>
              </w:rPr>
              <w:t>MA-SECTEUR DES DÉCHETS SOLIDES DPL4</w:t>
            </w:r>
          </w:p>
        </w:tc>
      </w:tr>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 xml:space="preserve">Région </w:t>
            </w:r>
          </w:p>
        </w:tc>
        <w:tc>
          <w:tcPr>
            <w:tcW w:w="4779" w:type="dxa"/>
          </w:tcPr>
          <w:p w:rsidR="005054B2" w:rsidRPr="00350004" w:rsidRDefault="005054B2" w:rsidP="005054B2">
            <w:pPr>
              <w:pStyle w:val="Default"/>
              <w:rPr>
                <w:sz w:val="22"/>
                <w:szCs w:val="22"/>
              </w:rPr>
            </w:pPr>
            <w:r>
              <w:rPr>
                <w:sz w:val="22"/>
              </w:rPr>
              <w:t xml:space="preserve">Moyen-Orient et Afrique du Nord </w:t>
            </w:r>
          </w:p>
        </w:tc>
      </w:tr>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 xml:space="preserve">Pays </w:t>
            </w:r>
          </w:p>
        </w:tc>
        <w:tc>
          <w:tcPr>
            <w:tcW w:w="4779" w:type="dxa"/>
          </w:tcPr>
          <w:p w:rsidR="005054B2" w:rsidRPr="00350004" w:rsidRDefault="005054B2" w:rsidP="005054B2">
            <w:pPr>
              <w:pStyle w:val="Default"/>
              <w:rPr>
                <w:sz w:val="22"/>
                <w:szCs w:val="22"/>
              </w:rPr>
            </w:pPr>
            <w:r>
              <w:rPr>
                <w:sz w:val="22"/>
              </w:rPr>
              <w:t xml:space="preserve">ROYAUME DU MAROC </w:t>
            </w:r>
          </w:p>
        </w:tc>
      </w:tr>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 xml:space="preserve">Secteur </w:t>
            </w:r>
          </w:p>
        </w:tc>
        <w:tc>
          <w:tcPr>
            <w:tcW w:w="4779" w:type="dxa"/>
          </w:tcPr>
          <w:p w:rsidR="005054B2" w:rsidRPr="00350004" w:rsidRDefault="005054B2" w:rsidP="00E707C6">
            <w:pPr>
              <w:pStyle w:val="Default"/>
              <w:rPr>
                <w:sz w:val="22"/>
                <w:szCs w:val="22"/>
              </w:rPr>
            </w:pPr>
            <w:r>
              <w:rPr>
                <w:sz w:val="22"/>
              </w:rPr>
              <w:t>Gestion des déchets solides (75 %) ; Administration infranationale (25 %)</w:t>
            </w:r>
          </w:p>
        </w:tc>
      </w:tr>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Numéro d</w:t>
            </w:r>
            <w:r w:rsidR="000E2AB1">
              <w:rPr>
                <w:b/>
                <w:sz w:val="22"/>
              </w:rPr>
              <w:t>’</w:t>
            </w:r>
            <w:r>
              <w:rPr>
                <w:b/>
                <w:sz w:val="22"/>
              </w:rPr>
              <w:t>identification de l</w:t>
            </w:r>
            <w:r w:rsidR="000E2AB1">
              <w:rPr>
                <w:b/>
                <w:sz w:val="22"/>
              </w:rPr>
              <w:t>’</w:t>
            </w:r>
            <w:r>
              <w:rPr>
                <w:b/>
                <w:sz w:val="22"/>
              </w:rPr>
              <w:t xml:space="preserve">opération </w:t>
            </w:r>
          </w:p>
        </w:tc>
        <w:tc>
          <w:tcPr>
            <w:tcW w:w="4779" w:type="dxa"/>
          </w:tcPr>
          <w:p w:rsidR="005054B2" w:rsidRPr="00350004" w:rsidRDefault="005054B2" w:rsidP="00570323">
            <w:pPr>
              <w:pStyle w:val="Default"/>
              <w:rPr>
                <w:sz w:val="22"/>
                <w:szCs w:val="22"/>
              </w:rPr>
            </w:pPr>
            <w:r>
              <w:rPr>
                <w:sz w:val="22"/>
              </w:rPr>
              <w:t>P148642</w:t>
            </w:r>
          </w:p>
        </w:tc>
      </w:tr>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 xml:space="preserve">Instrument de prêt </w:t>
            </w:r>
          </w:p>
        </w:tc>
        <w:tc>
          <w:tcPr>
            <w:tcW w:w="4779" w:type="dxa"/>
          </w:tcPr>
          <w:p w:rsidR="005054B2" w:rsidRPr="00350004" w:rsidRDefault="005054B2" w:rsidP="005054B2">
            <w:pPr>
              <w:pStyle w:val="Default"/>
              <w:rPr>
                <w:sz w:val="22"/>
                <w:szCs w:val="22"/>
              </w:rPr>
            </w:pPr>
            <w:r>
              <w:rPr>
                <w:sz w:val="22"/>
              </w:rPr>
              <w:t>Prêt à l</w:t>
            </w:r>
            <w:r w:rsidR="000E2AB1">
              <w:rPr>
                <w:sz w:val="22"/>
              </w:rPr>
              <w:t>’</w:t>
            </w:r>
            <w:r>
              <w:rPr>
                <w:sz w:val="22"/>
              </w:rPr>
              <w:t xml:space="preserve">appui des politiques de développement </w:t>
            </w:r>
          </w:p>
        </w:tc>
      </w:tr>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 xml:space="preserve">Emprunteur(s) </w:t>
            </w:r>
          </w:p>
        </w:tc>
        <w:tc>
          <w:tcPr>
            <w:tcW w:w="4779" w:type="dxa"/>
          </w:tcPr>
          <w:p w:rsidR="005054B2" w:rsidRPr="00350004" w:rsidRDefault="005054B2" w:rsidP="005054B2">
            <w:pPr>
              <w:pStyle w:val="Default"/>
              <w:rPr>
                <w:sz w:val="22"/>
                <w:szCs w:val="22"/>
              </w:rPr>
            </w:pPr>
            <w:r>
              <w:rPr>
                <w:sz w:val="22"/>
              </w:rPr>
              <w:t xml:space="preserve">Royaume du Maroc </w:t>
            </w:r>
          </w:p>
        </w:tc>
      </w:tr>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Organisme d</w:t>
            </w:r>
            <w:r w:rsidR="000E2AB1">
              <w:rPr>
                <w:b/>
                <w:sz w:val="22"/>
              </w:rPr>
              <w:t>’</w:t>
            </w:r>
            <w:r>
              <w:rPr>
                <w:b/>
                <w:sz w:val="22"/>
              </w:rPr>
              <w:t xml:space="preserve">exécution </w:t>
            </w:r>
          </w:p>
        </w:tc>
        <w:tc>
          <w:tcPr>
            <w:tcW w:w="4779" w:type="dxa"/>
          </w:tcPr>
          <w:p w:rsidR="00392F62" w:rsidRPr="00350004" w:rsidRDefault="005054B2" w:rsidP="007F2519">
            <w:pPr>
              <w:pStyle w:val="Default"/>
              <w:rPr>
                <w:sz w:val="22"/>
                <w:szCs w:val="22"/>
              </w:rPr>
            </w:pPr>
            <w:r>
              <w:rPr>
                <w:sz w:val="22"/>
              </w:rPr>
              <w:t>Ministère de l</w:t>
            </w:r>
            <w:r w:rsidR="000E2AB1">
              <w:rPr>
                <w:sz w:val="22"/>
              </w:rPr>
              <w:t>’</w:t>
            </w:r>
            <w:r>
              <w:rPr>
                <w:sz w:val="22"/>
              </w:rPr>
              <w:t>Économie et des Finances, Ministère de l</w:t>
            </w:r>
            <w:r w:rsidR="000E2AB1">
              <w:rPr>
                <w:sz w:val="22"/>
              </w:rPr>
              <w:t>’</w:t>
            </w:r>
            <w:r>
              <w:rPr>
                <w:sz w:val="22"/>
              </w:rPr>
              <w:t>Intérieur, et Ministère de l</w:t>
            </w:r>
            <w:r w:rsidR="000E2AB1">
              <w:rPr>
                <w:sz w:val="22"/>
              </w:rPr>
              <w:t>’</w:t>
            </w:r>
            <w:r>
              <w:rPr>
                <w:sz w:val="22"/>
              </w:rPr>
              <w:t>Énergie, des Mines, de l</w:t>
            </w:r>
            <w:r w:rsidR="000E2AB1">
              <w:rPr>
                <w:sz w:val="22"/>
              </w:rPr>
              <w:t>’</w:t>
            </w:r>
            <w:r>
              <w:rPr>
                <w:sz w:val="22"/>
              </w:rPr>
              <w:t>Eau et de l</w:t>
            </w:r>
            <w:r w:rsidR="000E2AB1">
              <w:rPr>
                <w:sz w:val="22"/>
              </w:rPr>
              <w:t>’</w:t>
            </w:r>
            <w:r>
              <w:rPr>
                <w:sz w:val="22"/>
              </w:rPr>
              <w:t>Environnement</w:t>
            </w:r>
            <w:r w:rsidR="000E2AB1">
              <w:rPr>
                <w:sz w:val="22"/>
              </w:rPr>
              <w:t xml:space="preserve"> </w:t>
            </w:r>
          </w:p>
        </w:tc>
      </w:tr>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Date d</w:t>
            </w:r>
            <w:r w:rsidR="000E2AB1">
              <w:rPr>
                <w:b/>
                <w:sz w:val="22"/>
              </w:rPr>
              <w:t>’</w:t>
            </w:r>
            <w:r>
              <w:rPr>
                <w:b/>
                <w:sz w:val="22"/>
              </w:rPr>
              <w:t xml:space="preserve">élaboration du PID </w:t>
            </w:r>
          </w:p>
        </w:tc>
        <w:tc>
          <w:tcPr>
            <w:tcW w:w="4779" w:type="dxa"/>
          </w:tcPr>
          <w:p w:rsidR="005054B2" w:rsidRPr="00350004" w:rsidRDefault="00EC417B" w:rsidP="005054B2">
            <w:pPr>
              <w:pStyle w:val="Default"/>
              <w:rPr>
                <w:sz w:val="22"/>
                <w:szCs w:val="22"/>
              </w:rPr>
            </w:pPr>
            <w:r>
              <w:rPr>
                <w:sz w:val="22"/>
              </w:rPr>
              <w:t>13 septembre 2014</w:t>
            </w:r>
          </w:p>
        </w:tc>
      </w:tr>
      <w:tr w:rsidR="005054B2" w:rsidRPr="00350004" w:rsidTr="005054B2">
        <w:trPr>
          <w:trHeight w:val="161"/>
        </w:trPr>
        <w:tc>
          <w:tcPr>
            <w:tcW w:w="4779" w:type="dxa"/>
          </w:tcPr>
          <w:p w:rsidR="005054B2" w:rsidRPr="00350004" w:rsidRDefault="005054B2" w:rsidP="005054B2">
            <w:pPr>
              <w:pStyle w:val="Default"/>
              <w:rPr>
                <w:sz w:val="22"/>
                <w:szCs w:val="22"/>
              </w:rPr>
            </w:pPr>
            <w:r>
              <w:rPr>
                <w:b/>
                <w:sz w:val="22"/>
              </w:rPr>
              <w:t>Date estimative de l</w:t>
            </w:r>
            <w:r w:rsidR="000E2AB1">
              <w:rPr>
                <w:b/>
                <w:sz w:val="22"/>
              </w:rPr>
              <w:t>’</w:t>
            </w:r>
            <w:r>
              <w:rPr>
                <w:b/>
                <w:sz w:val="22"/>
              </w:rPr>
              <w:t xml:space="preserve">évaluation </w:t>
            </w:r>
          </w:p>
        </w:tc>
        <w:tc>
          <w:tcPr>
            <w:tcW w:w="4779" w:type="dxa"/>
          </w:tcPr>
          <w:p w:rsidR="005054B2" w:rsidRPr="00350004" w:rsidRDefault="00EC417B" w:rsidP="005054B2">
            <w:pPr>
              <w:pStyle w:val="Default"/>
              <w:rPr>
                <w:sz w:val="22"/>
                <w:szCs w:val="22"/>
              </w:rPr>
            </w:pPr>
            <w:r>
              <w:rPr>
                <w:sz w:val="22"/>
              </w:rPr>
              <w:t xml:space="preserve">24 novembre 2014 </w:t>
            </w:r>
          </w:p>
        </w:tc>
      </w:tr>
      <w:tr w:rsidR="005054B2" w:rsidRPr="00350004" w:rsidTr="005054B2">
        <w:trPr>
          <w:trHeight w:val="299"/>
        </w:trPr>
        <w:tc>
          <w:tcPr>
            <w:tcW w:w="4779" w:type="dxa"/>
          </w:tcPr>
          <w:p w:rsidR="005054B2" w:rsidRPr="00350004" w:rsidRDefault="005054B2" w:rsidP="005054B2">
            <w:pPr>
              <w:pStyle w:val="Default"/>
              <w:rPr>
                <w:sz w:val="22"/>
                <w:szCs w:val="22"/>
              </w:rPr>
            </w:pPr>
            <w:r>
              <w:rPr>
                <w:b/>
                <w:sz w:val="22"/>
              </w:rPr>
              <w:t>Date estimative d</w:t>
            </w:r>
            <w:r w:rsidR="000E2AB1">
              <w:rPr>
                <w:b/>
                <w:sz w:val="22"/>
              </w:rPr>
              <w:t>’</w:t>
            </w:r>
            <w:r>
              <w:rPr>
                <w:b/>
                <w:sz w:val="22"/>
              </w:rPr>
              <w:t xml:space="preserve">approbation par le Conseil </w:t>
            </w:r>
          </w:p>
        </w:tc>
        <w:tc>
          <w:tcPr>
            <w:tcW w:w="4779" w:type="dxa"/>
          </w:tcPr>
          <w:p w:rsidR="005054B2" w:rsidRPr="00350004" w:rsidRDefault="00EC417B" w:rsidP="005054B2">
            <w:pPr>
              <w:pStyle w:val="Default"/>
              <w:rPr>
                <w:sz w:val="22"/>
                <w:szCs w:val="22"/>
              </w:rPr>
            </w:pPr>
            <w:r>
              <w:rPr>
                <w:sz w:val="22"/>
              </w:rPr>
              <w:t xml:space="preserve">12 février 2015 </w:t>
            </w:r>
          </w:p>
        </w:tc>
      </w:tr>
      <w:tr w:rsidR="005054B2" w:rsidRPr="00350004" w:rsidTr="005054B2">
        <w:trPr>
          <w:trHeight w:val="295"/>
        </w:trPr>
        <w:tc>
          <w:tcPr>
            <w:tcW w:w="4779" w:type="dxa"/>
          </w:tcPr>
          <w:p w:rsidR="005054B2" w:rsidRPr="00350004" w:rsidRDefault="005054B2" w:rsidP="005054B2">
            <w:pPr>
              <w:pStyle w:val="Default"/>
              <w:rPr>
                <w:sz w:val="22"/>
                <w:szCs w:val="22"/>
              </w:rPr>
            </w:pPr>
            <w:r>
              <w:rPr>
                <w:b/>
                <w:sz w:val="22"/>
              </w:rPr>
              <w:t>Décision prise à l</w:t>
            </w:r>
            <w:r w:rsidR="000E2AB1">
              <w:rPr>
                <w:b/>
                <w:sz w:val="22"/>
              </w:rPr>
              <w:t>’</w:t>
            </w:r>
            <w:r>
              <w:rPr>
                <w:b/>
                <w:sz w:val="22"/>
              </w:rPr>
              <w:t>issue de l</w:t>
            </w:r>
            <w:r w:rsidR="000E2AB1">
              <w:rPr>
                <w:b/>
                <w:sz w:val="22"/>
              </w:rPr>
              <w:t>’</w:t>
            </w:r>
            <w:r>
              <w:rPr>
                <w:b/>
                <w:sz w:val="22"/>
              </w:rPr>
              <w:t xml:space="preserve">examen du descriptif du projet </w:t>
            </w:r>
          </w:p>
        </w:tc>
        <w:tc>
          <w:tcPr>
            <w:tcW w:w="4779" w:type="dxa"/>
          </w:tcPr>
          <w:p w:rsidR="005054B2" w:rsidRPr="00350004" w:rsidRDefault="005054B2" w:rsidP="005054B2">
            <w:pPr>
              <w:pStyle w:val="Default"/>
              <w:rPr>
                <w:sz w:val="22"/>
                <w:szCs w:val="22"/>
              </w:rPr>
            </w:pPr>
            <w:r>
              <w:rPr>
                <w:sz w:val="22"/>
              </w:rPr>
              <w:t>Au terme de l</w:t>
            </w:r>
            <w:r w:rsidR="000E2AB1">
              <w:rPr>
                <w:sz w:val="22"/>
              </w:rPr>
              <w:t>’</w:t>
            </w:r>
            <w:r>
              <w:rPr>
                <w:sz w:val="22"/>
              </w:rPr>
              <w:t xml:space="preserve">examen du descriptif, il a été décidé de poursuivre la préparation du projet. </w:t>
            </w:r>
          </w:p>
        </w:tc>
      </w:tr>
    </w:tbl>
    <w:p w:rsidR="00EE2E14" w:rsidRPr="00350004" w:rsidRDefault="00EE2E14" w:rsidP="005054B2">
      <w:pPr>
        <w:rPr>
          <w:sz w:val="22"/>
          <w:szCs w:val="22"/>
        </w:rPr>
      </w:pPr>
    </w:p>
    <w:p w:rsidR="005054B2" w:rsidRPr="00350004" w:rsidRDefault="005054B2" w:rsidP="005054B2">
      <w:pPr>
        <w:pStyle w:val="Default"/>
        <w:rPr>
          <w:sz w:val="22"/>
          <w:szCs w:val="22"/>
        </w:rPr>
      </w:pPr>
      <w:r>
        <w:rPr>
          <w:sz w:val="22"/>
        </w:rPr>
        <w:t xml:space="preserve"> </w:t>
      </w:r>
    </w:p>
    <w:p w:rsidR="002D1F08" w:rsidRPr="00350004" w:rsidRDefault="007F2519" w:rsidP="002D1F08">
      <w:pPr>
        <w:pStyle w:val="Default"/>
        <w:numPr>
          <w:ilvl w:val="0"/>
          <w:numId w:val="1"/>
        </w:numPr>
        <w:rPr>
          <w:b/>
          <w:bCs/>
          <w:sz w:val="22"/>
          <w:szCs w:val="22"/>
        </w:rPr>
      </w:pPr>
      <w:r>
        <w:rPr>
          <w:b/>
          <w:sz w:val="22"/>
        </w:rPr>
        <w:t>Contexte national et sectoriel</w:t>
      </w:r>
    </w:p>
    <w:p w:rsidR="002D1F08" w:rsidRPr="00350004" w:rsidRDefault="002D1F08" w:rsidP="002D1F08">
      <w:pPr>
        <w:pStyle w:val="Default"/>
        <w:rPr>
          <w:b/>
          <w:bCs/>
          <w:sz w:val="22"/>
          <w:szCs w:val="22"/>
        </w:rPr>
      </w:pPr>
    </w:p>
    <w:p w:rsidR="00EC417B" w:rsidRPr="00350004" w:rsidRDefault="00EC417B" w:rsidP="00EC417B">
      <w:pPr>
        <w:pStyle w:val="Default"/>
        <w:jc w:val="both"/>
        <w:rPr>
          <w:bCs/>
          <w:sz w:val="22"/>
          <w:szCs w:val="22"/>
        </w:rPr>
      </w:pPr>
      <w:r>
        <w:rPr>
          <w:sz w:val="22"/>
        </w:rPr>
        <w:t>Les problèmes liés aux déchets solides municipaux sont de plus en plus reconnus comme des obstacles à une urbanisation plus harmonieuse et au développement socioéconomique global du Maroc. La production accélérée de déchets met à rude épreuve les services municipaux, en particulier du point de vue financier, environnemental et social ainsi qu</w:t>
      </w:r>
      <w:r w:rsidR="000E2AB1">
        <w:rPr>
          <w:sz w:val="22"/>
        </w:rPr>
        <w:t>’</w:t>
      </w:r>
      <w:r>
        <w:rPr>
          <w:sz w:val="22"/>
        </w:rPr>
        <w:t xml:space="preserve">en matière de gestion. Actuellement, le pays produit environ 5,5 millions de tonnes de déchets solides municipaux par an, chiffre qui devrait passer à 6,2 millions de tonnes en 2020. </w:t>
      </w:r>
    </w:p>
    <w:p w:rsidR="00EC417B" w:rsidRPr="00350004" w:rsidRDefault="00EC417B" w:rsidP="00EC417B">
      <w:pPr>
        <w:pStyle w:val="Default"/>
        <w:jc w:val="both"/>
        <w:rPr>
          <w:bCs/>
          <w:sz w:val="22"/>
          <w:szCs w:val="22"/>
        </w:rPr>
      </w:pPr>
    </w:p>
    <w:p w:rsidR="00EC417B" w:rsidRPr="00350004" w:rsidRDefault="00EC417B" w:rsidP="00EC417B">
      <w:pPr>
        <w:pStyle w:val="Default"/>
        <w:jc w:val="both"/>
        <w:rPr>
          <w:bCs/>
          <w:sz w:val="22"/>
          <w:szCs w:val="22"/>
        </w:rPr>
      </w:pPr>
      <w:r>
        <w:rPr>
          <w:sz w:val="22"/>
        </w:rPr>
        <w:t xml:space="preserve">Compte tenu de la prise de conscience croissante par le public des questions liées à la qualité de vie, </w:t>
      </w:r>
      <w:r w:rsidR="00F729E6">
        <w:rPr>
          <w:sz w:val="22"/>
        </w:rPr>
        <w:t xml:space="preserve">à </w:t>
      </w:r>
      <w:r>
        <w:rPr>
          <w:sz w:val="22"/>
        </w:rPr>
        <w:t>la protection de l</w:t>
      </w:r>
      <w:r w:rsidR="000E2AB1">
        <w:rPr>
          <w:sz w:val="22"/>
        </w:rPr>
        <w:t>’</w:t>
      </w:r>
      <w:r>
        <w:rPr>
          <w:sz w:val="22"/>
        </w:rPr>
        <w:t xml:space="preserve">environnement et </w:t>
      </w:r>
      <w:r w:rsidR="00F729E6">
        <w:rPr>
          <w:sz w:val="22"/>
        </w:rPr>
        <w:t>au</w:t>
      </w:r>
      <w:r>
        <w:rPr>
          <w:sz w:val="22"/>
        </w:rPr>
        <w:t xml:space="preserve"> développement durable, la question des déchets solides municipaux est devenue une priorité nationale dans le Royaume.</w:t>
      </w:r>
      <w:r w:rsidR="000E2AB1">
        <w:rPr>
          <w:sz w:val="22"/>
        </w:rPr>
        <w:t xml:space="preserve"> </w:t>
      </w:r>
      <w:r>
        <w:rPr>
          <w:sz w:val="22"/>
        </w:rPr>
        <w:t>Depuis 2008, un programme national de déchets ménagers (PNDM) de 15 ans réparti en trois phases est en cours d</w:t>
      </w:r>
      <w:r w:rsidR="000E2AB1">
        <w:rPr>
          <w:sz w:val="22"/>
        </w:rPr>
        <w:t>’</w:t>
      </w:r>
      <w:r>
        <w:rPr>
          <w:sz w:val="22"/>
        </w:rPr>
        <w:t>exécution en vue d</w:t>
      </w:r>
      <w:r w:rsidR="000E2AB1">
        <w:rPr>
          <w:sz w:val="22"/>
        </w:rPr>
        <w:t>’</w:t>
      </w:r>
      <w:r>
        <w:rPr>
          <w:sz w:val="22"/>
        </w:rPr>
        <w:t xml:space="preserve">aider les municipalités à faire face aux impératifs de la loi de 2006 sur les déchets solides, notamment la modernisation de leurs systèmes de gestion des déchets </w:t>
      </w:r>
      <w:r w:rsidR="000E2AB1">
        <w:rPr>
          <w:sz w:val="22"/>
        </w:rPr>
        <w:t>solides municipaux</w:t>
      </w:r>
      <w:r>
        <w:rPr>
          <w:sz w:val="22"/>
        </w:rPr>
        <w:t xml:space="preserve">. </w:t>
      </w:r>
    </w:p>
    <w:p w:rsidR="00782451" w:rsidRPr="00350004" w:rsidRDefault="00782451" w:rsidP="00D44D25">
      <w:pPr>
        <w:pStyle w:val="Default"/>
        <w:jc w:val="both"/>
        <w:rPr>
          <w:bCs/>
          <w:sz w:val="22"/>
          <w:szCs w:val="22"/>
        </w:rPr>
      </w:pPr>
    </w:p>
    <w:p w:rsidR="002D1F08" w:rsidRPr="00350004" w:rsidRDefault="00EC417B" w:rsidP="00D44D25">
      <w:pPr>
        <w:pStyle w:val="Default"/>
        <w:jc w:val="both"/>
        <w:rPr>
          <w:bCs/>
          <w:sz w:val="22"/>
          <w:szCs w:val="22"/>
        </w:rPr>
      </w:pPr>
      <w:r>
        <w:rPr>
          <w:sz w:val="22"/>
        </w:rPr>
        <w:t>Initiée par la promulgation de la première loi SWM 28-00 de décembre 2006 et le lancement du PNDM de 15 ans en 2008, la réforme du secteur est redevenue une priorité nationale. Les objectifs quantitatifs du PNDM en ce qui concerne la prestation des services et la performance environnementale sont les suivants : d</w:t>
      </w:r>
      <w:r w:rsidR="000E2AB1">
        <w:rPr>
          <w:sz w:val="22"/>
        </w:rPr>
        <w:t>’</w:t>
      </w:r>
      <w:r>
        <w:rPr>
          <w:sz w:val="22"/>
        </w:rPr>
        <w:t>ici à 2021, 90 % de la population urbaine aura accès à des services modernes de collecte des déchets ménagers, 100 % des déchets ménagers enlevés dans les zones urbaines seront évacués vers des décharges contrôlées et 20 % des déchets ménagers collectés seront recyclés.</w:t>
      </w:r>
    </w:p>
    <w:p w:rsidR="009318AB" w:rsidRPr="00350004" w:rsidRDefault="004449F9" w:rsidP="009318AB">
      <w:pPr>
        <w:tabs>
          <w:tab w:val="left" w:pos="720"/>
        </w:tabs>
        <w:spacing w:before="240"/>
        <w:jc w:val="both"/>
        <w:rPr>
          <w:bCs/>
          <w:sz w:val="22"/>
          <w:szCs w:val="22"/>
        </w:rPr>
      </w:pPr>
      <w:r>
        <w:rPr>
          <w:sz w:val="22"/>
        </w:rPr>
        <w:t>Au cours des cinq dernières années, et grâce au soutien de la Banque et d</w:t>
      </w:r>
      <w:r w:rsidR="000E2AB1">
        <w:rPr>
          <w:sz w:val="22"/>
        </w:rPr>
        <w:t>’</w:t>
      </w:r>
      <w:r>
        <w:rPr>
          <w:sz w:val="22"/>
        </w:rPr>
        <w:t>autres partenaires, le Maroc a accompli des progrès substantiels dans l</w:t>
      </w:r>
      <w:r w:rsidR="000E2AB1">
        <w:rPr>
          <w:sz w:val="22"/>
        </w:rPr>
        <w:t>’</w:t>
      </w:r>
      <w:r>
        <w:rPr>
          <w:sz w:val="22"/>
        </w:rPr>
        <w:t>élaboration d</w:t>
      </w:r>
      <w:r w:rsidR="000E2AB1">
        <w:rPr>
          <w:sz w:val="22"/>
        </w:rPr>
        <w:t>’</w:t>
      </w:r>
      <w:r>
        <w:rPr>
          <w:sz w:val="22"/>
        </w:rPr>
        <w:t>un cadre nécessaire pour établir les bases d</w:t>
      </w:r>
      <w:r w:rsidR="000E2AB1">
        <w:rPr>
          <w:sz w:val="22"/>
        </w:rPr>
        <w:t>’</w:t>
      </w:r>
      <w:r>
        <w:rPr>
          <w:sz w:val="22"/>
        </w:rPr>
        <w:t>un système intégré et abordable de gestion des déchets solides municipaux</w:t>
      </w:r>
      <w:r w:rsidR="00B07FC1">
        <w:rPr>
          <w:b/>
          <w:sz w:val="22"/>
        </w:rPr>
        <w:t>.</w:t>
      </w:r>
      <w:r>
        <w:rPr>
          <w:sz w:val="22"/>
        </w:rPr>
        <w:t xml:space="preserve"> Et ce</w:t>
      </w:r>
      <w:r w:rsidR="00E761D9">
        <w:rPr>
          <w:sz w:val="22"/>
        </w:rPr>
        <w:t>tte démarche commence à porter s</w:t>
      </w:r>
      <w:r>
        <w:rPr>
          <w:sz w:val="22"/>
        </w:rPr>
        <w:t>es fruits : a) le Maroc dispose d</w:t>
      </w:r>
      <w:r w:rsidR="000E2AB1">
        <w:rPr>
          <w:sz w:val="22"/>
        </w:rPr>
        <w:t>’</w:t>
      </w:r>
      <w:r>
        <w:rPr>
          <w:sz w:val="22"/>
        </w:rPr>
        <w:t>une législation solide pour instaurer une gestion intégrée des déchets solides et encourager leur utilisation comme une ressource permettant d</w:t>
      </w:r>
      <w:r w:rsidR="000E2AB1">
        <w:rPr>
          <w:sz w:val="22"/>
        </w:rPr>
        <w:t>’</w:t>
      </w:r>
      <w:r>
        <w:rPr>
          <w:sz w:val="22"/>
        </w:rPr>
        <w:t xml:space="preserve">obtenir des avantages </w:t>
      </w:r>
      <w:r>
        <w:rPr>
          <w:sz w:val="22"/>
        </w:rPr>
        <w:lastRenderedPageBreak/>
        <w:t xml:space="preserve">plus importants au plan environnemental, social et économique ; b) plus de 15 millions de personnes ont accès à de meilleurs services de collecte des déchets </w:t>
      </w:r>
      <w:r w:rsidR="00AF424B">
        <w:rPr>
          <w:sz w:val="22"/>
        </w:rPr>
        <w:t xml:space="preserve">solides municipaux </w:t>
      </w:r>
      <w:r>
        <w:rPr>
          <w:sz w:val="22"/>
        </w:rPr>
        <w:t xml:space="preserve"> ; c) plus de 100 villes recourent aux services de sociétés privées pour le nettoiement des rues et la collecte des déchets ; d) la transparence et </w:t>
      </w:r>
      <w:r w:rsidR="00AF424B">
        <w:rPr>
          <w:sz w:val="22"/>
        </w:rPr>
        <w:t>la participation</w:t>
      </w:r>
      <w:r>
        <w:rPr>
          <w:sz w:val="22"/>
        </w:rPr>
        <w:t xml:space="preserve"> des citoyens dans le secteur des déchets solides se sont améliorés : e) un instrument efficace est en place pour promouvoir le recyclage des déchets et améliorer les résultats socioéconomiques du secteur en accordant une attention particulière aux groupes vulnérables. </w:t>
      </w:r>
    </w:p>
    <w:p w:rsidR="009318AB" w:rsidRPr="00350004" w:rsidRDefault="009318AB" w:rsidP="009318AB">
      <w:pPr>
        <w:pStyle w:val="ListParagraph"/>
        <w:ind w:left="0"/>
        <w:contextualSpacing w:val="0"/>
        <w:jc w:val="both"/>
        <w:rPr>
          <w:bCs/>
          <w:sz w:val="22"/>
          <w:szCs w:val="22"/>
        </w:rPr>
      </w:pPr>
    </w:p>
    <w:p w:rsidR="00782451" w:rsidRPr="00350004" w:rsidRDefault="00782451" w:rsidP="00782451">
      <w:pPr>
        <w:pStyle w:val="Para1"/>
        <w:numPr>
          <w:ilvl w:val="0"/>
          <w:numId w:val="0"/>
        </w:numPr>
        <w:jc w:val="both"/>
        <w:rPr>
          <w:bCs/>
          <w:szCs w:val="22"/>
        </w:rPr>
      </w:pPr>
      <w:r>
        <w:t>Des progrès considérables ont également été accomplis dans la réalisation des objectifs du PNDM notamment en ce qui concerne les pratiques d</w:t>
      </w:r>
      <w:r w:rsidR="000E2AB1">
        <w:t>’</w:t>
      </w:r>
      <w:r>
        <w:t xml:space="preserve">élimination hygiénique des déchets et la fermeture/remise en état des décharges à ciel ouvert. Plus de 37 % des déchets enlevés sont évacués vers des décharges contrôlées, contre moins de 10 % en 2008, et 12 décharges à ciel ouvert ont été fermées, sur les 220 en fonctionnement. </w:t>
      </w:r>
    </w:p>
    <w:p w:rsidR="00350004" w:rsidRPr="00350004" w:rsidRDefault="005054B2" w:rsidP="00350004">
      <w:pPr>
        <w:pStyle w:val="Default"/>
        <w:numPr>
          <w:ilvl w:val="0"/>
          <w:numId w:val="1"/>
        </w:numPr>
        <w:rPr>
          <w:sz w:val="22"/>
          <w:szCs w:val="22"/>
        </w:rPr>
      </w:pPr>
      <w:r>
        <w:rPr>
          <w:b/>
          <w:sz w:val="22"/>
        </w:rPr>
        <w:t>Principales questions de développement et justification de l</w:t>
      </w:r>
      <w:r w:rsidR="000E2AB1">
        <w:rPr>
          <w:b/>
          <w:sz w:val="22"/>
        </w:rPr>
        <w:t>’</w:t>
      </w:r>
      <w:r>
        <w:rPr>
          <w:b/>
          <w:sz w:val="22"/>
        </w:rPr>
        <w:t xml:space="preserve">intervention de la Banque </w:t>
      </w:r>
    </w:p>
    <w:p w:rsidR="00350004" w:rsidRPr="00350004" w:rsidRDefault="00350004" w:rsidP="00350004">
      <w:pPr>
        <w:pStyle w:val="Default"/>
        <w:rPr>
          <w:b/>
          <w:bCs/>
          <w:sz w:val="22"/>
          <w:szCs w:val="22"/>
        </w:rPr>
      </w:pPr>
    </w:p>
    <w:p w:rsidR="00350004" w:rsidRPr="00350004" w:rsidRDefault="00350004" w:rsidP="00350004">
      <w:pPr>
        <w:pStyle w:val="Default"/>
        <w:jc w:val="both"/>
        <w:rPr>
          <w:sz w:val="22"/>
          <w:szCs w:val="22"/>
        </w:rPr>
      </w:pPr>
      <w:r>
        <w:rPr>
          <w:sz w:val="22"/>
        </w:rPr>
        <w:t xml:space="preserve">Ce sont là des résultats importants obtenus dans le cadre de la première phase du PNDM, qui est globalement sur la bonne voie par rapport aux objectifs fixés, mais des progrès continus et réguliers sont </w:t>
      </w:r>
      <w:r w:rsidR="00B07FC1">
        <w:rPr>
          <w:sz w:val="22"/>
        </w:rPr>
        <w:t xml:space="preserve">encore </w:t>
      </w:r>
      <w:r>
        <w:rPr>
          <w:sz w:val="22"/>
        </w:rPr>
        <w:t xml:space="preserve">nécessaires </w:t>
      </w:r>
      <w:r w:rsidR="00B07FC1">
        <w:rPr>
          <w:sz w:val="22"/>
        </w:rPr>
        <w:t>afin d’</w:t>
      </w:r>
      <w:r>
        <w:rPr>
          <w:sz w:val="22"/>
        </w:rPr>
        <w:t>atteindre les objectifs fixés pour 2021. Les nouveaux défis à relever par les autorités et les possibilités qui s</w:t>
      </w:r>
      <w:r w:rsidR="000E2AB1">
        <w:rPr>
          <w:sz w:val="22"/>
        </w:rPr>
        <w:t>’</w:t>
      </w:r>
      <w:r>
        <w:rPr>
          <w:sz w:val="22"/>
        </w:rPr>
        <w:t>offrent à elles sont les suivants : a) la participation des citoyens et les pratiques transparentes ne sont pas encore systématiques et nécessitent un engagement soutenu des collectivités locales qui elles-mêmes ont besoin d</w:t>
      </w:r>
      <w:r w:rsidR="000E2AB1">
        <w:rPr>
          <w:sz w:val="22"/>
        </w:rPr>
        <w:t>’</w:t>
      </w:r>
      <w:r>
        <w:rPr>
          <w:sz w:val="22"/>
        </w:rPr>
        <w:t>être appuyées dans ce domaine ; b) les petites et moyennes municipalités ne disposent pas de capacités suffisantes pour planifier, élaborer et superviser les contrats avec des sociétés privées ; c) les possibilités d</w:t>
      </w:r>
      <w:r w:rsidR="000E2AB1">
        <w:rPr>
          <w:sz w:val="22"/>
        </w:rPr>
        <w:t>’</w:t>
      </w:r>
      <w:r>
        <w:rPr>
          <w:sz w:val="22"/>
        </w:rPr>
        <w:t xml:space="preserve">améliorer la viabilité à moyen terme des services de gestion des </w:t>
      </w:r>
      <w:r w:rsidR="00F729E6">
        <w:rPr>
          <w:sz w:val="22"/>
        </w:rPr>
        <w:t>déchets solides municipaux</w:t>
      </w:r>
      <w:r>
        <w:rPr>
          <w:sz w:val="22"/>
        </w:rPr>
        <w:t xml:space="preserve"> grâce à une meilleure gestion des recettes municipales et du potentiel fiscal existent mais elles n</w:t>
      </w:r>
      <w:r w:rsidR="000E2AB1">
        <w:rPr>
          <w:sz w:val="22"/>
        </w:rPr>
        <w:t>’</w:t>
      </w:r>
      <w:r>
        <w:rPr>
          <w:sz w:val="22"/>
        </w:rPr>
        <w:t>ont pas encore été pleinement exploitées ; d) la poursuite de l</w:t>
      </w:r>
      <w:r w:rsidR="000E2AB1">
        <w:rPr>
          <w:sz w:val="22"/>
        </w:rPr>
        <w:t>’</w:t>
      </w:r>
      <w:r>
        <w:rPr>
          <w:sz w:val="22"/>
        </w:rPr>
        <w:t xml:space="preserve">amélioration des mécanismes de médiation et de conciliation ainsi que la sensibilisation des autorités locales et des prestataires de services privés sont nécessaires pour renforcer la confiance mutuelle entre les parties et pour améliorer la participation du secteur privé </w:t>
      </w:r>
      <w:r w:rsidR="00B07FC1">
        <w:rPr>
          <w:sz w:val="22"/>
        </w:rPr>
        <w:t>à</w:t>
      </w:r>
      <w:r>
        <w:rPr>
          <w:sz w:val="22"/>
        </w:rPr>
        <w:t xml:space="preserve"> la gestion des contrats ; e) des progrès modestes ont été accomplis dans le suivi et le contrôle systématiques et professionnels des structures </w:t>
      </w:r>
      <w:r w:rsidR="001266E0">
        <w:rPr>
          <w:sz w:val="22"/>
        </w:rPr>
        <w:t>de gestion</w:t>
      </w:r>
      <w:r>
        <w:rPr>
          <w:sz w:val="22"/>
        </w:rPr>
        <w:t xml:space="preserve"> des </w:t>
      </w:r>
      <w:r w:rsidR="00F729E6">
        <w:rPr>
          <w:sz w:val="22"/>
        </w:rPr>
        <w:t>déchets solides municipaux</w:t>
      </w:r>
      <w:r>
        <w:rPr>
          <w:sz w:val="22"/>
        </w:rPr>
        <w:t xml:space="preserve"> et leur conformité avec les réglementations environnementales, le</w:t>
      </w:r>
      <w:r w:rsidR="00E761D9">
        <w:rPr>
          <w:sz w:val="22"/>
        </w:rPr>
        <w:t>s standards et les normes ; f) l</w:t>
      </w:r>
      <w:r>
        <w:rPr>
          <w:sz w:val="22"/>
        </w:rPr>
        <w:t>e PNDM s</w:t>
      </w:r>
      <w:r w:rsidR="000E2AB1">
        <w:rPr>
          <w:sz w:val="22"/>
        </w:rPr>
        <w:t>’</w:t>
      </w:r>
      <w:r>
        <w:rPr>
          <w:sz w:val="22"/>
        </w:rPr>
        <w:t xml:space="preserve">est fixé un objectif de recyclage de 20 % de déchets </w:t>
      </w:r>
      <w:r w:rsidR="001266E0">
        <w:rPr>
          <w:sz w:val="22"/>
        </w:rPr>
        <w:t>collectés</w:t>
      </w:r>
      <w:r>
        <w:rPr>
          <w:sz w:val="22"/>
        </w:rPr>
        <w:t xml:space="preserve"> d</w:t>
      </w:r>
      <w:r w:rsidR="000E2AB1">
        <w:rPr>
          <w:sz w:val="22"/>
        </w:rPr>
        <w:t>’</w:t>
      </w:r>
      <w:r>
        <w:rPr>
          <w:sz w:val="22"/>
        </w:rPr>
        <w:t>ici 2022, mais aucune avancée notable dans la réalisation de ce résultat n</w:t>
      </w:r>
      <w:r w:rsidR="000E2AB1">
        <w:rPr>
          <w:sz w:val="22"/>
        </w:rPr>
        <w:t>’</w:t>
      </w:r>
      <w:r>
        <w:rPr>
          <w:sz w:val="22"/>
        </w:rPr>
        <w:t xml:space="preserve">a été observée. </w:t>
      </w:r>
    </w:p>
    <w:p w:rsidR="00EC417B" w:rsidRPr="00350004" w:rsidRDefault="00EC417B" w:rsidP="00350004">
      <w:pPr>
        <w:tabs>
          <w:tab w:val="left" w:pos="720"/>
        </w:tabs>
        <w:spacing w:before="240" w:after="120"/>
        <w:jc w:val="both"/>
        <w:rPr>
          <w:b/>
          <w:sz w:val="22"/>
          <w:szCs w:val="22"/>
        </w:rPr>
      </w:pPr>
      <w:r>
        <w:rPr>
          <w:sz w:val="22"/>
        </w:rPr>
        <w:t>Le DPL4 proposé contribuera à la réalisation des deux objectifs principaux de la Banque mondiale, à savoir réduire la pauvreté et promouvoir la prospérité partagée.</w:t>
      </w:r>
      <w:r>
        <w:rPr>
          <w:b/>
          <w:sz w:val="22"/>
        </w:rPr>
        <w:t xml:space="preserve"> </w:t>
      </w:r>
      <w:r>
        <w:rPr>
          <w:sz w:val="22"/>
        </w:rPr>
        <w:t>Concrètement, les réformes financées dans le cadre du présent DPL et le PNDM</w:t>
      </w:r>
      <w:r w:rsidR="000E2AB1">
        <w:rPr>
          <w:sz w:val="22"/>
        </w:rPr>
        <w:t xml:space="preserve"> </w:t>
      </w:r>
      <w:r>
        <w:rPr>
          <w:sz w:val="22"/>
        </w:rPr>
        <w:t>permettront de : a) créer des opportunités pour les groupes vulnérables (les ramasseurs de déchets), en particulier les femmes, afin d</w:t>
      </w:r>
      <w:r w:rsidR="000E2AB1">
        <w:rPr>
          <w:sz w:val="22"/>
        </w:rPr>
        <w:t>’</w:t>
      </w:r>
      <w:r>
        <w:rPr>
          <w:sz w:val="22"/>
        </w:rPr>
        <w:t>améliorer leurs revenus et leurs conditions de travail ; b) favoriser la création d</w:t>
      </w:r>
      <w:r w:rsidR="000E2AB1">
        <w:rPr>
          <w:sz w:val="22"/>
        </w:rPr>
        <w:t>’</w:t>
      </w:r>
      <w:r>
        <w:rPr>
          <w:sz w:val="22"/>
        </w:rPr>
        <w:t xml:space="preserve">emplois par le développement de chaînes de valeur dynamiques de recyclage des déchets ; et c) maîtriser et </w:t>
      </w:r>
      <w:r w:rsidR="001266E0">
        <w:rPr>
          <w:sz w:val="22"/>
        </w:rPr>
        <w:t>d’</w:t>
      </w:r>
      <w:r>
        <w:rPr>
          <w:sz w:val="22"/>
        </w:rPr>
        <w:t>atténuer les effets négatifs sur l</w:t>
      </w:r>
      <w:r w:rsidR="000E2AB1">
        <w:rPr>
          <w:sz w:val="22"/>
        </w:rPr>
        <w:t>’</w:t>
      </w:r>
      <w:r>
        <w:rPr>
          <w:sz w:val="22"/>
        </w:rPr>
        <w:t xml:space="preserve">environnement des décharges existantes, améliorant ainsi les conditions de vie des populations riveraines, dont la plupart sont marginalisées et pauvres. </w:t>
      </w:r>
    </w:p>
    <w:p w:rsidR="00782451" w:rsidRPr="00350004" w:rsidRDefault="00782451" w:rsidP="00782451">
      <w:pPr>
        <w:pStyle w:val="ListParagraph"/>
        <w:ind w:left="0"/>
        <w:contextualSpacing w:val="0"/>
        <w:jc w:val="both"/>
        <w:rPr>
          <w:bCs/>
          <w:sz w:val="22"/>
          <w:szCs w:val="22"/>
        </w:rPr>
      </w:pPr>
    </w:p>
    <w:p w:rsidR="00EC417B" w:rsidRPr="00350004" w:rsidRDefault="00782451" w:rsidP="00EC417B">
      <w:pPr>
        <w:pStyle w:val="ListParagraph"/>
        <w:ind w:left="0"/>
        <w:contextualSpacing w:val="0"/>
        <w:jc w:val="both"/>
        <w:rPr>
          <w:sz w:val="22"/>
          <w:szCs w:val="22"/>
        </w:rPr>
      </w:pPr>
      <w:r>
        <w:rPr>
          <w:sz w:val="22"/>
        </w:rPr>
        <w:t>L</w:t>
      </w:r>
      <w:r w:rsidR="000E2AB1">
        <w:rPr>
          <w:sz w:val="22"/>
        </w:rPr>
        <w:t>’</w:t>
      </w:r>
      <w:r>
        <w:rPr>
          <w:sz w:val="22"/>
        </w:rPr>
        <w:t xml:space="preserve">appui de la Banque au secteur des déchets solides municipaux au Maroc </w:t>
      </w:r>
      <w:r w:rsidR="001266E0">
        <w:rPr>
          <w:sz w:val="22"/>
        </w:rPr>
        <w:t>s’inscrit dans le droit fil</w:t>
      </w:r>
      <w:r>
        <w:rPr>
          <w:sz w:val="22"/>
        </w:rPr>
        <w:t xml:space="preserve"> des activités de base de la Stratégie de partenariat entre l</w:t>
      </w:r>
      <w:r w:rsidR="000E2AB1">
        <w:rPr>
          <w:sz w:val="22"/>
        </w:rPr>
        <w:t>’</w:t>
      </w:r>
      <w:r>
        <w:rPr>
          <w:sz w:val="22"/>
        </w:rPr>
        <w:t>institution et le Gouvernement marocain (2014-</w:t>
      </w:r>
      <w:r w:rsidR="001266E0">
        <w:rPr>
          <w:sz w:val="22"/>
        </w:rPr>
        <w:t>20</w:t>
      </w:r>
      <w:r>
        <w:rPr>
          <w:sz w:val="22"/>
        </w:rPr>
        <w:t xml:space="preserve">17). Il contribuera à la réalisation </w:t>
      </w:r>
      <w:r>
        <w:rPr>
          <w:rFonts w:eastAsiaTheme="minorHAnsi"/>
          <w:sz w:val="22"/>
          <w:u w:val="single"/>
        </w:rPr>
        <w:t>de l</w:t>
      </w:r>
      <w:r w:rsidR="000E2AB1">
        <w:rPr>
          <w:rFonts w:eastAsiaTheme="minorHAnsi"/>
          <w:sz w:val="22"/>
          <w:u w:val="single"/>
        </w:rPr>
        <w:t>’</w:t>
      </w:r>
      <w:r>
        <w:rPr>
          <w:rFonts w:eastAsiaTheme="minorHAnsi"/>
          <w:sz w:val="22"/>
          <w:u w:val="single"/>
        </w:rPr>
        <w:t xml:space="preserve">Axe 1 </w:t>
      </w:r>
      <w:r>
        <w:rPr>
          <w:sz w:val="22"/>
        </w:rPr>
        <w:t>« </w:t>
      </w:r>
      <w:r>
        <w:rPr>
          <w:i/>
          <w:sz w:val="22"/>
        </w:rPr>
        <w:t>Promouvoir la compétitivité et une croissance solidaire</w:t>
      </w:r>
      <w:r>
        <w:rPr>
          <w:sz w:val="22"/>
        </w:rPr>
        <w:t xml:space="preserve"> » et </w:t>
      </w:r>
      <w:r w:rsidR="001266E0">
        <w:rPr>
          <w:sz w:val="22"/>
        </w:rPr>
        <w:t xml:space="preserve">de </w:t>
      </w:r>
      <w:r>
        <w:rPr>
          <w:sz w:val="22"/>
          <w:u w:val="single"/>
        </w:rPr>
        <w:t>l</w:t>
      </w:r>
      <w:r w:rsidR="000E2AB1">
        <w:rPr>
          <w:sz w:val="22"/>
          <w:u w:val="single"/>
        </w:rPr>
        <w:t>’</w:t>
      </w:r>
      <w:r>
        <w:rPr>
          <w:sz w:val="22"/>
          <w:u w:val="single"/>
        </w:rPr>
        <w:t>Axe 2</w:t>
      </w:r>
      <w:r>
        <w:rPr>
          <w:sz w:val="22"/>
        </w:rPr>
        <w:t xml:space="preserve"> « </w:t>
      </w:r>
      <w:r>
        <w:rPr>
          <w:rFonts w:eastAsiaTheme="minorHAnsi"/>
          <w:i/>
          <w:sz w:val="22"/>
        </w:rPr>
        <w:t>Construction d</w:t>
      </w:r>
      <w:r w:rsidR="000E2AB1">
        <w:rPr>
          <w:rFonts w:eastAsiaTheme="minorHAnsi"/>
          <w:i/>
          <w:sz w:val="22"/>
        </w:rPr>
        <w:t>’</w:t>
      </w:r>
      <w:r>
        <w:rPr>
          <w:rFonts w:eastAsiaTheme="minorHAnsi"/>
          <w:i/>
          <w:sz w:val="22"/>
        </w:rPr>
        <w:t>un avenir vert et résilient</w:t>
      </w:r>
      <w:r>
        <w:rPr>
          <w:sz w:val="22"/>
        </w:rPr>
        <w:t> ».</w:t>
      </w:r>
      <w:r w:rsidR="000E2AB1">
        <w:rPr>
          <w:sz w:val="22"/>
        </w:rPr>
        <w:t xml:space="preserve"> </w:t>
      </w:r>
      <w:r w:rsidR="001266E0">
        <w:rPr>
          <w:sz w:val="22"/>
        </w:rPr>
        <w:t>La Banque</w:t>
      </w:r>
      <w:r>
        <w:rPr>
          <w:sz w:val="22"/>
        </w:rPr>
        <w:t xml:space="preserve"> appuiera également </w:t>
      </w:r>
      <w:r>
        <w:rPr>
          <w:sz w:val="22"/>
          <w:u w:val="single"/>
        </w:rPr>
        <w:t>l</w:t>
      </w:r>
      <w:r w:rsidR="000E2AB1">
        <w:rPr>
          <w:sz w:val="22"/>
          <w:u w:val="single"/>
        </w:rPr>
        <w:t>’</w:t>
      </w:r>
      <w:r>
        <w:rPr>
          <w:sz w:val="22"/>
          <w:u w:val="single"/>
        </w:rPr>
        <w:t>Axe 3 </w:t>
      </w:r>
      <w:r>
        <w:rPr>
          <w:sz w:val="22"/>
        </w:rPr>
        <w:t>: « </w:t>
      </w:r>
      <w:r>
        <w:rPr>
          <w:i/>
          <w:sz w:val="22"/>
        </w:rPr>
        <w:t>Renforcer la gouvernance et les institutions afin de fournir de meilleurs services à tous les citoyens</w:t>
      </w:r>
      <w:r>
        <w:rPr>
          <w:sz w:val="22"/>
        </w:rPr>
        <w:t xml:space="preserve"> ». </w:t>
      </w:r>
    </w:p>
    <w:p w:rsidR="00EC417B" w:rsidRPr="00350004" w:rsidRDefault="00EC417B" w:rsidP="00782451">
      <w:pPr>
        <w:pStyle w:val="ListParagraph"/>
        <w:ind w:left="0"/>
        <w:contextualSpacing w:val="0"/>
        <w:jc w:val="both"/>
        <w:rPr>
          <w:bCs/>
          <w:sz w:val="22"/>
          <w:szCs w:val="22"/>
        </w:rPr>
      </w:pPr>
    </w:p>
    <w:p w:rsidR="007F2519" w:rsidRPr="00350004" w:rsidRDefault="007F2519" w:rsidP="005054B2">
      <w:pPr>
        <w:pStyle w:val="Default"/>
        <w:rPr>
          <w:sz w:val="22"/>
          <w:szCs w:val="22"/>
        </w:rPr>
      </w:pPr>
    </w:p>
    <w:p w:rsidR="005054B2" w:rsidRPr="00350004" w:rsidRDefault="005054B2" w:rsidP="005054B2">
      <w:pPr>
        <w:pStyle w:val="Default"/>
        <w:numPr>
          <w:ilvl w:val="0"/>
          <w:numId w:val="1"/>
        </w:numPr>
        <w:rPr>
          <w:b/>
          <w:bCs/>
          <w:sz w:val="22"/>
          <w:szCs w:val="22"/>
        </w:rPr>
      </w:pPr>
      <w:r>
        <w:rPr>
          <w:b/>
          <w:sz w:val="22"/>
        </w:rPr>
        <w:t>Objectif(s) proposé(s)</w:t>
      </w:r>
    </w:p>
    <w:p w:rsidR="00EC417B" w:rsidRPr="00350004" w:rsidRDefault="00EC417B" w:rsidP="00EC417B">
      <w:pPr>
        <w:tabs>
          <w:tab w:val="left" w:pos="720"/>
        </w:tabs>
        <w:spacing w:after="120"/>
        <w:jc w:val="both"/>
        <w:rPr>
          <w:sz w:val="22"/>
          <w:szCs w:val="22"/>
        </w:rPr>
      </w:pPr>
    </w:p>
    <w:p w:rsidR="00EC417B" w:rsidRPr="00350004" w:rsidRDefault="00EC417B" w:rsidP="00EC417B">
      <w:pPr>
        <w:tabs>
          <w:tab w:val="left" w:pos="720"/>
        </w:tabs>
        <w:spacing w:after="120"/>
        <w:jc w:val="both"/>
        <w:rPr>
          <w:sz w:val="22"/>
          <w:szCs w:val="22"/>
        </w:rPr>
      </w:pPr>
      <w:r>
        <w:rPr>
          <w:rFonts w:eastAsiaTheme="minorHAnsi"/>
          <w:sz w:val="22"/>
        </w:rPr>
        <w:t>Le DPL4 proposé continuera à appuyer la deuxième phase du Programme national des déchets ménagers (PNDM - Phase II) en cours d</w:t>
      </w:r>
      <w:r w:rsidR="000E2AB1">
        <w:rPr>
          <w:rFonts w:eastAsiaTheme="minorHAnsi"/>
          <w:sz w:val="22"/>
        </w:rPr>
        <w:t>’</w:t>
      </w:r>
      <w:r>
        <w:rPr>
          <w:rFonts w:eastAsiaTheme="minorHAnsi"/>
          <w:sz w:val="22"/>
        </w:rPr>
        <w:t>exécution par les autorités nationales.</w:t>
      </w:r>
      <w:r>
        <w:rPr>
          <w:rFonts w:eastAsiaTheme="minorHAnsi"/>
          <w:b/>
          <w:sz w:val="22"/>
        </w:rPr>
        <w:t xml:space="preserve"> </w:t>
      </w:r>
      <w:r>
        <w:rPr>
          <w:rFonts w:eastAsiaTheme="minorHAnsi"/>
          <w:sz w:val="22"/>
        </w:rPr>
        <w:t>Le DPL4 sera le deuxième et le dernier d</w:t>
      </w:r>
      <w:r w:rsidR="000E2AB1">
        <w:rPr>
          <w:rFonts w:eastAsiaTheme="minorHAnsi"/>
          <w:sz w:val="22"/>
        </w:rPr>
        <w:t>’</w:t>
      </w:r>
      <w:r>
        <w:rPr>
          <w:rFonts w:eastAsiaTheme="minorHAnsi"/>
          <w:sz w:val="22"/>
        </w:rPr>
        <w:t>une série programmatique de deux opérations de prêt à l</w:t>
      </w:r>
      <w:r w:rsidR="000E2AB1">
        <w:rPr>
          <w:rFonts w:eastAsiaTheme="minorHAnsi"/>
          <w:sz w:val="22"/>
        </w:rPr>
        <w:t>’</w:t>
      </w:r>
      <w:r>
        <w:rPr>
          <w:rFonts w:eastAsiaTheme="minorHAnsi"/>
          <w:sz w:val="22"/>
        </w:rPr>
        <w:t xml:space="preserve">appui des politiques de développement qui soutient les réformes entreprises par les pouvoirs publics dans le secteur des déchets solides. </w:t>
      </w:r>
    </w:p>
    <w:p w:rsidR="00EC417B" w:rsidRPr="00350004" w:rsidRDefault="00EC417B" w:rsidP="00EC417B">
      <w:pPr>
        <w:tabs>
          <w:tab w:val="left" w:pos="720"/>
        </w:tabs>
        <w:spacing w:after="120"/>
        <w:jc w:val="both"/>
        <w:rPr>
          <w:sz w:val="22"/>
          <w:szCs w:val="22"/>
        </w:rPr>
      </w:pPr>
      <w:r>
        <w:rPr>
          <w:sz w:val="22"/>
        </w:rPr>
        <w:t>L</w:t>
      </w:r>
      <w:r w:rsidR="000E2AB1">
        <w:rPr>
          <w:sz w:val="22"/>
        </w:rPr>
        <w:t>’</w:t>
      </w:r>
      <w:r>
        <w:rPr>
          <w:b/>
          <w:sz w:val="22"/>
        </w:rPr>
        <w:t>objectif de développement</w:t>
      </w:r>
      <w:r>
        <w:rPr>
          <w:sz w:val="22"/>
        </w:rPr>
        <w:t xml:space="preserve"> de la deuxième série programmatique (DPL3 et DPL4) est d</w:t>
      </w:r>
      <w:r w:rsidR="000E2AB1">
        <w:rPr>
          <w:sz w:val="22"/>
        </w:rPr>
        <w:t>’</w:t>
      </w:r>
      <w:r>
        <w:rPr>
          <w:sz w:val="22"/>
        </w:rPr>
        <w:t xml:space="preserve">appuyer les efforts du gouvernement pour améliorer la performance économique, environnementale et sociale du secteur des déchets solides municipaux. </w:t>
      </w:r>
    </w:p>
    <w:p w:rsidR="00EC417B" w:rsidRPr="00350004" w:rsidRDefault="00EC417B" w:rsidP="00EC417B">
      <w:pPr>
        <w:tabs>
          <w:tab w:val="left" w:pos="720"/>
        </w:tabs>
        <w:spacing w:after="120"/>
        <w:jc w:val="both"/>
        <w:rPr>
          <w:sz w:val="22"/>
          <w:szCs w:val="22"/>
        </w:rPr>
      </w:pPr>
      <w:r>
        <w:rPr>
          <w:sz w:val="22"/>
        </w:rPr>
        <w:t>Les avantages et effets prévus du programme DPL, y compris le DPL4, seraient les suivants :</w:t>
      </w:r>
      <w:r>
        <w:rPr>
          <w:b/>
          <w:sz w:val="22"/>
        </w:rPr>
        <w:t xml:space="preserve"> </w:t>
      </w:r>
    </w:p>
    <w:p w:rsidR="00EC417B" w:rsidRPr="00350004" w:rsidRDefault="00EC417B" w:rsidP="00EC417B">
      <w:pPr>
        <w:pStyle w:val="ListParagraph"/>
        <w:rPr>
          <w:sz w:val="22"/>
          <w:szCs w:val="22"/>
        </w:rPr>
      </w:pPr>
    </w:p>
    <w:p w:rsidR="00EC417B" w:rsidRPr="00350004" w:rsidRDefault="00EC417B" w:rsidP="00EC417B">
      <w:pPr>
        <w:pStyle w:val="ListParagraph"/>
        <w:numPr>
          <w:ilvl w:val="0"/>
          <w:numId w:val="9"/>
        </w:numPr>
        <w:spacing w:after="60"/>
        <w:contextualSpacing w:val="0"/>
        <w:jc w:val="both"/>
        <w:rPr>
          <w:b/>
          <w:sz w:val="22"/>
          <w:szCs w:val="22"/>
        </w:rPr>
      </w:pPr>
      <w:r>
        <w:rPr>
          <w:i/>
          <w:sz w:val="22"/>
        </w:rPr>
        <w:t>Transparence et participation des citoyens :</w:t>
      </w:r>
      <w:r>
        <w:rPr>
          <w:sz w:val="22"/>
        </w:rPr>
        <w:t xml:space="preserve"> a) accès amélioré du public à des informations précises et fiables sur la fourniture, l</w:t>
      </w:r>
      <w:r w:rsidR="000E2AB1">
        <w:rPr>
          <w:sz w:val="22"/>
        </w:rPr>
        <w:t>’</w:t>
      </w:r>
      <w:r>
        <w:rPr>
          <w:sz w:val="22"/>
        </w:rPr>
        <w:t>accès et la qualité des services ; et b) les citoyens et les usagers sont en mesure d</w:t>
      </w:r>
      <w:r w:rsidR="000E2AB1">
        <w:rPr>
          <w:sz w:val="22"/>
        </w:rPr>
        <w:t>’</w:t>
      </w:r>
      <w:r>
        <w:rPr>
          <w:sz w:val="22"/>
        </w:rPr>
        <w:t>exprimer leur opinion sur la qualité et le caractère approprié des services ;</w:t>
      </w:r>
    </w:p>
    <w:p w:rsidR="00EC417B" w:rsidRPr="00350004" w:rsidRDefault="00EC417B" w:rsidP="00EC417B">
      <w:pPr>
        <w:pStyle w:val="ListParagraph"/>
        <w:numPr>
          <w:ilvl w:val="0"/>
          <w:numId w:val="9"/>
        </w:numPr>
        <w:spacing w:after="60"/>
        <w:contextualSpacing w:val="0"/>
        <w:jc w:val="both"/>
        <w:rPr>
          <w:b/>
          <w:sz w:val="22"/>
          <w:szCs w:val="22"/>
        </w:rPr>
      </w:pPr>
      <w:r>
        <w:rPr>
          <w:i/>
          <w:sz w:val="22"/>
        </w:rPr>
        <w:t>Viabilité de la prestation de services :</w:t>
      </w:r>
      <w:r>
        <w:rPr>
          <w:sz w:val="22"/>
        </w:rPr>
        <w:t xml:space="preserve"> a) les municipalités continuent de bénéficier de l</w:t>
      </w:r>
      <w:r w:rsidR="000E2AB1">
        <w:rPr>
          <w:sz w:val="22"/>
        </w:rPr>
        <w:t>’</w:t>
      </w:r>
      <w:r>
        <w:rPr>
          <w:sz w:val="22"/>
        </w:rPr>
        <w:t xml:space="preserve">appui du gouvernement pour planifier, élaborer et gérer des infrastructures de </w:t>
      </w:r>
      <w:r w:rsidR="001562DD">
        <w:rPr>
          <w:sz w:val="22"/>
        </w:rPr>
        <w:t>gestion</w:t>
      </w:r>
      <w:r>
        <w:rPr>
          <w:sz w:val="22"/>
        </w:rPr>
        <w:t xml:space="preserve"> des déchets solides municipaux et déléguer les services au secteur privé ; b) la population urbaine a accès à des services professionnels de gestion intégrée de déchets solides municipaux et c) des sources </w:t>
      </w:r>
      <w:r w:rsidR="00D85D52">
        <w:rPr>
          <w:sz w:val="22"/>
        </w:rPr>
        <w:t xml:space="preserve">potentielles </w:t>
      </w:r>
      <w:r>
        <w:rPr>
          <w:sz w:val="22"/>
        </w:rPr>
        <w:t>locales de revenus sont mobilisées pour soutenir la professionnalisation des systèmes de gestion des déchets solides municipaux.</w:t>
      </w:r>
      <w:r w:rsidR="000E2AB1">
        <w:rPr>
          <w:sz w:val="22"/>
        </w:rPr>
        <w:t xml:space="preserve"> </w:t>
      </w:r>
    </w:p>
    <w:p w:rsidR="00DC4AC1" w:rsidRPr="00350004" w:rsidRDefault="00EC417B" w:rsidP="00EC417B">
      <w:pPr>
        <w:pStyle w:val="ListParagraph"/>
        <w:numPr>
          <w:ilvl w:val="0"/>
          <w:numId w:val="9"/>
        </w:numPr>
        <w:spacing w:after="60"/>
        <w:contextualSpacing w:val="0"/>
        <w:jc w:val="both"/>
        <w:rPr>
          <w:b/>
          <w:sz w:val="22"/>
          <w:szCs w:val="22"/>
        </w:rPr>
      </w:pPr>
      <w:r>
        <w:rPr>
          <w:i/>
          <w:sz w:val="22"/>
        </w:rPr>
        <w:t>Performance environnementale et sociale du secteur :</w:t>
      </w:r>
      <w:r>
        <w:rPr>
          <w:sz w:val="22"/>
        </w:rPr>
        <w:t xml:space="preserve"> a) les effets sur l</w:t>
      </w:r>
      <w:r w:rsidR="000E2AB1">
        <w:rPr>
          <w:sz w:val="22"/>
        </w:rPr>
        <w:t>’</w:t>
      </w:r>
      <w:r>
        <w:rPr>
          <w:sz w:val="22"/>
        </w:rPr>
        <w:t xml:space="preserve">environnement des installations de traitement des </w:t>
      </w:r>
      <w:r w:rsidR="00F729E6">
        <w:rPr>
          <w:sz w:val="22"/>
        </w:rPr>
        <w:t>déchets solides municipaux</w:t>
      </w:r>
      <w:r>
        <w:rPr>
          <w:sz w:val="22"/>
        </w:rPr>
        <w:t xml:space="preserve"> sont </w:t>
      </w:r>
      <w:r w:rsidR="00156686">
        <w:rPr>
          <w:sz w:val="22"/>
        </w:rPr>
        <w:t>réduits,</w:t>
      </w:r>
      <w:r>
        <w:rPr>
          <w:sz w:val="22"/>
        </w:rPr>
        <w:t xml:space="preserve"> car ils font l</w:t>
      </w:r>
      <w:r w:rsidR="000E2AB1">
        <w:rPr>
          <w:sz w:val="22"/>
        </w:rPr>
        <w:t>’</w:t>
      </w:r>
      <w:r>
        <w:rPr>
          <w:sz w:val="22"/>
        </w:rPr>
        <w:t>objet de contrôles et d</w:t>
      </w:r>
      <w:r w:rsidR="000E2AB1">
        <w:rPr>
          <w:sz w:val="22"/>
        </w:rPr>
        <w:t>’</w:t>
      </w:r>
      <w:r>
        <w:rPr>
          <w:sz w:val="22"/>
        </w:rPr>
        <w:t>inspection régulière au plan de l</w:t>
      </w:r>
      <w:r w:rsidR="000E2AB1">
        <w:rPr>
          <w:sz w:val="22"/>
        </w:rPr>
        <w:t>’</w:t>
      </w:r>
      <w:r>
        <w:rPr>
          <w:sz w:val="22"/>
        </w:rPr>
        <w:t>environnement conformément aux bonnes pratiques internationales ; b) de nouveaux programmes de recyclage et de valorisation sont élaborés, ce qui favorise une collaboration fructueuse entre les producteurs, le secteur informel et les municipalités ; c) un flux constant de recettes est généré pour soutenir les activités de recyclage, d</w:t>
      </w:r>
      <w:r w:rsidR="000E2AB1">
        <w:rPr>
          <w:sz w:val="22"/>
        </w:rPr>
        <w:t>’</w:t>
      </w:r>
      <w:r>
        <w:rPr>
          <w:sz w:val="22"/>
        </w:rPr>
        <w:t>inclusion sociale et de création d</w:t>
      </w:r>
      <w:r w:rsidR="000E2AB1">
        <w:rPr>
          <w:sz w:val="22"/>
        </w:rPr>
        <w:t>’</w:t>
      </w:r>
      <w:r>
        <w:rPr>
          <w:sz w:val="22"/>
        </w:rPr>
        <w:t>emplois formels et de PME.</w:t>
      </w:r>
    </w:p>
    <w:p w:rsidR="00EC417B" w:rsidRPr="00350004" w:rsidRDefault="00EC417B" w:rsidP="00EC417B">
      <w:pPr>
        <w:pStyle w:val="Default"/>
        <w:rPr>
          <w:b/>
          <w:sz w:val="22"/>
          <w:szCs w:val="22"/>
        </w:rPr>
      </w:pPr>
    </w:p>
    <w:p w:rsidR="005054B2" w:rsidRPr="00350004" w:rsidRDefault="005054B2" w:rsidP="005054B2">
      <w:pPr>
        <w:pStyle w:val="Default"/>
        <w:numPr>
          <w:ilvl w:val="0"/>
          <w:numId w:val="1"/>
        </w:numPr>
        <w:rPr>
          <w:b/>
          <w:bCs/>
          <w:sz w:val="22"/>
          <w:szCs w:val="22"/>
        </w:rPr>
      </w:pPr>
      <w:r>
        <w:rPr>
          <w:b/>
          <w:sz w:val="22"/>
        </w:rPr>
        <w:t>Description préliminaire</w:t>
      </w:r>
    </w:p>
    <w:p w:rsidR="00DC4AC1" w:rsidRPr="00350004" w:rsidRDefault="00DC4AC1" w:rsidP="00DC4AC1">
      <w:pPr>
        <w:pStyle w:val="Default"/>
        <w:ind w:left="360"/>
        <w:rPr>
          <w:b/>
          <w:bCs/>
          <w:sz w:val="22"/>
          <w:szCs w:val="22"/>
        </w:rPr>
      </w:pPr>
    </w:p>
    <w:p w:rsidR="00EC417B" w:rsidRPr="00350004" w:rsidRDefault="00EC417B" w:rsidP="00EC417B">
      <w:pPr>
        <w:tabs>
          <w:tab w:val="left" w:pos="720"/>
        </w:tabs>
        <w:spacing w:after="120"/>
        <w:jc w:val="both"/>
        <w:rPr>
          <w:sz w:val="22"/>
          <w:szCs w:val="22"/>
        </w:rPr>
      </w:pPr>
      <w:r>
        <w:rPr>
          <w:sz w:val="22"/>
        </w:rPr>
        <w:t>L</w:t>
      </w:r>
      <w:r w:rsidR="000E2AB1">
        <w:rPr>
          <w:sz w:val="22"/>
        </w:rPr>
        <w:t>’</w:t>
      </w:r>
      <w:r>
        <w:rPr>
          <w:sz w:val="22"/>
        </w:rPr>
        <w:t xml:space="preserve">opération proposée appuiera le programme des autorités qui porte sur quatre domaines : a) </w:t>
      </w:r>
      <w:r w:rsidR="00156686">
        <w:rPr>
          <w:sz w:val="22"/>
        </w:rPr>
        <w:t>renforcer</w:t>
      </w:r>
      <w:r>
        <w:rPr>
          <w:sz w:val="22"/>
        </w:rPr>
        <w:t xml:space="preserve"> la gouvernance, particulièrement l</w:t>
      </w:r>
      <w:r w:rsidR="000E2AB1">
        <w:rPr>
          <w:sz w:val="22"/>
        </w:rPr>
        <w:t>’</w:t>
      </w:r>
      <w:r>
        <w:rPr>
          <w:sz w:val="22"/>
        </w:rPr>
        <w:t>aspect demande de gouvernance, à travers l</w:t>
      </w:r>
      <w:r w:rsidR="000E2AB1">
        <w:rPr>
          <w:sz w:val="22"/>
        </w:rPr>
        <w:t>’</w:t>
      </w:r>
      <w:r>
        <w:rPr>
          <w:sz w:val="22"/>
        </w:rPr>
        <w:t>amélioration de la redevabilité des prestataires de services, le renforcement de la transparence, l</w:t>
      </w:r>
      <w:r w:rsidR="000E2AB1">
        <w:rPr>
          <w:sz w:val="22"/>
        </w:rPr>
        <w:t>’</w:t>
      </w:r>
      <w:r>
        <w:rPr>
          <w:sz w:val="22"/>
        </w:rPr>
        <w:t>accès à l</w:t>
      </w:r>
      <w:r w:rsidR="000E2AB1">
        <w:rPr>
          <w:sz w:val="22"/>
        </w:rPr>
        <w:t>’</w:t>
      </w:r>
      <w:r>
        <w:rPr>
          <w:sz w:val="22"/>
        </w:rPr>
        <w:t>information et en donnant à la société civile et aux citoyens de nouvelles possibilités de participer efficacement et de fai</w:t>
      </w:r>
      <w:r w:rsidR="00D85D52">
        <w:rPr>
          <w:sz w:val="22"/>
        </w:rPr>
        <w:t>re entendre leurs voix ; b) a</w:t>
      </w:r>
      <w:r>
        <w:rPr>
          <w:sz w:val="22"/>
        </w:rPr>
        <w:t xml:space="preserve">méliorer la viabilité institutionnelle et financière du secteur par la professionnalisation de la planification et de la prestation de services intégrés de gestion des déchets </w:t>
      </w:r>
      <w:r w:rsidR="00156686">
        <w:rPr>
          <w:sz w:val="22"/>
        </w:rPr>
        <w:t>solides m</w:t>
      </w:r>
      <w:r w:rsidR="00D85D52">
        <w:rPr>
          <w:sz w:val="22"/>
        </w:rPr>
        <w:t>unicipaux </w:t>
      </w:r>
      <w:r>
        <w:rPr>
          <w:sz w:val="22"/>
        </w:rPr>
        <w:t xml:space="preserve">; c) mettre à niveau le système national de suivi et de contrôle environnemental ; et d) développer des filières de recyclage des déchets qui soient financièrement viables et socialement inclusives. </w:t>
      </w:r>
    </w:p>
    <w:p w:rsidR="00DC4AC1" w:rsidRPr="00350004" w:rsidRDefault="00DC4AC1" w:rsidP="003B062B">
      <w:pPr>
        <w:pStyle w:val="Default"/>
        <w:jc w:val="both"/>
        <w:rPr>
          <w:bCs/>
          <w:sz w:val="22"/>
          <w:szCs w:val="22"/>
        </w:rPr>
      </w:pPr>
    </w:p>
    <w:p w:rsidR="005054B2" w:rsidRPr="00350004" w:rsidRDefault="005054B2" w:rsidP="005054B2">
      <w:pPr>
        <w:pStyle w:val="Default"/>
        <w:numPr>
          <w:ilvl w:val="0"/>
          <w:numId w:val="1"/>
        </w:numPr>
        <w:rPr>
          <w:b/>
          <w:bCs/>
          <w:sz w:val="22"/>
          <w:szCs w:val="22"/>
        </w:rPr>
      </w:pPr>
      <w:r>
        <w:rPr>
          <w:b/>
          <w:sz w:val="22"/>
        </w:rPr>
        <w:t>Pauvreté, effets sociaux et aspects environnementaux</w:t>
      </w:r>
    </w:p>
    <w:p w:rsidR="00DC4AC1" w:rsidRPr="00350004" w:rsidRDefault="00DC4AC1" w:rsidP="005054B2">
      <w:pPr>
        <w:pStyle w:val="Default"/>
        <w:rPr>
          <w:i/>
          <w:iCs/>
          <w:sz w:val="22"/>
          <w:szCs w:val="22"/>
        </w:rPr>
      </w:pPr>
    </w:p>
    <w:p w:rsidR="005054B2" w:rsidRPr="00350004" w:rsidRDefault="005054B2" w:rsidP="003B062B">
      <w:pPr>
        <w:pStyle w:val="Default"/>
        <w:jc w:val="both"/>
        <w:rPr>
          <w:sz w:val="22"/>
          <w:szCs w:val="22"/>
        </w:rPr>
      </w:pPr>
      <w:r>
        <w:rPr>
          <w:i/>
          <w:sz w:val="22"/>
        </w:rPr>
        <w:t xml:space="preserve">Impact sur les conditions de vie et la pauvreté </w:t>
      </w:r>
    </w:p>
    <w:p w:rsidR="00DC4AC1" w:rsidRPr="00350004" w:rsidRDefault="00DC4AC1" w:rsidP="003B062B">
      <w:pPr>
        <w:jc w:val="both"/>
        <w:rPr>
          <w:sz w:val="22"/>
          <w:szCs w:val="22"/>
        </w:rPr>
      </w:pPr>
      <w:r>
        <w:rPr>
          <w:sz w:val="22"/>
        </w:rPr>
        <w:t>La conception du programme DPL prendra en compte les résultats des études d</w:t>
      </w:r>
      <w:r w:rsidR="000E2AB1">
        <w:rPr>
          <w:sz w:val="22"/>
        </w:rPr>
        <w:t>’</w:t>
      </w:r>
      <w:r>
        <w:rPr>
          <w:sz w:val="22"/>
        </w:rPr>
        <w:t>impact sur les conditions de vie et la pauvreté réalisées lors de la première phase (PSIA 1 et 2) ainsi que de l</w:t>
      </w:r>
      <w:r w:rsidR="000E2AB1">
        <w:rPr>
          <w:sz w:val="22"/>
        </w:rPr>
        <w:t>’</w:t>
      </w:r>
      <w:r>
        <w:rPr>
          <w:sz w:val="22"/>
        </w:rPr>
        <w:t>addendum au PSIA 2 qui a évalué les effets potentiels de l</w:t>
      </w:r>
      <w:r w:rsidR="000E2AB1">
        <w:rPr>
          <w:sz w:val="22"/>
        </w:rPr>
        <w:t>’</w:t>
      </w:r>
      <w:r>
        <w:rPr>
          <w:sz w:val="22"/>
        </w:rPr>
        <w:t>introduction du projet d</w:t>
      </w:r>
      <w:r w:rsidR="000E2AB1">
        <w:rPr>
          <w:sz w:val="22"/>
        </w:rPr>
        <w:t>’</w:t>
      </w:r>
      <w:r>
        <w:rPr>
          <w:sz w:val="22"/>
        </w:rPr>
        <w:t>écotaxe sur les groupes vulnérables tels que les ramasseurs de déchets qui sont principalement des femmes et des jeunes.</w:t>
      </w:r>
    </w:p>
    <w:p w:rsidR="00DC4AC1" w:rsidRPr="00350004" w:rsidRDefault="00DC4AC1" w:rsidP="003B062B">
      <w:pPr>
        <w:jc w:val="both"/>
        <w:rPr>
          <w:i/>
          <w:iCs/>
          <w:sz w:val="22"/>
          <w:szCs w:val="22"/>
        </w:rPr>
      </w:pPr>
    </w:p>
    <w:p w:rsidR="00DC4AC1" w:rsidRPr="00350004" w:rsidRDefault="005054B2" w:rsidP="003B062B">
      <w:pPr>
        <w:pStyle w:val="Default"/>
        <w:jc w:val="both"/>
        <w:rPr>
          <w:i/>
          <w:iCs/>
          <w:sz w:val="22"/>
          <w:szCs w:val="22"/>
        </w:rPr>
      </w:pPr>
      <w:r>
        <w:rPr>
          <w:i/>
          <w:sz w:val="22"/>
        </w:rPr>
        <w:lastRenderedPageBreak/>
        <w:t>Impact sur l</w:t>
      </w:r>
      <w:r w:rsidR="000E2AB1">
        <w:rPr>
          <w:i/>
          <w:sz w:val="22"/>
        </w:rPr>
        <w:t>’</w:t>
      </w:r>
      <w:r>
        <w:rPr>
          <w:i/>
          <w:sz w:val="22"/>
        </w:rPr>
        <w:t>environnement</w:t>
      </w:r>
    </w:p>
    <w:p w:rsidR="00DC4AC1" w:rsidRPr="00350004" w:rsidRDefault="00DC4AC1" w:rsidP="003B062B">
      <w:pPr>
        <w:pStyle w:val="ListParagraph"/>
        <w:ind w:left="0"/>
        <w:contextualSpacing w:val="0"/>
        <w:jc w:val="both"/>
        <w:rPr>
          <w:sz w:val="22"/>
          <w:szCs w:val="22"/>
        </w:rPr>
      </w:pPr>
      <w:r>
        <w:rPr>
          <w:sz w:val="22"/>
        </w:rPr>
        <w:t>Une évaluation des effets potentiels sur l</w:t>
      </w:r>
      <w:r w:rsidR="000E2AB1">
        <w:rPr>
          <w:sz w:val="22"/>
        </w:rPr>
        <w:t>’</w:t>
      </w:r>
      <w:r>
        <w:rPr>
          <w:sz w:val="22"/>
        </w:rPr>
        <w:t>environnement et les ressources naturelles des politiques appuyées par le DPL a été réalisée, et démontre que les mesures soutenues par le programme proposé sont susceptibles d</w:t>
      </w:r>
      <w:r w:rsidR="000E2AB1">
        <w:rPr>
          <w:sz w:val="22"/>
        </w:rPr>
        <w:t>’</w:t>
      </w:r>
      <w:r>
        <w:rPr>
          <w:sz w:val="22"/>
        </w:rPr>
        <w:t>avoir un effet positif important sur l</w:t>
      </w:r>
      <w:r w:rsidR="000E2AB1">
        <w:rPr>
          <w:sz w:val="22"/>
        </w:rPr>
        <w:t>’</w:t>
      </w:r>
      <w:r>
        <w:rPr>
          <w:sz w:val="22"/>
        </w:rPr>
        <w:t xml:space="preserve">environnement du pays, les forêts et autres ressources naturelles. </w:t>
      </w:r>
    </w:p>
    <w:p w:rsidR="00DC4AC1" w:rsidRPr="00350004" w:rsidRDefault="00DC4AC1" w:rsidP="003B062B">
      <w:pPr>
        <w:jc w:val="both"/>
        <w:rPr>
          <w:sz w:val="22"/>
          <w:szCs w:val="22"/>
        </w:rPr>
      </w:pPr>
    </w:p>
    <w:p w:rsidR="00DC4AC1" w:rsidRPr="00350004" w:rsidRDefault="00DC4AC1" w:rsidP="003B062B">
      <w:pPr>
        <w:pStyle w:val="ListParagraph"/>
        <w:ind w:left="0"/>
        <w:contextualSpacing w:val="0"/>
        <w:jc w:val="both"/>
        <w:rPr>
          <w:sz w:val="22"/>
          <w:szCs w:val="22"/>
        </w:rPr>
      </w:pPr>
      <w:r>
        <w:rPr>
          <w:sz w:val="22"/>
        </w:rPr>
        <w:t>L</w:t>
      </w:r>
      <w:r w:rsidR="000E2AB1">
        <w:rPr>
          <w:sz w:val="22"/>
        </w:rPr>
        <w:t>’</w:t>
      </w:r>
      <w:r>
        <w:rPr>
          <w:sz w:val="22"/>
        </w:rPr>
        <w:t>opération proposée (et le programme du DPL) a été spécialement conçue pour résoudre les problèmes environnementaux et s</w:t>
      </w:r>
      <w:r w:rsidR="000E2AB1">
        <w:rPr>
          <w:sz w:val="22"/>
        </w:rPr>
        <w:t>’</w:t>
      </w:r>
      <w:r>
        <w:rPr>
          <w:sz w:val="22"/>
        </w:rPr>
        <w:t>appuie sur l</w:t>
      </w:r>
      <w:r w:rsidR="000E2AB1">
        <w:rPr>
          <w:sz w:val="22"/>
        </w:rPr>
        <w:t>’</w:t>
      </w:r>
      <w:r>
        <w:rPr>
          <w:sz w:val="22"/>
        </w:rPr>
        <w:t>état d</w:t>
      </w:r>
      <w:r w:rsidR="000E2AB1">
        <w:rPr>
          <w:sz w:val="22"/>
        </w:rPr>
        <w:t>’</w:t>
      </w:r>
      <w:r>
        <w:rPr>
          <w:sz w:val="22"/>
        </w:rPr>
        <w:t>avancement des deux opérations précédentes pour améliorer leurs effets positifs sur l</w:t>
      </w:r>
      <w:r w:rsidR="000E2AB1">
        <w:rPr>
          <w:sz w:val="22"/>
        </w:rPr>
        <w:t>’</w:t>
      </w:r>
      <w:r>
        <w:rPr>
          <w:sz w:val="22"/>
        </w:rPr>
        <w:t xml:space="preserve">environnement. La mise en œuvre de la première phase du programme de </w:t>
      </w:r>
      <w:r w:rsidR="00156686">
        <w:rPr>
          <w:sz w:val="22"/>
        </w:rPr>
        <w:t>réformes</w:t>
      </w:r>
      <w:r>
        <w:rPr>
          <w:sz w:val="22"/>
        </w:rPr>
        <w:t xml:space="preserve"> a déjà permis des améliorations significatives du cadre réglementaire et institutionnel des questions relatives à l</w:t>
      </w:r>
      <w:r w:rsidR="000E2AB1">
        <w:rPr>
          <w:sz w:val="22"/>
        </w:rPr>
        <w:t>’</w:t>
      </w:r>
      <w:r>
        <w:rPr>
          <w:sz w:val="22"/>
        </w:rPr>
        <w:t>environnement dans le pays. L</w:t>
      </w:r>
      <w:r w:rsidR="000E2AB1">
        <w:rPr>
          <w:sz w:val="22"/>
        </w:rPr>
        <w:t>’</w:t>
      </w:r>
      <w:r>
        <w:rPr>
          <w:sz w:val="22"/>
        </w:rPr>
        <w:t>opération proposée vise à renforcer les effets positifs sur l</w:t>
      </w:r>
      <w:r w:rsidR="000E2AB1">
        <w:rPr>
          <w:sz w:val="22"/>
        </w:rPr>
        <w:t>’</w:t>
      </w:r>
      <w:r>
        <w:rPr>
          <w:sz w:val="22"/>
        </w:rPr>
        <w:t>environnement en facilitant la mise en place du système existant de suivi et de contrôle des questions environnementales qui permettra une supervision systématique de la mise en œuvre des recommandations de l</w:t>
      </w:r>
      <w:r w:rsidR="000E2AB1">
        <w:rPr>
          <w:sz w:val="22"/>
        </w:rPr>
        <w:t>’</w:t>
      </w:r>
      <w:r>
        <w:rPr>
          <w:sz w:val="22"/>
        </w:rPr>
        <w:t xml:space="preserve">EIE et contribuera à surveiller la conformité des installations (y compris, entre autres, dans le secteur des déchets </w:t>
      </w:r>
      <w:r w:rsidR="00FF3577">
        <w:rPr>
          <w:sz w:val="22"/>
        </w:rPr>
        <w:t>solides)</w:t>
      </w:r>
      <w:r>
        <w:rPr>
          <w:sz w:val="22"/>
        </w:rPr>
        <w:t xml:space="preserve"> avec les normes environnementales nationales.</w:t>
      </w:r>
    </w:p>
    <w:p w:rsidR="005054B2" w:rsidRDefault="005054B2" w:rsidP="005054B2">
      <w:pPr>
        <w:pStyle w:val="Default"/>
        <w:rPr>
          <w:sz w:val="22"/>
          <w:szCs w:val="22"/>
        </w:rPr>
      </w:pPr>
      <w:r>
        <w:rPr>
          <w:i/>
          <w:sz w:val="22"/>
        </w:rPr>
        <w:t xml:space="preserve"> </w:t>
      </w:r>
    </w:p>
    <w:p w:rsidR="005054B2" w:rsidRDefault="005054B2" w:rsidP="005054B2">
      <w:pPr>
        <w:pStyle w:val="Default"/>
        <w:rPr>
          <w:sz w:val="22"/>
          <w:szCs w:val="22"/>
        </w:rPr>
      </w:pPr>
    </w:p>
    <w:p w:rsidR="005054B2" w:rsidRDefault="005054B2" w:rsidP="005054B2">
      <w:pPr>
        <w:pStyle w:val="Default"/>
        <w:numPr>
          <w:ilvl w:val="0"/>
          <w:numId w:val="1"/>
        </w:numPr>
        <w:rPr>
          <w:b/>
          <w:bCs/>
          <w:sz w:val="23"/>
          <w:szCs w:val="23"/>
        </w:rPr>
      </w:pPr>
      <w:r>
        <w:rPr>
          <w:b/>
          <w:sz w:val="23"/>
        </w:rPr>
        <w:t xml:space="preserve">Financement provisoire </w:t>
      </w:r>
    </w:p>
    <w:p w:rsidR="005054B2" w:rsidRDefault="005054B2" w:rsidP="005054B2">
      <w:pPr>
        <w:pStyle w:val="Default"/>
        <w:rPr>
          <w:sz w:val="23"/>
          <w:szCs w:val="23"/>
        </w:rPr>
      </w:pPr>
    </w:p>
    <w:p w:rsidR="00C5725D" w:rsidRDefault="00C5725D" w:rsidP="005054B2">
      <w:pPr>
        <w:pStyle w:val="Default"/>
        <w:rPr>
          <w:sz w:val="23"/>
          <w:szCs w:val="23"/>
        </w:rPr>
      </w:pPr>
      <w:r>
        <w:rPr>
          <w:sz w:val="23"/>
        </w:rPr>
        <w:t>Source</w:t>
      </w:r>
      <w:r>
        <w:tab/>
      </w:r>
      <w:r>
        <w:tab/>
      </w:r>
      <w:r>
        <w:tab/>
      </w:r>
      <w:r>
        <w:tab/>
      </w:r>
      <w:r>
        <w:rPr>
          <w:sz w:val="23"/>
        </w:rPr>
        <w:t>BIRD</w:t>
      </w:r>
    </w:p>
    <w:p w:rsidR="00C5725D" w:rsidRDefault="00C5725D" w:rsidP="005054B2">
      <w:pPr>
        <w:pStyle w:val="Default"/>
        <w:rPr>
          <w:sz w:val="23"/>
          <w:szCs w:val="23"/>
        </w:rPr>
      </w:pPr>
      <w:r>
        <w:rPr>
          <w:sz w:val="23"/>
        </w:rPr>
        <w:t>Emprunteur</w:t>
      </w:r>
      <w:r>
        <w:tab/>
      </w:r>
      <w:r>
        <w:tab/>
      </w:r>
      <w:r>
        <w:tab/>
      </w:r>
      <w:r>
        <w:rPr>
          <w:sz w:val="23"/>
        </w:rPr>
        <w:t>Royaume du Maroc</w:t>
      </w:r>
    </w:p>
    <w:p w:rsidR="00C5725D" w:rsidRDefault="00C5725D" w:rsidP="005054B2">
      <w:pPr>
        <w:pStyle w:val="Default"/>
        <w:rPr>
          <w:sz w:val="23"/>
          <w:szCs w:val="23"/>
        </w:rPr>
      </w:pPr>
      <w:r>
        <w:rPr>
          <w:sz w:val="23"/>
        </w:rPr>
        <w:t>Montant</w:t>
      </w:r>
      <w:r>
        <w:tab/>
      </w:r>
      <w:r>
        <w:tab/>
      </w:r>
      <w:r>
        <w:tab/>
      </w:r>
      <w:r>
        <w:rPr>
          <w:sz w:val="23"/>
        </w:rPr>
        <w:t>100 millions d</w:t>
      </w:r>
      <w:r w:rsidR="000E2AB1">
        <w:rPr>
          <w:sz w:val="23"/>
        </w:rPr>
        <w:t>’</w:t>
      </w:r>
      <w:r>
        <w:rPr>
          <w:sz w:val="23"/>
        </w:rPr>
        <w:t>euros (soit 130 millions de dollars).</w:t>
      </w:r>
    </w:p>
    <w:p w:rsidR="00C5725D" w:rsidRDefault="00C5725D" w:rsidP="005054B2">
      <w:pPr>
        <w:pStyle w:val="Default"/>
        <w:rPr>
          <w:sz w:val="23"/>
          <w:szCs w:val="23"/>
        </w:rPr>
      </w:pPr>
    </w:p>
    <w:p w:rsidR="005054B2" w:rsidRDefault="005054B2" w:rsidP="005054B2">
      <w:pPr>
        <w:pStyle w:val="Default"/>
      </w:pPr>
    </w:p>
    <w:p w:rsidR="005054B2" w:rsidRDefault="005054B2" w:rsidP="005054B2">
      <w:pPr>
        <w:pStyle w:val="Default"/>
        <w:numPr>
          <w:ilvl w:val="0"/>
          <w:numId w:val="1"/>
        </w:numPr>
        <w:rPr>
          <w:b/>
          <w:bCs/>
          <w:sz w:val="23"/>
          <w:szCs w:val="23"/>
        </w:rPr>
      </w:pPr>
      <w:r>
        <w:rPr>
          <w:b/>
          <w:sz w:val="23"/>
        </w:rPr>
        <w:t>Personne à contacter</w:t>
      </w:r>
    </w:p>
    <w:p w:rsidR="005054B2" w:rsidRDefault="005054B2" w:rsidP="005054B2">
      <w:pPr>
        <w:pStyle w:val="Default"/>
        <w:rPr>
          <w:sz w:val="23"/>
          <w:szCs w:val="23"/>
        </w:rPr>
      </w:pPr>
      <w:r>
        <w:rPr>
          <w:b/>
          <w:sz w:val="23"/>
        </w:rPr>
        <w:t xml:space="preserve"> </w:t>
      </w:r>
    </w:p>
    <w:p w:rsidR="005054B2" w:rsidRDefault="005054B2" w:rsidP="005054B2">
      <w:pPr>
        <w:pStyle w:val="Default"/>
        <w:rPr>
          <w:sz w:val="23"/>
          <w:szCs w:val="23"/>
        </w:rPr>
      </w:pPr>
      <w:r>
        <w:rPr>
          <w:sz w:val="23"/>
        </w:rPr>
        <w:t>Personnes à contacter : Jaafar Sadok Friaa</w:t>
      </w:r>
    </w:p>
    <w:p w:rsidR="004A534B" w:rsidRDefault="005054B2" w:rsidP="005054B2">
      <w:pPr>
        <w:pStyle w:val="Default"/>
        <w:rPr>
          <w:sz w:val="23"/>
        </w:rPr>
      </w:pPr>
      <w:r>
        <w:rPr>
          <w:sz w:val="23"/>
        </w:rPr>
        <w:t xml:space="preserve">Fonction : Spécialiste principal </w:t>
      </w:r>
      <w:r w:rsidR="00875601">
        <w:rPr>
          <w:sz w:val="23"/>
        </w:rPr>
        <w:t>en développement urbain</w:t>
      </w:r>
    </w:p>
    <w:p w:rsidR="005054B2" w:rsidRDefault="005054B2" w:rsidP="005054B2">
      <w:pPr>
        <w:pStyle w:val="Default"/>
        <w:rPr>
          <w:sz w:val="23"/>
          <w:szCs w:val="23"/>
        </w:rPr>
      </w:pPr>
      <w:r>
        <w:rPr>
          <w:sz w:val="23"/>
        </w:rPr>
        <w:t>Tél : +1-202-473-7124</w:t>
      </w:r>
    </w:p>
    <w:p w:rsidR="005054B2" w:rsidRDefault="005054B2" w:rsidP="007F2519">
      <w:pPr>
        <w:pStyle w:val="Default"/>
        <w:rPr>
          <w:sz w:val="23"/>
          <w:szCs w:val="23"/>
        </w:rPr>
      </w:pPr>
      <w:r>
        <w:rPr>
          <w:sz w:val="23"/>
        </w:rPr>
        <w:t xml:space="preserve">Courriel : </w:t>
      </w:r>
      <w:hyperlink r:id="rId8">
        <w:r>
          <w:rPr>
            <w:rStyle w:val="Hyperlink"/>
            <w:sz w:val="23"/>
          </w:rPr>
          <w:t>jsfriaa@worldbank.org</w:t>
        </w:r>
      </w:hyperlink>
      <w:r w:rsidR="000E2AB1">
        <w:rPr>
          <w:sz w:val="23"/>
        </w:rPr>
        <w:t xml:space="preserve"> </w:t>
      </w:r>
    </w:p>
    <w:p w:rsidR="005054B2" w:rsidRDefault="005054B2" w:rsidP="005054B2">
      <w:pPr>
        <w:pStyle w:val="Default"/>
        <w:rPr>
          <w:sz w:val="23"/>
          <w:szCs w:val="23"/>
        </w:rPr>
      </w:pPr>
    </w:p>
    <w:p w:rsidR="005054B2" w:rsidRDefault="005054B2" w:rsidP="005054B2">
      <w:pPr>
        <w:pStyle w:val="Default"/>
        <w:rPr>
          <w:sz w:val="23"/>
          <w:szCs w:val="23"/>
        </w:rPr>
      </w:pPr>
    </w:p>
    <w:p w:rsidR="005054B2" w:rsidRDefault="005054B2" w:rsidP="005054B2">
      <w:pPr>
        <w:pStyle w:val="Default"/>
        <w:numPr>
          <w:ilvl w:val="0"/>
          <w:numId w:val="1"/>
        </w:numPr>
        <w:rPr>
          <w:b/>
          <w:bCs/>
          <w:sz w:val="23"/>
          <w:szCs w:val="23"/>
        </w:rPr>
      </w:pPr>
      <w:r>
        <w:rPr>
          <w:b/>
          <w:sz w:val="23"/>
        </w:rPr>
        <w:t xml:space="preserve">Pour de plus amples renseignements, contacter : </w:t>
      </w:r>
    </w:p>
    <w:p w:rsidR="005054B2" w:rsidRDefault="005054B2" w:rsidP="005054B2">
      <w:pPr>
        <w:pStyle w:val="Default"/>
        <w:rPr>
          <w:sz w:val="23"/>
          <w:szCs w:val="23"/>
        </w:rPr>
      </w:pPr>
      <w:r>
        <w:rPr>
          <w:sz w:val="23"/>
        </w:rPr>
        <w:t xml:space="preserve">The InfoShop </w:t>
      </w:r>
    </w:p>
    <w:p w:rsidR="005054B2" w:rsidRDefault="005054B2" w:rsidP="005054B2">
      <w:pPr>
        <w:pStyle w:val="Default"/>
        <w:rPr>
          <w:sz w:val="23"/>
          <w:szCs w:val="23"/>
        </w:rPr>
      </w:pPr>
      <w:r>
        <w:rPr>
          <w:sz w:val="23"/>
        </w:rPr>
        <w:t xml:space="preserve">La Banque mondiale </w:t>
      </w:r>
    </w:p>
    <w:p w:rsidR="005054B2" w:rsidRDefault="005054B2" w:rsidP="005054B2">
      <w:pPr>
        <w:pStyle w:val="Default"/>
        <w:rPr>
          <w:sz w:val="23"/>
          <w:szCs w:val="23"/>
        </w:rPr>
      </w:pPr>
      <w:r>
        <w:rPr>
          <w:sz w:val="23"/>
        </w:rPr>
        <w:t xml:space="preserve">1818 H Street, NW </w:t>
      </w:r>
    </w:p>
    <w:p w:rsidR="005054B2" w:rsidRDefault="005054B2" w:rsidP="005054B2">
      <w:pPr>
        <w:pStyle w:val="Default"/>
        <w:rPr>
          <w:sz w:val="23"/>
          <w:szCs w:val="23"/>
        </w:rPr>
      </w:pPr>
      <w:r>
        <w:rPr>
          <w:sz w:val="23"/>
        </w:rPr>
        <w:t xml:space="preserve">Washington, 20433 </w:t>
      </w:r>
    </w:p>
    <w:p w:rsidR="005054B2" w:rsidRDefault="005054B2" w:rsidP="005054B2">
      <w:pPr>
        <w:pStyle w:val="Default"/>
        <w:rPr>
          <w:sz w:val="23"/>
          <w:szCs w:val="23"/>
        </w:rPr>
      </w:pPr>
      <w:r>
        <w:rPr>
          <w:sz w:val="23"/>
        </w:rPr>
        <w:t xml:space="preserve">Téléphone : (202) 458-4500 </w:t>
      </w:r>
    </w:p>
    <w:p w:rsidR="005054B2" w:rsidRDefault="005054B2" w:rsidP="005054B2">
      <w:pPr>
        <w:pStyle w:val="Default"/>
        <w:rPr>
          <w:sz w:val="23"/>
          <w:szCs w:val="23"/>
        </w:rPr>
      </w:pPr>
      <w:r>
        <w:rPr>
          <w:sz w:val="23"/>
        </w:rPr>
        <w:t xml:space="preserve">Télécopie : (202) 522-1500 </w:t>
      </w:r>
    </w:p>
    <w:p w:rsidR="005054B2" w:rsidRDefault="005054B2" w:rsidP="005054B2">
      <w:r>
        <w:rPr>
          <w:sz w:val="23"/>
        </w:rPr>
        <w:t>Site Internet : http://www.worldbank.org/infoshop</w:t>
      </w:r>
    </w:p>
    <w:p w:rsidR="000E2AB1" w:rsidRDefault="000E2AB1"/>
    <w:sectPr w:rsidR="000E2AB1" w:rsidSect="00DC03C1">
      <w:footerReference w:type="default" r:id="rId9"/>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55" w:rsidRDefault="00805555" w:rsidP="00DC03C1">
      <w:r>
        <w:separator/>
      </w:r>
    </w:p>
  </w:endnote>
  <w:endnote w:type="continuationSeparator" w:id="0">
    <w:p w:rsidR="00805555" w:rsidRDefault="00805555" w:rsidP="00DC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48956"/>
      <w:docPartObj>
        <w:docPartGallery w:val="Page Numbers (Bottom of Page)"/>
        <w:docPartUnique/>
      </w:docPartObj>
    </w:sdtPr>
    <w:sdtEndPr/>
    <w:sdtContent>
      <w:p w:rsidR="00DC03C1" w:rsidRDefault="00A349D5">
        <w:pPr>
          <w:pStyle w:val="Footer"/>
          <w:jc w:val="right"/>
        </w:pPr>
        <w:r>
          <w:fldChar w:fldCharType="begin"/>
        </w:r>
        <w:r>
          <w:instrText xml:space="preserve"> PAGE   \* MERGEFORMAT </w:instrText>
        </w:r>
        <w:r>
          <w:fldChar w:fldCharType="separate"/>
        </w:r>
        <w:r w:rsidR="00BD45B9">
          <w:rPr>
            <w:noProof/>
          </w:rPr>
          <w:t>4</w:t>
        </w:r>
        <w:r>
          <w:rPr>
            <w:noProof/>
          </w:rPr>
          <w:fldChar w:fldCharType="end"/>
        </w:r>
      </w:p>
    </w:sdtContent>
  </w:sdt>
  <w:p w:rsidR="00DC03C1" w:rsidRDefault="00DC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55" w:rsidRDefault="00805555" w:rsidP="00DC03C1">
      <w:r>
        <w:separator/>
      </w:r>
    </w:p>
  </w:footnote>
  <w:footnote w:type="continuationSeparator" w:id="0">
    <w:p w:rsidR="00805555" w:rsidRDefault="00805555" w:rsidP="00DC0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B05"/>
    <w:multiLevelType w:val="hybridMultilevel"/>
    <w:tmpl w:val="787E1D98"/>
    <w:lvl w:ilvl="0" w:tplc="04090001">
      <w:start w:val="1"/>
      <w:numFmt w:val="bullet"/>
      <w:lvlText w:val=""/>
      <w:lvlJc w:val="left"/>
      <w:pPr>
        <w:ind w:left="1063" w:hanging="360"/>
      </w:pPr>
      <w:rPr>
        <w:rFonts w:ascii="Wingdings" w:hAnsi="Wingding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
    <w:nsid w:val="18A65EE9"/>
    <w:multiLevelType w:val="hybridMultilevel"/>
    <w:tmpl w:val="CF4C2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128"/>
    <w:multiLevelType w:val="hybridMultilevel"/>
    <w:tmpl w:val="ADF63EE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A3348"/>
    <w:multiLevelType w:val="hybridMultilevel"/>
    <w:tmpl w:val="CA5CE42C"/>
    <w:lvl w:ilvl="0" w:tplc="329865A2">
      <w:start w:val="1"/>
      <w:numFmt w:val="decimal"/>
      <w:lvlText w:val="%1."/>
      <w:lvlJc w:val="left"/>
      <w:pPr>
        <w:ind w:left="2340" w:hanging="720"/>
      </w:pPr>
      <w:rPr>
        <w:rFonts w:ascii="Times New Roman" w:hAnsi="Times New Roman" w:cs="Times New Roman" w:hint="default"/>
        <w:b w:val="0"/>
        <w:i w:val="0"/>
        <w:color w:val="auto"/>
        <w:sz w:val="24"/>
        <w:szCs w:val="24"/>
        <w:u w:val="none"/>
        <w:vertAlign w:val="baseline"/>
      </w:rPr>
    </w:lvl>
    <w:lvl w:ilvl="1" w:tplc="04090019">
      <w:start w:val="1"/>
      <w:numFmt w:val="lowerLetter"/>
      <w:lvlText w:val="%2."/>
      <w:lvlJc w:val="left"/>
      <w:pPr>
        <w:ind w:left="360" w:hanging="360"/>
      </w:pPr>
    </w:lvl>
    <w:lvl w:ilvl="2" w:tplc="F078F0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349DF"/>
    <w:multiLevelType w:val="hybridMultilevel"/>
    <w:tmpl w:val="7736DF88"/>
    <w:lvl w:ilvl="0" w:tplc="E22C3DA0">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4CDF58BF"/>
    <w:multiLevelType w:val="hybridMultilevel"/>
    <w:tmpl w:val="5ADABCEC"/>
    <w:lvl w:ilvl="0" w:tplc="1F58CE58">
      <w:start w:val="1"/>
      <w:numFmt w:val="decimal"/>
      <w:lvlText w:val="%1."/>
      <w:lvlJc w:val="left"/>
      <w:pPr>
        <w:ind w:left="540" w:hanging="360"/>
      </w:pPr>
      <w:rPr>
        <w:rFonts w:ascii="Times New Roman" w:eastAsia="Times New Roman" w:hAnsi="Times New Roman" w:cs="Times New Roman"/>
        <w:b w:val="0"/>
        <w:i w:val="0"/>
      </w:rPr>
    </w:lvl>
    <w:lvl w:ilvl="1" w:tplc="62CA3D6A" w:tentative="1">
      <w:start w:val="1"/>
      <w:numFmt w:val="lowerLetter"/>
      <w:lvlText w:val="%2."/>
      <w:lvlJc w:val="left"/>
      <w:pPr>
        <w:ind w:left="1260" w:hanging="360"/>
      </w:pPr>
    </w:lvl>
    <w:lvl w:ilvl="2" w:tplc="040C0005" w:tentative="1">
      <w:start w:val="1"/>
      <w:numFmt w:val="lowerRoman"/>
      <w:lvlText w:val="%3."/>
      <w:lvlJc w:val="right"/>
      <w:pPr>
        <w:ind w:left="1980" w:hanging="180"/>
      </w:pPr>
    </w:lvl>
    <w:lvl w:ilvl="3" w:tplc="040C0001" w:tentative="1">
      <w:start w:val="1"/>
      <w:numFmt w:val="decimal"/>
      <w:lvlText w:val="%4."/>
      <w:lvlJc w:val="left"/>
      <w:pPr>
        <w:ind w:left="2700" w:hanging="360"/>
      </w:pPr>
    </w:lvl>
    <w:lvl w:ilvl="4" w:tplc="040C0003" w:tentative="1">
      <w:start w:val="1"/>
      <w:numFmt w:val="lowerLetter"/>
      <w:lvlText w:val="%5."/>
      <w:lvlJc w:val="left"/>
      <w:pPr>
        <w:ind w:left="3420" w:hanging="360"/>
      </w:pPr>
    </w:lvl>
    <w:lvl w:ilvl="5" w:tplc="040C0005" w:tentative="1">
      <w:start w:val="1"/>
      <w:numFmt w:val="lowerRoman"/>
      <w:lvlText w:val="%6."/>
      <w:lvlJc w:val="right"/>
      <w:pPr>
        <w:ind w:left="4140" w:hanging="180"/>
      </w:pPr>
    </w:lvl>
    <w:lvl w:ilvl="6" w:tplc="040C0001" w:tentative="1">
      <w:start w:val="1"/>
      <w:numFmt w:val="decimal"/>
      <w:lvlText w:val="%7."/>
      <w:lvlJc w:val="left"/>
      <w:pPr>
        <w:ind w:left="4860" w:hanging="360"/>
      </w:pPr>
    </w:lvl>
    <w:lvl w:ilvl="7" w:tplc="040C0003" w:tentative="1">
      <w:start w:val="1"/>
      <w:numFmt w:val="lowerLetter"/>
      <w:lvlText w:val="%8."/>
      <w:lvlJc w:val="left"/>
      <w:pPr>
        <w:ind w:left="5580" w:hanging="360"/>
      </w:pPr>
    </w:lvl>
    <w:lvl w:ilvl="8" w:tplc="040C0005" w:tentative="1">
      <w:start w:val="1"/>
      <w:numFmt w:val="lowerRoman"/>
      <w:lvlText w:val="%9."/>
      <w:lvlJc w:val="right"/>
      <w:pPr>
        <w:ind w:left="6300" w:hanging="180"/>
      </w:pPr>
    </w:lvl>
  </w:abstractNum>
  <w:abstractNum w:abstractNumId="6">
    <w:nsid w:val="54C006FF"/>
    <w:multiLevelType w:val="hybridMultilevel"/>
    <w:tmpl w:val="4D84357A"/>
    <w:lvl w:ilvl="0" w:tplc="24761CB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56873EE2"/>
    <w:multiLevelType w:val="hybridMultilevel"/>
    <w:tmpl w:val="B838CA94"/>
    <w:lvl w:ilvl="0" w:tplc="41F6D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169A9"/>
    <w:multiLevelType w:val="hybridMultilevel"/>
    <w:tmpl w:val="BF2CB5BE"/>
    <w:lvl w:ilvl="0" w:tplc="A844DC70">
      <w:start w:val="1"/>
      <w:numFmt w:val="decimal"/>
      <w:pStyle w:val="Para1"/>
      <w:lvlText w:val="%1."/>
      <w:lvlJc w:val="left"/>
      <w:pPr>
        <w:tabs>
          <w:tab w:val="num" w:pos="576"/>
        </w:tabs>
        <w:ind w:left="360" w:hanging="360"/>
      </w:pPr>
      <w:rPr>
        <w:rFonts w:hint="default"/>
        <w:b w:val="0"/>
        <w:bCs/>
        <w:color w:val="00000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DD3618"/>
    <w:multiLevelType w:val="hybridMultilevel"/>
    <w:tmpl w:val="EDF44A48"/>
    <w:lvl w:ilvl="0" w:tplc="8992197C">
      <w:start w:val="1"/>
      <w:numFmt w:val="bullet"/>
      <w:lvlText w:val=""/>
      <w:lvlJc w:val="left"/>
      <w:pPr>
        <w:ind w:left="720" w:hanging="360"/>
      </w:pPr>
      <w:rPr>
        <w:rFonts w:ascii="Wingdings" w:hAnsi="Wing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42E32"/>
    <w:multiLevelType w:val="hybridMultilevel"/>
    <w:tmpl w:val="9AC4C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2507C"/>
    <w:multiLevelType w:val="hybridMultilevel"/>
    <w:tmpl w:val="DD1E51CA"/>
    <w:lvl w:ilvl="0" w:tplc="DC4C1056">
      <w:start w:val="1"/>
      <w:numFmt w:val="decimal"/>
      <w:pStyle w:val="NumberedParagraph"/>
      <w:lvlText w:val="%1."/>
      <w:lvlJc w:val="left"/>
      <w:pPr>
        <w:ind w:left="107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2"/>
  </w:num>
  <w:num w:numId="6">
    <w:abstractNumId w:val="0"/>
  </w:num>
  <w:num w:numId="7">
    <w:abstractNumId w:val="6"/>
  </w:num>
  <w:num w:numId="8">
    <w:abstractNumId w:val="3"/>
  </w:num>
  <w:num w:numId="9">
    <w:abstractNumId w:val="1"/>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B2"/>
    <w:rsid w:val="0000012D"/>
    <w:rsid w:val="00000C86"/>
    <w:rsid w:val="00000EB5"/>
    <w:rsid w:val="00001623"/>
    <w:rsid w:val="00001F98"/>
    <w:rsid w:val="00002333"/>
    <w:rsid w:val="000026A2"/>
    <w:rsid w:val="000032EF"/>
    <w:rsid w:val="00003A0B"/>
    <w:rsid w:val="000040B2"/>
    <w:rsid w:val="000047A7"/>
    <w:rsid w:val="0000678A"/>
    <w:rsid w:val="000068A4"/>
    <w:rsid w:val="00010AA1"/>
    <w:rsid w:val="000118D2"/>
    <w:rsid w:val="00011CA4"/>
    <w:rsid w:val="00012812"/>
    <w:rsid w:val="000134B1"/>
    <w:rsid w:val="00013D68"/>
    <w:rsid w:val="00015003"/>
    <w:rsid w:val="0001679C"/>
    <w:rsid w:val="00016B89"/>
    <w:rsid w:val="000210C2"/>
    <w:rsid w:val="0002182B"/>
    <w:rsid w:val="00022383"/>
    <w:rsid w:val="0002238C"/>
    <w:rsid w:val="000231B6"/>
    <w:rsid w:val="000237F5"/>
    <w:rsid w:val="0002507D"/>
    <w:rsid w:val="000251A4"/>
    <w:rsid w:val="00026AD6"/>
    <w:rsid w:val="00027A9D"/>
    <w:rsid w:val="000309C6"/>
    <w:rsid w:val="00032BE5"/>
    <w:rsid w:val="00033128"/>
    <w:rsid w:val="00033639"/>
    <w:rsid w:val="00033DEE"/>
    <w:rsid w:val="0003467B"/>
    <w:rsid w:val="00034B1B"/>
    <w:rsid w:val="0003607D"/>
    <w:rsid w:val="0003667C"/>
    <w:rsid w:val="00037A3C"/>
    <w:rsid w:val="0004064E"/>
    <w:rsid w:val="00040BBB"/>
    <w:rsid w:val="00043E55"/>
    <w:rsid w:val="00044046"/>
    <w:rsid w:val="00044F68"/>
    <w:rsid w:val="000452CD"/>
    <w:rsid w:val="00046272"/>
    <w:rsid w:val="00051A22"/>
    <w:rsid w:val="00052636"/>
    <w:rsid w:val="00052EEA"/>
    <w:rsid w:val="000557DB"/>
    <w:rsid w:val="0005629F"/>
    <w:rsid w:val="0005719B"/>
    <w:rsid w:val="00057AD6"/>
    <w:rsid w:val="00062F93"/>
    <w:rsid w:val="00063AFA"/>
    <w:rsid w:val="000641CC"/>
    <w:rsid w:val="00064C32"/>
    <w:rsid w:val="00064E97"/>
    <w:rsid w:val="00065300"/>
    <w:rsid w:val="000656D1"/>
    <w:rsid w:val="00065B7D"/>
    <w:rsid w:val="00066642"/>
    <w:rsid w:val="00066F76"/>
    <w:rsid w:val="000672AF"/>
    <w:rsid w:val="00071951"/>
    <w:rsid w:val="0007289C"/>
    <w:rsid w:val="0007296D"/>
    <w:rsid w:val="000729FF"/>
    <w:rsid w:val="00073738"/>
    <w:rsid w:val="00074088"/>
    <w:rsid w:val="00074611"/>
    <w:rsid w:val="00076C94"/>
    <w:rsid w:val="00077C63"/>
    <w:rsid w:val="000808E9"/>
    <w:rsid w:val="000836F3"/>
    <w:rsid w:val="000851AB"/>
    <w:rsid w:val="000877CC"/>
    <w:rsid w:val="00087BFB"/>
    <w:rsid w:val="00091AB3"/>
    <w:rsid w:val="00092A28"/>
    <w:rsid w:val="00093EBD"/>
    <w:rsid w:val="00094A0A"/>
    <w:rsid w:val="0009525F"/>
    <w:rsid w:val="000958B6"/>
    <w:rsid w:val="000965CB"/>
    <w:rsid w:val="00096A0F"/>
    <w:rsid w:val="000976A0"/>
    <w:rsid w:val="000A1AE8"/>
    <w:rsid w:val="000A607A"/>
    <w:rsid w:val="000A79BD"/>
    <w:rsid w:val="000B0638"/>
    <w:rsid w:val="000B0E8C"/>
    <w:rsid w:val="000B1238"/>
    <w:rsid w:val="000B23A2"/>
    <w:rsid w:val="000B25ED"/>
    <w:rsid w:val="000B4524"/>
    <w:rsid w:val="000B4840"/>
    <w:rsid w:val="000B4A39"/>
    <w:rsid w:val="000B634D"/>
    <w:rsid w:val="000C0203"/>
    <w:rsid w:val="000C0CC9"/>
    <w:rsid w:val="000C1FA2"/>
    <w:rsid w:val="000C20A9"/>
    <w:rsid w:val="000C20AD"/>
    <w:rsid w:val="000C28BD"/>
    <w:rsid w:val="000C2AAC"/>
    <w:rsid w:val="000C32CF"/>
    <w:rsid w:val="000C3665"/>
    <w:rsid w:val="000C6518"/>
    <w:rsid w:val="000C7828"/>
    <w:rsid w:val="000D062B"/>
    <w:rsid w:val="000D0780"/>
    <w:rsid w:val="000D169E"/>
    <w:rsid w:val="000D1D98"/>
    <w:rsid w:val="000D2F91"/>
    <w:rsid w:val="000D3427"/>
    <w:rsid w:val="000D39E5"/>
    <w:rsid w:val="000D418A"/>
    <w:rsid w:val="000D496D"/>
    <w:rsid w:val="000D50F0"/>
    <w:rsid w:val="000D5202"/>
    <w:rsid w:val="000D582D"/>
    <w:rsid w:val="000D58C3"/>
    <w:rsid w:val="000D7C2F"/>
    <w:rsid w:val="000D7E6C"/>
    <w:rsid w:val="000E020C"/>
    <w:rsid w:val="000E0412"/>
    <w:rsid w:val="000E09E0"/>
    <w:rsid w:val="000E2AB1"/>
    <w:rsid w:val="000E2FA5"/>
    <w:rsid w:val="000E3038"/>
    <w:rsid w:val="000E3607"/>
    <w:rsid w:val="000E3B2E"/>
    <w:rsid w:val="000E3C4E"/>
    <w:rsid w:val="000E4234"/>
    <w:rsid w:val="000E45D9"/>
    <w:rsid w:val="000E60C0"/>
    <w:rsid w:val="000E60FC"/>
    <w:rsid w:val="000E77B7"/>
    <w:rsid w:val="000F0D65"/>
    <w:rsid w:val="000F2941"/>
    <w:rsid w:val="000F2A14"/>
    <w:rsid w:val="000F2D67"/>
    <w:rsid w:val="000F32F7"/>
    <w:rsid w:val="000F3929"/>
    <w:rsid w:val="000F4BC5"/>
    <w:rsid w:val="000F51FD"/>
    <w:rsid w:val="000F56E4"/>
    <w:rsid w:val="000F5F97"/>
    <w:rsid w:val="000F7913"/>
    <w:rsid w:val="001010C5"/>
    <w:rsid w:val="0010112A"/>
    <w:rsid w:val="001011DB"/>
    <w:rsid w:val="001017E2"/>
    <w:rsid w:val="00102371"/>
    <w:rsid w:val="001023AB"/>
    <w:rsid w:val="0010243E"/>
    <w:rsid w:val="0010484E"/>
    <w:rsid w:val="00104971"/>
    <w:rsid w:val="00105AC5"/>
    <w:rsid w:val="0010612B"/>
    <w:rsid w:val="001061EA"/>
    <w:rsid w:val="0010677C"/>
    <w:rsid w:val="00107398"/>
    <w:rsid w:val="001100CB"/>
    <w:rsid w:val="001114B5"/>
    <w:rsid w:val="001124E5"/>
    <w:rsid w:val="001147D1"/>
    <w:rsid w:val="0011485B"/>
    <w:rsid w:val="00114AB6"/>
    <w:rsid w:val="00115301"/>
    <w:rsid w:val="0011581A"/>
    <w:rsid w:val="00115DA2"/>
    <w:rsid w:val="00117430"/>
    <w:rsid w:val="00117A91"/>
    <w:rsid w:val="00120FC4"/>
    <w:rsid w:val="00120FE2"/>
    <w:rsid w:val="00121B53"/>
    <w:rsid w:val="0012269F"/>
    <w:rsid w:val="00122753"/>
    <w:rsid w:val="00123726"/>
    <w:rsid w:val="0012399C"/>
    <w:rsid w:val="0012407D"/>
    <w:rsid w:val="00124BBC"/>
    <w:rsid w:val="001254B9"/>
    <w:rsid w:val="00126248"/>
    <w:rsid w:val="001266E0"/>
    <w:rsid w:val="00126AAF"/>
    <w:rsid w:val="001312E1"/>
    <w:rsid w:val="001313B6"/>
    <w:rsid w:val="0013323C"/>
    <w:rsid w:val="0013492D"/>
    <w:rsid w:val="0013657F"/>
    <w:rsid w:val="0013673A"/>
    <w:rsid w:val="00136FA5"/>
    <w:rsid w:val="00140AE7"/>
    <w:rsid w:val="0014126E"/>
    <w:rsid w:val="001418E0"/>
    <w:rsid w:val="00142AD4"/>
    <w:rsid w:val="00143B1C"/>
    <w:rsid w:val="00144490"/>
    <w:rsid w:val="001448E4"/>
    <w:rsid w:val="00144C90"/>
    <w:rsid w:val="00146EA2"/>
    <w:rsid w:val="0014710C"/>
    <w:rsid w:val="00147D76"/>
    <w:rsid w:val="0015058F"/>
    <w:rsid w:val="00150AC5"/>
    <w:rsid w:val="00150CD9"/>
    <w:rsid w:val="00152BCC"/>
    <w:rsid w:val="001531B3"/>
    <w:rsid w:val="00153D31"/>
    <w:rsid w:val="001562DD"/>
    <w:rsid w:val="00156686"/>
    <w:rsid w:val="00156AD0"/>
    <w:rsid w:val="00156C99"/>
    <w:rsid w:val="00156DF7"/>
    <w:rsid w:val="00160BDB"/>
    <w:rsid w:val="00161B82"/>
    <w:rsid w:val="00161CCA"/>
    <w:rsid w:val="00162DBE"/>
    <w:rsid w:val="00162F10"/>
    <w:rsid w:val="001632C4"/>
    <w:rsid w:val="001642F0"/>
    <w:rsid w:val="00164F8D"/>
    <w:rsid w:val="00165EEF"/>
    <w:rsid w:val="00166ED0"/>
    <w:rsid w:val="00167ACA"/>
    <w:rsid w:val="00170198"/>
    <w:rsid w:val="00171D83"/>
    <w:rsid w:val="00173C8C"/>
    <w:rsid w:val="00173D34"/>
    <w:rsid w:val="00174CFF"/>
    <w:rsid w:val="00176768"/>
    <w:rsid w:val="0017756A"/>
    <w:rsid w:val="00177DD7"/>
    <w:rsid w:val="0018057A"/>
    <w:rsid w:val="001814B9"/>
    <w:rsid w:val="00181A80"/>
    <w:rsid w:val="0018345D"/>
    <w:rsid w:val="0018351D"/>
    <w:rsid w:val="00183655"/>
    <w:rsid w:val="00184488"/>
    <w:rsid w:val="001849D5"/>
    <w:rsid w:val="001855F8"/>
    <w:rsid w:val="001857F1"/>
    <w:rsid w:val="00185CB4"/>
    <w:rsid w:val="00186344"/>
    <w:rsid w:val="0018636D"/>
    <w:rsid w:val="00186377"/>
    <w:rsid w:val="001870C3"/>
    <w:rsid w:val="00187865"/>
    <w:rsid w:val="00191009"/>
    <w:rsid w:val="001915EB"/>
    <w:rsid w:val="001935BA"/>
    <w:rsid w:val="00193780"/>
    <w:rsid w:val="0019399B"/>
    <w:rsid w:val="00193B14"/>
    <w:rsid w:val="00193D85"/>
    <w:rsid w:val="001950D5"/>
    <w:rsid w:val="0019513F"/>
    <w:rsid w:val="001959DB"/>
    <w:rsid w:val="0019720C"/>
    <w:rsid w:val="00197D2B"/>
    <w:rsid w:val="001A0F3B"/>
    <w:rsid w:val="001A3351"/>
    <w:rsid w:val="001A34E5"/>
    <w:rsid w:val="001A4858"/>
    <w:rsid w:val="001A589D"/>
    <w:rsid w:val="001A5C3B"/>
    <w:rsid w:val="001A6EED"/>
    <w:rsid w:val="001A721E"/>
    <w:rsid w:val="001B1FA7"/>
    <w:rsid w:val="001B23A4"/>
    <w:rsid w:val="001B24E1"/>
    <w:rsid w:val="001B25DF"/>
    <w:rsid w:val="001B2B84"/>
    <w:rsid w:val="001B3715"/>
    <w:rsid w:val="001B4586"/>
    <w:rsid w:val="001B4A2D"/>
    <w:rsid w:val="001B4AAA"/>
    <w:rsid w:val="001B4F3E"/>
    <w:rsid w:val="001B6145"/>
    <w:rsid w:val="001B6616"/>
    <w:rsid w:val="001B7862"/>
    <w:rsid w:val="001B7902"/>
    <w:rsid w:val="001C10D4"/>
    <w:rsid w:val="001C1383"/>
    <w:rsid w:val="001C20AD"/>
    <w:rsid w:val="001C2B65"/>
    <w:rsid w:val="001C4758"/>
    <w:rsid w:val="001C4911"/>
    <w:rsid w:val="001C4BAB"/>
    <w:rsid w:val="001C5BC7"/>
    <w:rsid w:val="001C6FC8"/>
    <w:rsid w:val="001C70CD"/>
    <w:rsid w:val="001C7207"/>
    <w:rsid w:val="001C7F83"/>
    <w:rsid w:val="001D04FC"/>
    <w:rsid w:val="001D0C43"/>
    <w:rsid w:val="001D1938"/>
    <w:rsid w:val="001D212E"/>
    <w:rsid w:val="001D371D"/>
    <w:rsid w:val="001D3A87"/>
    <w:rsid w:val="001D47D0"/>
    <w:rsid w:val="001D51D5"/>
    <w:rsid w:val="001D5C74"/>
    <w:rsid w:val="001D65B0"/>
    <w:rsid w:val="001D7303"/>
    <w:rsid w:val="001D790E"/>
    <w:rsid w:val="001E0CB3"/>
    <w:rsid w:val="001E127B"/>
    <w:rsid w:val="001E130D"/>
    <w:rsid w:val="001E1DE5"/>
    <w:rsid w:val="001E1E68"/>
    <w:rsid w:val="001E2470"/>
    <w:rsid w:val="001E3131"/>
    <w:rsid w:val="001E3597"/>
    <w:rsid w:val="001E3B49"/>
    <w:rsid w:val="001E3B9C"/>
    <w:rsid w:val="001E41FC"/>
    <w:rsid w:val="001E44FB"/>
    <w:rsid w:val="001E4661"/>
    <w:rsid w:val="001E645F"/>
    <w:rsid w:val="001E6CB3"/>
    <w:rsid w:val="001E7095"/>
    <w:rsid w:val="001E7281"/>
    <w:rsid w:val="001E76C5"/>
    <w:rsid w:val="001F16F3"/>
    <w:rsid w:val="001F174F"/>
    <w:rsid w:val="001F315C"/>
    <w:rsid w:val="001F379F"/>
    <w:rsid w:val="001F47B5"/>
    <w:rsid w:val="001F545C"/>
    <w:rsid w:val="001F5B43"/>
    <w:rsid w:val="001F5FE9"/>
    <w:rsid w:val="001F6196"/>
    <w:rsid w:val="001F6385"/>
    <w:rsid w:val="001F6A23"/>
    <w:rsid w:val="001F6C56"/>
    <w:rsid w:val="001F6F37"/>
    <w:rsid w:val="001F73D5"/>
    <w:rsid w:val="002000C3"/>
    <w:rsid w:val="00200330"/>
    <w:rsid w:val="002055DC"/>
    <w:rsid w:val="00205E7D"/>
    <w:rsid w:val="002075CF"/>
    <w:rsid w:val="00207681"/>
    <w:rsid w:val="00211550"/>
    <w:rsid w:val="002129B0"/>
    <w:rsid w:val="00213432"/>
    <w:rsid w:val="002134B1"/>
    <w:rsid w:val="0021381E"/>
    <w:rsid w:val="0021438E"/>
    <w:rsid w:val="00214784"/>
    <w:rsid w:val="00215B5E"/>
    <w:rsid w:val="00221261"/>
    <w:rsid w:val="00221468"/>
    <w:rsid w:val="0022175E"/>
    <w:rsid w:val="00222D7F"/>
    <w:rsid w:val="00223220"/>
    <w:rsid w:val="0022351B"/>
    <w:rsid w:val="00223644"/>
    <w:rsid w:val="00223BD6"/>
    <w:rsid w:val="00223E4F"/>
    <w:rsid w:val="00224D68"/>
    <w:rsid w:val="00224EDC"/>
    <w:rsid w:val="00225037"/>
    <w:rsid w:val="00225434"/>
    <w:rsid w:val="002257FB"/>
    <w:rsid w:val="00226B10"/>
    <w:rsid w:val="0022729F"/>
    <w:rsid w:val="00230848"/>
    <w:rsid w:val="00230AE6"/>
    <w:rsid w:val="0023198C"/>
    <w:rsid w:val="00232B2A"/>
    <w:rsid w:val="00232BD5"/>
    <w:rsid w:val="00232C70"/>
    <w:rsid w:val="002332FC"/>
    <w:rsid w:val="00234413"/>
    <w:rsid w:val="00235AF1"/>
    <w:rsid w:val="002361EA"/>
    <w:rsid w:val="00236989"/>
    <w:rsid w:val="002409DD"/>
    <w:rsid w:val="00241455"/>
    <w:rsid w:val="00241FA8"/>
    <w:rsid w:val="002433B4"/>
    <w:rsid w:val="00243D8F"/>
    <w:rsid w:val="00244940"/>
    <w:rsid w:val="00244988"/>
    <w:rsid w:val="00244FAC"/>
    <w:rsid w:val="0024595B"/>
    <w:rsid w:val="0024751C"/>
    <w:rsid w:val="00247643"/>
    <w:rsid w:val="0025024B"/>
    <w:rsid w:val="00250A44"/>
    <w:rsid w:val="00251127"/>
    <w:rsid w:val="00252849"/>
    <w:rsid w:val="00253DDD"/>
    <w:rsid w:val="00254D29"/>
    <w:rsid w:val="0025697E"/>
    <w:rsid w:val="00256F3E"/>
    <w:rsid w:val="00256FFB"/>
    <w:rsid w:val="00257B5F"/>
    <w:rsid w:val="00257D5F"/>
    <w:rsid w:val="002607E2"/>
    <w:rsid w:val="002618F9"/>
    <w:rsid w:val="00261D76"/>
    <w:rsid w:val="00262AD7"/>
    <w:rsid w:val="00262DE6"/>
    <w:rsid w:val="00263C04"/>
    <w:rsid w:val="002644B2"/>
    <w:rsid w:val="00265164"/>
    <w:rsid w:val="00265537"/>
    <w:rsid w:val="002659EF"/>
    <w:rsid w:val="00265CF5"/>
    <w:rsid w:val="002660F8"/>
    <w:rsid w:val="0026612D"/>
    <w:rsid w:val="002717AA"/>
    <w:rsid w:val="00271DF8"/>
    <w:rsid w:val="00273090"/>
    <w:rsid w:val="0027318E"/>
    <w:rsid w:val="00273C59"/>
    <w:rsid w:val="00274536"/>
    <w:rsid w:val="00274698"/>
    <w:rsid w:val="00274846"/>
    <w:rsid w:val="002754D1"/>
    <w:rsid w:val="00277C2C"/>
    <w:rsid w:val="00280A8E"/>
    <w:rsid w:val="002829C2"/>
    <w:rsid w:val="00283BDF"/>
    <w:rsid w:val="00283EB1"/>
    <w:rsid w:val="00285191"/>
    <w:rsid w:val="002851F7"/>
    <w:rsid w:val="00285365"/>
    <w:rsid w:val="002857B1"/>
    <w:rsid w:val="00286BA4"/>
    <w:rsid w:val="00286CD2"/>
    <w:rsid w:val="0028736D"/>
    <w:rsid w:val="00287952"/>
    <w:rsid w:val="00291385"/>
    <w:rsid w:val="00292243"/>
    <w:rsid w:val="0029472B"/>
    <w:rsid w:val="002971B1"/>
    <w:rsid w:val="0029726D"/>
    <w:rsid w:val="002A0C0E"/>
    <w:rsid w:val="002A1D3C"/>
    <w:rsid w:val="002A1D7F"/>
    <w:rsid w:val="002A2564"/>
    <w:rsid w:val="002A366F"/>
    <w:rsid w:val="002A4046"/>
    <w:rsid w:val="002A4460"/>
    <w:rsid w:val="002A453B"/>
    <w:rsid w:val="002A462F"/>
    <w:rsid w:val="002A4E6C"/>
    <w:rsid w:val="002A7AC0"/>
    <w:rsid w:val="002B2509"/>
    <w:rsid w:val="002B31A8"/>
    <w:rsid w:val="002B339E"/>
    <w:rsid w:val="002B35A4"/>
    <w:rsid w:val="002B3A92"/>
    <w:rsid w:val="002B417C"/>
    <w:rsid w:val="002B43F1"/>
    <w:rsid w:val="002B4BB1"/>
    <w:rsid w:val="002B530C"/>
    <w:rsid w:val="002B6B47"/>
    <w:rsid w:val="002B7679"/>
    <w:rsid w:val="002C092C"/>
    <w:rsid w:val="002C0F7F"/>
    <w:rsid w:val="002C1489"/>
    <w:rsid w:val="002C20BB"/>
    <w:rsid w:val="002C3635"/>
    <w:rsid w:val="002C60E0"/>
    <w:rsid w:val="002C7E37"/>
    <w:rsid w:val="002D0847"/>
    <w:rsid w:val="002D1A0E"/>
    <w:rsid w:val="002D1F08"/>
    <w:rsid w:val="002D2AF2"/>
    <w:rsid w:val="002D30D8"/>
    <w:rsid w:val="002D37BA"/>
    <w:rsid w:val="002D49EA"/>
    <w:rsid w:val="002D4A53"/>
    <w:rsid w:val="002D4FAD"/>
    <w:rsid w:val="002D5061"/>
    <w:rsid w:val="002D6581"/>
    <w:rsid w:val="002D66D0"/>
    <w:rsid w:val="002D73B8"/>
    <w:rsid w:val="002D7AF6"/>
    <w:rsid w:val="002D7D90"/>
    <w:rsid w:val="002E0C6F"/>
    <w:rsid w:val="002E14F4"/>
    <w:rsid w:val="002E23E6"/>
    <w:rsid w:val="002E2577"/>
    <w:rsid w:val="002E293B"/>
    <w:rsid w:val="002E2DD8"/>
    <w:rsid w:val="002E338C"/>
    <w:rsid w:val="002E33E5"/>
    <w:rsid w:val="002E42AF"/>
    <w:rsid w:val="002E44A2"/>
    <w:rsid w:val="002E454F"/>
    <w:rsid w:val="002E4D16"/>
    <w:rsid w:val="002E5042"/>
    <w:rsid w:val="002E5854"/>
    <w:rsid w:val="002E64FE"/>
    <w:rsid w:val="002E6728"/>
    <w:rsid w:val="002E7147"/>
    <w:rsid w:val="002E7CDF"/>
    <w:rsid w:val="002F02A5"/>
    <w:rsid w:val="002F08AE"/>
    <w:rsid w:val="002F0DDF"/>
    <w:rsid w:val="002F0EE0"/>
    <w:rsid w:val="002F1C8A"/>
    <w:rsid w:val="002F3153"/>
    <w:rsid w:val="002F6498"/>
    <w:rsid w:val="002F7B2C"/>
    <w:rsid w:val="002F7E29"/>
    <w:rsid w:val="002F7FF9"/>
    <w:rsid w:val="00300D68"/>
    <w:rsid w:val="003016C8"/>
    <w:rsid w:val="00301819"/>
    <w:rsid w:val="00301CC9"/>
    <w:rsid w:val="00302017"/>
    <w:rsid w:val="003020B5"/>
    <w:rsid w:val="0030250A"/>
    <w:rsid w:val="00302BD7"/>
    <w:rsid w:val="00303901"/>
    <w:rsid w:val="00305429"/>
    <w:rsid w:val="00306149"/>
    <w:rsid w:val="00306456"/>
    <w:rsid w:val="00307C4D"/>
    <w:rsid w:val="00312FFB"/>
    <w:rsid w:val="0031373B"/>
    <w:rsid w:val="003138CF"/>
    <w:rsid w:val="00313B38"/>
    <w:rsid w:val="003146D5"/>
    <w:rsid w:val="00314A4E"/>
    <w:rsid w:val="00315227"/>
    <w:rsid w:val="0031559A"/>
    <w:rsid w:val="003159E2"/>
    <w:rsid w:val="00315C50"/>
    <w:rsid w:val="00316778"/>
    <w:rsid w:val="003213AC"/>
    <w:rsid w:val="003238BE"/>
    <w:rsid w:val="00324AEA"/>
    <w:rsid w:val="00325000"/>
    <w:rsid w:val="00325CA4"/>
    <w:rsid w:val="00326579"/>
    <w:rsid w:val="0032706A"/>
    <w:rsid w:val="00331642"/>
    <w:rsid w:val="00331683"/>
    <w:rsid w:val="003318DB"/>
    <w:rsid w:val="0033195F"/>
    <w:rsid w:val="00331CEE"/>
    <w:rsid w:val="003325A3"/>
    <w:rsid w:val="003343EF"/>
    <w:rsid w:val="003351D1"/>
    <w:rsid w:val="00335782"/>
    <w:rsid w:val="00335819"/>
    <w:rsid w:val="00335F39"/>
    <w:rsid w:val="00335F82"/>
    <w:rsid w:val="00336D3C"/>
    <w:rsid w:val="0033748E"/>
    <w:rsid w:val="00337CDC"/>
    <w:rsid w:val="00337EDD"/>
    <w:rsid w:val="00341A6F"/>
    <w:rsid w:val="00342BCA"/>
    <w:rsid w:val="00342E6A"/>
    <w:rsid w:val="003430AA"/>
    <w:rsid w:val="003435B6"/>
    <w:rsid w:val="00343B2D"/>
    <w:rsid w:val="00345328"/>
    <w:rsid w:val="0034590A"/>
    <w:rsid w:val="00345931"/>
    <w:rsid w:val="00346F5F"/>
    <w:rsid w:val="00350004"/>
    <w:rsid w:val="00351B68"/>
    <w:rsid w:val="00352316"/>
    <w:rsid w:val="00353601"/>
    <w:rsid w:val="0035421E"/>
    <w:rsid w:val="00354947"/>
    <w:rsid w:val="00354F34"/>
    <w:rsid w:val="00355469"/>
    <w:rsid w:val="00355EDE"/>
    <w:rsid w:val="0035606E"/>
    <w:rsid w:val="003564C8"/>
    <w:rsid w:val="003568AA"/>
    <w:rsid w:val="003569C0"/>
    <w:rsid w:val="00356F5F"/>
    <w:rsid w:val="003602FD"/>
    <w:rsid w:val="00362A34"/>
    <w:rsid w:val="0036303B"/>
    <w:rsid w:val="00363D95"/>
    <w:rsid w:val="00364176"/>
    <w:rsid w:val="003644E6"/>
    <w:rsid w:val="00366043"/>
    <w:rsid w:val="00366826"/>
    <w:rsid w:val="00366E52"/>
    <w:rsid w:val="00367167"/>
    <w:rsid w:val="00367813"/>
    <w:rsid w:val="00367E1E"/>
    <w:rsid w:val="00370282"/>
    <w:rsid w:val="00370BCB"/>
    <w:rsid w:val="0037141C"/>
    <w:rsid w:val="0037234A"/>
    <w:rsid w:val="0037309A"/>
    <w:rsid w:val="003742D6"/>
    <w:rsid w:val="00374757"/>
    <w:rsid w:val="0037592D"/>
    <w:rsid w:val="0037760B"/>
    <w:rsid w:val="00377F51"/>
    <w:rsid w:val="00380023"/>
    <w:rsid w:val="00380607"/>
    <w:rsid w:val="00382153"/>
    <w:rsid w:val="00382878"/>
    <w:rsid w:val="003832C0"/>
    <w:rsid w:val="00383A2F"/>
    <w:rsid w:val="00385B20"/>
    <w:rsid w:val="0038736D"/>
    <w:rsid w:val="00387C47"/>
    <w:rsid w:val="00390B55"/>
    <w:rsid w:val="00392F62"/>
    <w:rsid w:val="00392FB3"/>
    <w:rsid w:val="003932A2"/>
    <w:rsid w:val="003941D5"/>
    <w:rsid w:val="00395886"/>
    <w:rsid w:val="00395FBB"/>
    <w:rsid w:val="0039633F"/>
    <w:rsid w:val="00396957"/>
    <w:rsid w:val="003974CA"/>
    <w:rsid w:val="003A0614"/>
    <w:rsid w:val="003A0996"/>
    <w:rsid w:val="003A5F61"/>
    <w:rsid w:val="003A65D9"/>
    <w:rsid w:val="003A6CF2"/>
    <w:rsid w:val="003B0494"/>
    <w:rsid w:val="003B062B"/>
    <w:rsid w:val="003B1004"/>
    <w:rsid w:val="003B145C"/>
    <w:rsid w:val="003B203F"/>
    <w:rsid w:val="003B21DB"/>
    <w:rsid w:val="003B3222"/>
    <w:rsid w:val="003B3392"/>
    <w:rsid w:val="003B3E5D"/>
    <w:rsid w:val="003B3F85"/>
    <w:rsid w:val="003B4531"/>
    <w:rsid w:val="003B48DB"/>
    <w:rsid w:val="003B4B93"/>
    <w:rsid w:val="003B6DBF"/>
    <w:rsid w:val="003B7203"/>
    <w:rsid w:val="003B770D"/>
    <w:rsid w:val="003C0B4E"/>
    <w:rsid w:val="003C15FD"/>
    <w:rsid w:val="003C198F"/>
    <w:rsid w:val="003C1AC7"/>
    <w:rsid w:val="003C2E8F"/>
    <w:rsid w:val="003C39B8"/>
    <w:rsid w:val="003C429E"/>
    <w:rsid w:val="003C4337"/>
    <w:rsid w:val="003C6152"/>
    <w:rsid w:val="003C61AC"/>
    <w:rsid w:val="003C6581"/>
    <w:rsid w:val="003C7102"/>
    <w:rsid w:val="003C7CD7"/>
    <w:rsid w:val="003D059F"/>
    <w:rsid w:val="003D15FE"/>
    <w:rsid w:val="003D1B8A"/>
    <w:rsid w:val="003D282F"/>
    <w:rsid w:val="003D2FB3"/>
    <w:rsid w:val="003D3325"/>
    <w:rsid w:val="003D3E18"/>
    <w:rsid w:val="003D4FDB"/>
    <w:rsid w:val="003D53C4"/>
    <w:rsid w:val="003D54A8"/>
    <w:rsid w:val="003D59DA"/>
    <w:rsid w:val="003D5DF1"/>
    <w:rsid w:val="003D6BDB"/>
    <w:rsid w:val="003E04A1"/>
    <w:rsid w:val="003E0817"/>
    <w:rsid w:val="003E09FE"/>
    <w:rsid w:val="003E1799"/>
    <w:rsid w:val="003E2286"/>
    <w:rsid w:val="003E3B83"/>
    <w:rsid w:val="003E47B1"/>
    <w:rsid w:val="003E6A8C"/>
    <w:rsid w:val="003E6C6B"/>
    <w:rsid w:val="003E7285"/>
    <w:rsid w:val="003E7A41"/>
    <w:rsid w:val="003E7B58"/>
    <w:rsid w:val="003E7D0B"/>
    <w:rsid w:val="003F0908"/>
    <w:rsid w:val="003F2A4B"/>
    <w:rsid w:val="003F3812"/>
    <w:rsid w:val="003F5B48"/>
    <w:rsid w:val="003F60C3"/>
    <w:rsid w:val="003F64A3"/>
    <w:rsid w:val="003F7139"/>
    <w:rsid w:val="003F7848"/>
    <w:rsid w:val="003F7988"/>
    <w:rsid w:val="00400498"/>
    <w:rsid w:val="00400C2A"/>
    <w:rsid w:val="00401345"/>
    <w:rsid w:val="0040139F"/>
    <w:rsid w:val="00401438"/>
    <w:rsid w:val="004016C2"/>
    <w:rsid w:val="004018B6"/>
    <w:rsid w:val="0040198B"/>
    <w:rsid w:val="00401A11"/>
    <w:rsid w:val="00401CEF"/>
    <w:rsid w:val="00402481"/>
    <w:rsid w:val="00403CB1"/>
    <w:rsid w:val="00405166"/>
    <w:rsid w:val="00406156"/>
    <w:rsid w:val="00406783"/>
    <w:rsid w:val="0041063D"/>
    <w:rsid w:val="0041066B"/>
    <w:rsid w:val="00410DC5"/>
    <w:rsid w:val="004135E9"/>
    <w:rsid w:val="00413B2D"/>
    <w:rsid w:val="00414EB4"/>
    <w:rsid w:val="00415069"/>
    <w:rsid w:val="00415312"/>
    <w:rsid w:val="00415D49"/>
    <w:rsid w:val="004160AC"/>
    <w:rsid w:val="004164A5"/>
    <w:rsid w:val="00416E36"/>
    <w:rsid w:val="00416FDF"/>
    <w:rsid w:val="00417195"/>
    <w:rsid w:val="00417D60"/>
    <w:rsid w:val="00417F25"/>
    <w:rsid w:val="0042069F"/>
    <w:rsid w:val="0042251C"/>
    <w:rsid w:val="00423441"/>
    <w:rsid w:val="00423616"/>
    <w:rsid w:val="00423DCD"/>
    <w:rsid w:val="00424B20"/>
    <w:rsid w:val="00424C4D"/>
    <w:rsid w:val="00424EB2"/>
    <w:rsid w:val="00425172"/>
    <w:rsid w:val="0042560D"/>
    <w:rsid w:val="004257A5"/>
    <w:rsid w:val="004276EE"/>
    <w:rsid w:val="004300CA"/>
    <w:rsid w:val="0043155C"/>
    <w:rsid w:val="00432EE5"/>
    <w:rsid w:val="00432F42"/>
    <w:rsid w:val="004333E7"/>
    <w:rsid w:val="004337FE"/>
    <w:rsid w:val="00434BC5"/>
    <w:rsid w:val="00435437"/>
    <w:rsid w:val="004354EA"/>
    <w:rsid w:val="00435672"/>
    <w:rsid w:val="004357A3"/>
    <w:rsid w:val="0043659A"/>
    <w:rsid w:val="00436F01"/>
    <w:rsid w:val="00437159"/>
    <w:rsid w:val="00437351"/>
    <w:rsid w:val="00437D33"/>
    <w:rsid w:val="0044075E"/>
    <w:rsid w:val="004410BA"/>
    <w:rsid w:val="00441620"/>
    <w:rsid w:val="004439C9"/>
    <w:rsid w:val="00444848"/>
    <w:rsid w:val="004449F9"/>
    <w:rsid w:val="004474D5"/>
    <w:rsid w:val="004476CB"/>
    <w:rsid w:val="004500BE"/>
    <w:rsid w:val="00451402"/>
    <w:rsid w:val="00453057"/>
    <w:rsid w:val="004535E4"/>
    <w:rsid w:val="00453F43"/>
    <w:rsid w:val="004551D4"/>
    <w:rsid w:val="004573B1"/>
    <w:rsid w:val="004575B0"/>
    <w:rsid w:val="00457F20"/>
    <w:rsid w:val="00460127"/>
    <w:rsid w:val="00460C40"/>
    <w:rsid w:val="00461475"/>
    <w:rsid w:val="00462C4F"/>
    <w:rsid w:val="00463C48"/>
    <w:rsid w:val="0046402D"/>
    <w:rsid w:val="00465C3F"/>
    <w:rsid w:val="004664A2"/>
    <w:rsid w:val="00466643"/>
    <w:rsid w:val="00466C98"/>
    <w:rsid w:val="0046737A"/>
    <w:rsid w:val="004678E0"/>
    <w:rsid w:val="004678E1"/>
    <w:rsid w:val="00467D49"/>
    <w:rsid w:val="00471326"/>
    <w:rsid w:val="00471593"/>
    <w:rsid w:val="00471AB3"/>
    <w:rsid w:val="00471F5C"/>
    <w:rsid w:val="004722C1"/>
    <w:rsid w:val="004730CA"/>
    <w:rsid w:val="00473158"/>
    <w:rsid w:val="00473496"/>
    <w:rsid w:val="00473564"/>
    <w:rsid w:val="00475B0F"/>
    <w:rsid w:val="0047655D"/>
    <w:rsid w:val="00476993"/>
    <w:rsid w:val="00477CA5"/>
    <w:rsid w:val="00480FEF"/>
    <w:rsid w:val="004819DD"/>
    <w:rsid w:val="00481AC2"/>
    <w:rsid w:val="0048251B"/>
    <w:rsid w:val="004826AF"/>
    <w:rsid w:val="004831BC"/>
    <w:rsid w:val="00483EC6"/>
    <w:rsid w:val="00484584"/>
    <w:rsid w:val="00485B47"/>
    <w:rsid w:val="00486560"/>
    <w:rsid w:val="0048661A"/>
    <w:rsid w:val="004868EB"/>
    <w:rsid w:val="00486C0F"/>
    <w:rsid w:val="00486DF9"/>
    <w:rsid w:val="00487E50"/>
    <w:rsid w:val="00490867"/>
    <w:rsid w:val="00490940"/>
    <w:rsid w:val="00491FB8"/>
    <w:rsid w:val="004921CB"/>
    <w:rsid w:val="0049225E"/>
    <w:rsid w:val="0049276F"/>
    <w:rsid w:val="00493146"/>
    <w:rsid w:val="00493C4B"/>
    <w:rsid w:val="004941BB"/>
    <w:rsid w:val="00494B6F"/>
    <w:rsid w:val="0049514A"/>
    <w:rsid w:val="004952C1"/>
    <w:rsid w:val="00495CB0"/>
    <w:rsid w:val="004962A3"/>
    <w:rsid w:val="004964B9"/>
    <w:rsid w:val="00497A4B"/>
    <w:rsid w:val="00497D95"/>
    <w:rsid w:val="004A0074"/>
    <w:rsid w:val="004A0322"/>
    <w:rsid w:val="004A0A56"/>
    <w:rsid w:val="004A1A7D"/>
    <w:rsid w:val="004A24F0"/>
    <w:rsid w:val="004A46A7"/>
    <w:rsid w:val="004A4A4D"/>
    <w:rsid w:val="004A534B"/>
    <w:rsid w:val="004A592E"/>
    <w:rsid w:val="004A5D1E"/>
    <w:rsid w:val="004A6216"/>
    <w:rsid w:val="004B00BA"/>
    <w:rsid w:val="004B104A"/>
    <w:rsid w:val="004B1B37"/>
    <w:rsid w:val="004B391C"/>
    <w:rsid w:val="004B533A"/>
    <w:rsid w:val="004B6849"/>
    <w:rsid w:val="004B6FDA"/>
    <w:rsid w:val="004B74E3"/>
    <w:rsid w:val="004B7902"/>
    <w:rsid w:val="004B7A2C"/>
    <w:rsid w:val="004B7CF5"/>
    <w:rsid w:val="004C2A65"/>
    <w:rsid w:val="004C2B01"/>
    <w:rsid w:val="004C2D94"/>
    <w:rsid w:val="004C301D"/>
    <w:rsid w:val="004C3B3A"/>
    <w:rsid w:val="004C3C9D"/>
    <w:rsid w:val="004C45E7"/>
    <w:rsid w:val="004C650A"/>
    <w:rsid w:val="004C6D07"/>
    <w:rsid w:val="004C7838"/>
    <w:rsid w:val="004C7C13"/>
    <w:rsid w:val="004D1AE9"/>
    <w:rsid w:val="004D1D90"/>
    <w:rsid w:val="004D56A8"/>
    <w:rsid w:val="004D5C9A"/>
    <w:rsid w:val="004D6315"/>
    <w:rsid w:val="004D642E"/>
    <w:rsid w:val="004D667D"/>
    <w:rsid w:val="004D68CC"/>
    <w:rsid w:val="004D6BB0"/>
    <w:rsid w:val="004D793E"/>
    <w:rsid w:val="004E13BD"/>
    <w:rsid w:val="004E2265"/>
    <w:rsid w:val="004E4AF5"/>
    <w:rsid w:val="004E4F77"/>
    <w:rsid w:val="004E539E"/>
    <w:rsid w:val="004E577F"/>
    <w:rsid w:val="004E5FB6"/>
    <w:rsid w:val="004E738C"/>
    <w:rsid w:val="004E7FE6"/>
    <w:rsid w:val="004F021F"/>
    <w:rsid w:val="004F0D09"/>
    <w:rsid w:val="004F152B"/>
    <w:rsid w:val="004F186D"/>
    <w:rsid w:val="004F21D4"/>
    <w:rsid w:val="004F2FD9"/>
    <w:rsid w:val="004F3D7B"/>
    <w:rsid w:val="004F4552"/>
    <w:rsid w:val="004F4B0B"/>
    <w:rsid w:val="004F568F"/>
    <w:rsid w:val="004F5A04"/>
    <w:rsid w:val="004F615C"/>
    <w:rsid w:val="004F7358"/>
    <w:rsid w:val="004F7674"/>
    <w:rsid w:val="004F7925"/>
    <w:rsid w:val="004F7EC4"/>
    <w:rsid w:val="00500128"/>
    <w:rsid w:val="0050047A"/>
    <w:rsid w:val="00501204"/>
    <w:rsid w:val="005054B2"/>
    <w:rsid w:val="0050666F"/>
    <w:rsid w:val="005066C7"/>
    <w:rsid w:val="00511A6C"/>
    <w:rsid w:val="00511F30"/>
    <w:rsid w:val="00512881"/>
    <w:rsid w:val="00514097"/>
    <w:rsid w:val="0051416A"/>
    <w:rsid w:val="00514548"/>
    <w:rsid w:val="00514DC2"/>
    <w:rsid w:val="00515030"/>
    <w:rsid w:val="00515EB9"/>
    <w:rsid w:val="00516320"/>
    <w:rsid w:val="005167D0"/>
    <w:rsid w:val="005173E1"/>
    <w:rsid w:val="00517F64"/>
    <w:rsid w:val="00520613"/>
    <w:rsid w:val="00520626"/>
    <w:rsid w:val="005214FF"/>
    <w:rsid w:val="00523A46"/>
    <w:rsid w:val="005245A7"/>
    <w:rsid w:val="005251A5"/>
    <w:rsid w:val="00525A77"/>
    <w:rsid w:val="00526095"/>
    <w:rsid w:val="00526F01"/>
    <w:rsid w:val="005313B1"/>
    <w:rsid w:val="0053161B"/>
    <w:rsid w:val="00531A3D"/>
    <w:rsid w:val="00532105"/>
    <w:rsid w:val="0053256E"/>
    <w:rsid w:val="00532A37"/>
    <w:rsid w:val="0053354E"/>
    <w:rsid w:val="00534ADF"/>
    <w:rsid w:val="00534E1E"/>
    <w:rsid w:val="00535D04"/>
    <w:rsid w:val="0053737D"/>
    <w:rsid w:val="005408FC"/>
    <w:rsid w:val="00540FB8"/>
    <w:rsid w:val="005424FE"/>
    <w:rsid w:val="00543E02"/>
    <w:rsid w:val="00543EAC"/>
    <w:rsid w:val="00544C29"/>
    <w:rsid w:val="005454A4"/>
    <w:rsid w:val="005464DE"/>
    <w:rsid w:val="00546647"/>
    <w:rsid w:val="005467DB"/>
    <w:rsid w:val="00546A0A"/>
    <w:rsid w:val="00546DB0"/>
    <w:rsid w:val="00546FE1"/>
    <w:rsid w:val="00547B92"/>
    <w:rsid w:val="00547ED0"/>
    <w:rsid w:val="005504B0"/>
    <w:rsid w:val="00550C4F"/>
    <w:rsid w:val="00551922"/>
    <w:rsid w:val="00551BC3"/>
    <w:rsid w:val="00551C4A"/>
    <w:rsid w:val="00553F09"/>
    <w:rsid w:val="00553F4D"/>
    <w:rsid w:val="005546A2"/>
    <w:rsid w:val="00554B8F"/>
    <w:rsid w:val="0055501F"/>
    <w:rsid w:val="00555B4C"/>
    <w:rsid w:val="005560EC"/>
    <w:rsid w:val="0055645B"/>
    <w:rsid w:val="00556885"/>
    <w:rsid w:val="00556A86"/>
    <w:rsid w:val="005617B8"/>
    <w:rsid w:val="00562639"/>
    <w:rsid w:val="0056287C"/>
    <w:rsid w:val="00564308"/>
    <w:rsid w:val="00565E34"/>
    <w:rsid w:val="005666A6"/>
    <w:rsid w:val="00566F59"/>
    <w:rsid w:val="00567B3B"/>
    <w:rsid w:val="00570323"/>
    <w:rsid w:val="00570998"/>
    <w:rsid w:val="005724A6"/>
    <w:rsid w:val="0057302B"/>
    <w:rsid w:val="00574FE6"/>
    <w:rsid w:val="005756B2"/>
    <w:rsid w:val="00576505"/>
    <w:rsid w:val="00576CE0"/>
    <w:rsid w:val="00576EF2"/>
    <w:rsid w:val="005810D9"/>
    <w:rsid w:val="005835C4"/>
    <w:rsid w:val="00583BC2"/>
    <w:rsid w:val="00584A02"/>
    <w:rsid w:val="00584C39"/>
    <w:rsid w:val="00587163"/>
    <w:rsid w:val="00590CCF"/>
    <w:rsid w:val="00592361"/>
    <w:rsid w:val="00593155"/>
    <w:rsid w:val="0059364C"/>
    <w:rsid w:val="00593A95"/>
    <w:rsid w:val="00593CF6"/>
    <w:rsid w:val="00594145"/>
    <w:rsid w:val="005954C0"/>
    <w:rsid w:val="00596DE6"/>
    <w:rsid w:val="005A09E7"/>
    <w:rsid w:val="005A0A86"/>
    <w:rsid w:val="005A14A7"/>
    <w:rsid w:val="005A15A1"/>
    <w:rsid w:val="005A2978"/>
    <w:rsid w:val="005A4223"/>
    <w:rsid w:val="005A4519"/>
    <w:rsid w:val="005A4FE5"/>
    <w:rsid w:val="005A5B85"/>
    <w:rsid w:val="005A636C"/>
    <w:rsid w:val="005A6D0B"/>
    <w:rsid w:val="005B0126"/>
    <w:rsid w:val="005B0184"/>
    <w:rsid w:val="005B0BA9"/>
    <w:rsid w:val="005B1669"/>
    <w:rsid w:val="005B1A1C"/>
    <w:rsid w:val="005B3619"/>
    <w:rsid w:val="005B3F40"/>
    <w:rsid w:val="005B40C0"/>
    <w:rsid w:val="005B4250"/>
    <w:rsid w:val="005B4B77"/>
    <w:rsid w:val="005B523A"/>
    <w:rsid w:val="005C072E"/>
    <w:rsid w:val="005C1EB6"/>
    <w:rsid w:val="005C26E1"/>
    <w:rsid w:val="005C2C90"/>
    <w:rsid w:val="005C2FB8"/>
    <w:rsid w:val="005C5219"/>
    <w:rsid w:val="005C526A"/>
    <w:rsid w:val="005C56C4"/>
    <w:rsid w:val="005C6835"/>
    <w:rsid w:val="005C71AF"/>
    <w:rsid w:val="005C7616"/>
    <w:rsid w:val="005C7B19"/>
    <w:rsid w:val="005C7C2F"/>
    <w:rsid w:val="005C7D2D"/>
    <w:rsid w:val="005C7E17"/>
    <w:rsid w:val="005D063A"/>
    <w:rsid w:val="005D176D"/>
    <w:rsid w:val="005D1B6D"/>
    <w:rsid w:val="005D26EE"/>
    <w:rsid w:val="005D51DE"/>
    <w:rsid w:val="005D6BCA"/>
    <w:rsid w:val="005D7269"/>
    <w:rsid w:val="005D769A"/>
    <w:rsid w:val="005D7B0B"/>
    <w:rsid w:val="005E0176"/>
    <w:rsid w:val="005E0BC9"/>
    <w:rsid w:val="005E0EBE"/>
    <w:rsid w:val="005E12BF"/>
    <w:rsid w:val="005E1597"/>
    <w:rsid w:val="005E1EDA"/>
    <w:rsid w:val="005E3B8D"/>
    <w:rsid w:val="005E44B0"/>
    <w:rsid w:val="005E482F"/>
    <w:rsid w:val="005E5A05"/>
    <w:rsid w:val="005E5B86"/>
    <w:rsid w:val="005E5C23"/>
    <w:rsid w:val="005E5E51"/>
    <w:rsid w:val="005E678F"/>
    <w:rsid w:val="005E687A"/>
    <w:rsid w:val="005E6A87"/>
    <w:rsid w:val="005E7372"/>
    <w:rsid w:val="005E7941"/>
    <w:rsid w:val="005E7B98"/>
    <w:rsid w:val="005F01CF"/>
    <w:rsid w:val="005F07C6"/>
    <w:rsid w:val="005F105A"/>
    <w:rsid w:val="005F1309"/>
    <w:rsid w:val="005F26D3"/>
    <w:rsid w:val="005F43CE"/>
    <w:rsid w:val="005F46BF"/>
    <w:rsid w:val="005F5301"/>
    <w:rsid w:val="005F5981"/>
    <w:rsid w:val="005F5F93"/>
    <w:rsid w:val="005F66A8"/>
    <w:rsid w:val="005F6A3D"/>
    <w:rsid w:val="005F6B14"/>
    <w:rsid w:val="006002C3"/>
    <w:rsid w:val="00600B5E"/>
    <w:rsid w:val="00600F4A"/>
    <w:rsid w:val="00602CC5"/>
    <w:rsid w:val="006038DF"/>
    <w:rsid w:val="006038F1"/>
    <w:rsid w:val="00603B86"/>
    <w:rsid w:val="00605612"/>
    <w:rsid w:val="00606716"/>
    <w:rsid w:val="0060674A"/>
    <w:rsid w:val="00610C1B"/>
    <w:rsid w:val="00611769"/>
    <w:rsid w:val="00611E0E"/>
    <w:rsid w:val="00613A9B"/>
    <w:rsid w:val="00613AE1"/>
    <w:rsid w:val="006146FF"/>
    <w:rsid w:val="006154A0"/>
    <w:rsid w:val="00615AC5"/>
    <w:rsid w:val="00617850"/>
    <w:rsid w:val="0062057C"/>
    <w:rsid w:val="00621FD1"/>
    <w:rsid w:val="0062253C"/>
    <w:rsid w:val="006263CA"/>
    <w:rsid w:val="006268FD"/>
    <w:rsid w:val="00627497"/>
    <w:rsid w:val="00627CED"/>
    <w:rsid w:val="00630A64"/>
    <w:rsid w:val="006322B8"/>
    <w:rsid w:val="00632DC2"/>
    <w:rsid w:val="00633D28"/>
    <w:rsid w:val="00634822"/>
    <w:rsid w:val="00635749"/>
    <w:rsid w:val="00636373"/>
    <w:rsid w:val="00636C03"/>
    <w:rsid w:val="006375BF"/>
    <w:rsid w:val="00640115"/>
    <w:rsid w:val="0064057C"/>
    <w:rsid w:val="00642084"/>
    <w:rsid w:val="00642189"/>
    <w:rsid w:val="006440A8"/>
    <w:rsid w:val="00645C48"/>
    <w:rsid w:val="00646DEC"/>
    <w:rsid w:val="0065172F"/>
    <w:rsid w:val="00651B80"/>
    <w:rsid w:val="00651BE0"/>
    <w:rsid w:val="00652228"/>
    <w:rsid w:val="0065314F"/>
    <w:rsid w:val="00653E7D"/>
    <w:rsid w:val="0065527E"/>
    <w:rsid w:val="00655883"/>
    <w:rsid w:val="006560D8"/>
    <w:rsid w:val="006577EC"/>
    <w:rsid w:val="00657988"/>
    <w:rsid w:val="00660D31"/>
    <w:rsid w:val="00660EE8"/>
    <w:rsid w:val="006617C7"/>
    <w:rsid w:val="0066189A"/>
    <w:rsid w:val="00661F21"/>
    <w:rsid w:val="00662326"/>
    <w:rsid w:val="00663BAE"/>
    <w:rsid w:val="00664527"/>
    <w:rsid w:val="00664EDC"/>
    <w:rsid w:val="0066535F"/>
    <w:rsid w:val="00665673"/>
    <w:rsid w:val="0066598A"/>
    <w:rsid w:val="00665FE5"/>
    <w:rsid w:val="00666B04"/>
    <w:rsid w:val="00666D87"/>
    <w:rsid w:val="0066723F"/>
    <w:rsid w:val="00667FDA"/>
    <w:rsid w:val="00670511"/>
    <w:rsid w:val="00671277"/>
    <w:rsid w:val="00671459"/>
    <w:rsid w:val="006716B1"/>
    <w:rsid w:val="006718C3"/>
    <w:rsid w:val="00674AD8"/>
    <w:rsid w:val="00674B30"/>
    <w:rsid w:val="00675624"/>
    <w:rsid w:val="00676756"/>
    <w:rsid w:val="00676DA5"/>
    <w:rsid w:val="00677435"/>
    <w:rsid w:val="00680449"/>
    <w:rsid w:val="006805B1"/>
    <w:rsid w:val="00682869"/>
    <w:rsid w:val="00683016"/>
    <w:rsid w:val="0068322C"/>
    <w:rsid w:val="006850EC"/>
    <w:rsid w:val="006855CF"/>
    <w:rsid w:val="00686595"/>
    <w:rsid w:val="00686AC0"/>
    <w:rsid w:val="0068701A"/>
    <w:rsid w:val="00687484"/>
    <w:rsid w:val="00690790"/>
    <w:rsid w:val="006926AE"/>
    <w:rsid w:val="0069289E"/>
    <w:rsid w:val="00693555"/>
    <w:rsid w:val="0069400E"/>
    <w:rsid w:val="00694CEE"/>
    <w:rsid w:val="00694E1D"/>
    <w:rsid w:val="006954DA"/>
    <w:rsid w:val="006958FF"/>
    <w:rsid w:val="00696C21"/>
    <w:rsid w:val="00697DB3"/>
    <w:rsid w:val="006A0F17"/>
    <w:rsid w:val="006A0F75"/>
    <w:rsid w:val="006A1024"/>
    <w:rsid w:val="006A1A64"/>
    <w:rsid w:val="006A1CAB"/>
    <w:rsid w:val="006A22BE"/>
    <w:rsid w:val="006A2998"/>
    <w:rsid w:val="006A4511"/>
    <w:rsid w:val="006A70B1"/>
    <w:rsid w:val="006B0414"/>
    <w:rsid w:val="006B0A3F"/>
    <w:rsid w:val="006B11E7"/>
    <w:rsid w:val="006B1EC0"/>
    <w:rsid w:val="006B220C"/>
    <w:rsid w:val="006B2EEC"/>
    <w:rsid w:val="006B3C13"/>
    <w:rsid w:val="006B414A"/>
    <w:rsid w:val="006B49EC"/>
    <w:rsid w:val="006B533D"/>
    <w:rsid w:val="006B5442"/>
    <w:rsid w:val="006B657C"/>
    <w:rsid w:val="006B666D"/>
    <w:rsid w:val="006B6895"/>
    <w:rsid w:val="006B759C"/>
    <w:rsid w:val="006B78E2"/>
    <w:rsid w:val="006B7D5F"/>
    <w:rsid w:val="006B7F6C"/>
    <w:rsid w:val="006C1048"/>
    <w:rsid w:val="006C40F3"/>
    <w:rsid w:val="006C49CE"/>
    <w:rsid w:val="006C51E1"/>
    <w:rsid w:val="006C5D70"/>
    <w:rsid w:val="006C6862"/>
    <w:rsid w:val="006C71A3"/>
    <w:rsid w:val="006C73A8"/>
    <w:rsid w:val="006C75B9"/>
    <w:rsid w:val="006D0007"/>
    <w:rsid w:val="006D0233"/>
    <w:rsid w:val="006D2218"/>
    <w:rsid w:val="006D2907"/>
    <w:rsid w:val="006D385E"/>
    <w:rsid w:val="006D3D42"/>
    <w:rsid w:val="006D3D55"/>
    <w:rsid w:val="006D3D5D"/>
    <w:rsid w:val="006D4517"/>
    <w:rsid w:val="006D462C"/>
    <w:rsid w:val="006D5CD1"/>
    <w:rsid w:val="006D5CDD"/>
    <w:rsid w:val="006D63EF"/>
    <w:rsid w:val="006D6ABC"/>
    <w:rsid w:val="006D731C"/>
    <w:rsid w:val="006D791E"/>
    <w:rsid w:val="006E023A"/>
    <w:rsid w:val="006E28C2"/>
    <w:rsid w:val="006E2FF1"/>
    <w:rsid w:val="006E304C"/>
    <w:rsid w:val="006E3E40"/>
    <w:rsid w:val="006E61EB"/>
    <w:rsid w:val="006E770B"/>
    <w:rsid w:val="006E777B"/>
    <w:rsid w:val="006E7964"/>
    <w:rsid w:val="006F1AB7"/>
    <w:rsid w:val="006F3616"/>
    <w:rsid w:val="006F3C96"/>
    <w:rsid w:val="006F440D"/>
    <w:rsid w:val="006F5FB3"/>
    <w:rsid w:val="006F65A4"/>
    <w:rsid w:val="006F76FC"/>
    <w:rsid w:val="0070195F"/>
    <w:rsid w:val="00702574"/>
    <w:rsid w:val="00702860"/>
    <w:rsid w:val="00703240"/>
    <w:rsid w:val="007035BF"/>
    <w:rsid w:val="0070364E"/>
    <w:rsid w:val="00703994"/>
    <w:rsid w:val="00704FEE"/>
    <w:rsid w:val="0070638C"/>
    <w:rsid w:val="007078F0"/>
    <w:rsid w:val="00710569"/>
    <w:rsid w:val="007108A2"/>
    <w:rsid w:val="00710D53"/>
    <w:rsid w:val="00710E48"/>
    <w:rsid w:val="007116BF"/>
    <w:rsid w:val="007119A4"/>
    <w:rsid w:val="00711E6B"/>
    <w:rsid w:val="007169D8"/>
    <w:rsid w:val="00716B71"/>
    <w:rsid w:val="007171BC"/>
    <w:rsid w:val="0071727B"/>
    <w:rsid w:val="007174FB"/>
    <w:rsid w:val="00717CB9"/>
    <w:rsid w:val="0072086C"/>
    <w:rsid w:val="00720D3B"/>
    <w:rsid w:val="0072169F"/>
    <w:rsid w:val="007216F7"/>
    <w:rsid w:val="00723198"/>
    <w:rsid w:val="00724E18"/>
    <w:rsid w:val="007252F4"/>
    <w:rsid w:val="007269EC"/>
    <w:rsid w:val="0072706F"/>
    <w:rsid w:val="00727CB1"/>
    <w:rsid w:val="0073092D"/>
    <w:rsid w:val="0073201D"/>
    <w:rsid w:val="007320A6"/>
    <w:rsid w:val="00732515"/>
    <w:rsid w:val="00732625"/>
    <w:rsid w:val="007337A8"/>
    <w:rsid w:val="00733A73"/>
    <w:rsid w:val="00733C3C"/>
    <w:rsid w:val="00741035"/>
    <w:rsid w:val="007410C0"/>
    <w:rsid w:val="0074141D"/>
    <w:rsid w:val="007458D8"/>
    <w:rsid w:val="00746206"/>
    <w:rsid w:val="007474B7"/>
    <w:rsid w:val="00750F9F"/>
    <w:rsid w:val="00751122"/>
    <w:rsid w:val="00752988"/>
    <w:rsid w:val="00752D40"/>
    <w:rsid w:val="0075493A"/>
    <w:rsid w:val="00754E73"/>
    <w:rsid w:val="00755037"/>
    <w:rsid w:val="007558A9"/>
    <w:rsid w:val="00756BCF"/>
    <w:rsid w:val="00760637"/>
    <w:rsid w:val="007609AC"/>
    <w:rsid w:val="00760B07"/>
    <w:rsid w:val="00760F50"/>
    <w:rsid w:val="007619C4"/>
    <w:rsid w:val="00761A16"/>
    <w:rsid w:val="00761BFB"/>
    <w:rsid w:val="007622C1"/>
    <w:rsid w:val="00762EDD"/>
    <w:rsid w:val="00763FC3"/>
    <w:rsid w:val="0076422C"/>
    <w:rsid w:val="007647BF"/>
    <w:rsid w:val="00764CA3"/>
    <w:rsid w:val="00765298"/>
    <w:rsid w:val="00765B8B"/>
    <w:rsid w:val="00765EE9"/>
    <w:rsid w:val="00766104"/>
    <w:rsid w:val="007737E1"/>
    <w:rsid w:val="007738A8"/>
    <w:rsid w:val="007739BD"/>
    <w:rsid w:val="00773F3B"/>
    <w:rsid w:val="00773F4B"/>
    <w:rsid w:val="00774BB5"/>
    <w:rsid w:val="00774CF7"/>
    <w:rsid w:val="00774E37"/>
    <w:rsid w:val="0077511F"/>
    <w:rsid w:val="007755E7"/>
    <w:rsid w:val="00777EE6"/>
    <w:rsid w:val="0078020B"/>
    <w:rsid w:val="00780ABE"/>
    <w:rsid w:val="00780F1C"/>
    <w:rsid w:val="007811B7"/>
    <w:rsid w:val="0078231D"/>
    <w:rsid w:val="00782451"/>
    <w:rsid w:val="00782E08"/>
    <w:rsid w:val="00783432"/>
    <w:rsid w:val="00783C99"/>
    <w:rsid w:val="00783CF7"/>
    <w:rsid w:val="00783D71"/>
    <w:rsid w:val="007853E2"/>
    <w:rsid w:val="00786B71"/>
    <w:rsid w:val="007870B5"/>
    <w:rsid w:val="0079057E"/>
    <w:rsid w:val="00790993"/>
    <w:rsid w:val="00793330"/>
    <w:rsid w:val="00793457"/>
    <w:rsid w:val="00795608"/>
    <w:rsid w:val="00795AD7"/>
    <w:rsid w:val="00795C8A"/>
    <w:rsid w:val="00795D71"/>
    <w:rsid w:val="007A03A8"/>
    <w:rsid w:val="007A1DB3"/>
    <w:rsid w:val="007A235D"/>
    <w:rsid w:val="007A296D"/>
    <w:rsid w:val="007A3904"/>
    <w:rsid w:val="007A4DFA"/>
    <w:rsid w:val="007A5012"/>
    <w:rsid w:val="007A5431"/>
    <w:rsid w:val="007A56AF"/>
    <w:rsid w:val="007A6D1F"/>
    <w:rsid w:val="007A71E0"/>
    <w:rsid w:val="007A759C"/>
    <w:rsid w:val="007A7882"/>
    <w:rsid w:val="007B0BB8"/>
    <w:rsid w:val="007B290A"/>
    <w:rsid w:val="007B30B3"/>
    <w:rsid w:val="007B4A71"/>
    <w:rsid w:val="007B5796"/>
    <w:rsid w:val="007B6947"/>
    <w:rsid w:val="007B7B06"/>
    <w:rsid w:val="007C07E7"/>
    <w:rsid w:val="007C0BB5"/>
    <w:rsid w:val="007C0C6C"/>
    <w:rsid w:val="007C0D52"/>
    <w:rsid w:val="007C129B"/>
    <w:rsid w:val="007C16F6"/>
    <w:rsid w:val="007C1CDC"/>
    <w:rsid w:val="007C250A"/>
    <w:rsid w:val="007C345D"/>
    <w:rsid w:val="007C3F6B"/>
    <w:rsid w:val="007C40FA"/>
    <w:rsid w:val="007C42C5"/>
    <w:rsid w:val="007C4C0C"/>
    <w:rsid w:val="007C4DDB"/>
    <w:rsid w:val="007C5584"/>
    <w:rsid w:val="007C7CA9"/>
    <w:rsid w:val="007D0218"/>
    <w:rsid w:val="007D0861"/>
    <w:rsid w:val="007D2361"/>
    <w:rsid w:val="007D3CA3"/>
    <w:rsid w:val="007D3F99"/>
    <w:rsid w:val="007D4A3A"/>
    <w:rsid w:val="007D4EC2"/>
    <w:rsid w:val="007D710D"/>
    <w:rsid w:val="007E16DC"/>
    <w:rsid w:val="007E3E59"/>
    <w:rsid w:val="007E49D5"/>
    <w:rsid w:val="007E4CD7"/>
    <w:rsid w:val="007E621A"/>
    <w:rsid w:val="007E644C"/>
    <w:rsid w:val="007E7709"/>
    <w:rsid w:val="007E78E4"/>
    <w:rsid w:val="007E791B"/>
    <w:rsid w:val="007E7EC2"/>
    <w:rsid w:val="007F1333"/>
    <w:rsid w:val="007F195D"/>
    <w:rsid w:val="007F2519"/>
    <w:rsid w:val="007F2612"/>
    <w:rsid w:val="007F2B91"/>
    <w:rsid w:val="007F37EF"/>
    <w:rsid w:val="007F3D3C"/>
    <w:rsid w:val="007F4216"/>
    <w:rsid w:val="007F4622"/>
    <w:rsid w:val="007F568E"/>
    <w:rsid w:val="007F6342"/>
    <w:rsid w:val="007F7F62"/>
    <w:rsid w:val="008008BB"/>
    <w:rsid w:val="00803F09"/>
    <w:rsid w:val="008046A8"/>
    <w:rsid w:val="00804C46"/>
    <w:rsid w:val="008052FB"/>
    <w:rsid w:val="00805555"/>
    <w:rsid w:val="00805609"/>
    <w:rsid w:val="0080570C"/>
    <w:rsid w:val="00806E8A"/>
    <w:rsid w:val="00807392"/>
    <w:rsid w:val="008101B8"/>
    <w:rsid w:val="00811579"/>
    <w:rsid w:val="00811CC5"/>
    <w:rsid w:val="008138D5"/>
    <w:rsid w:val="0081437C"/>
    <w:rsid w:val="008145ED"/>
    <w:rsid w:val="00814DD8"/>
    <w:rsid w:val="00817018"/>
    <w:rsid w:val="008173B9"/>
    <w:rsid w:val="00817903"/>
    <w:rsid w:val="00817A87"/>
    <w:rsid w:val="008203DC"/>
    <w:rsid w:val="008204A5"/>
    <w:rsid w:val="008207D5"/>
    <w:rsid w:val="00820B5B"/>
    <w:rsid w:val="008231C8"/>
    <w:rsid w:val="00823333"/>
    <w:rsid w:val="00823574"/>
    <w:rsid w:val="00824AA3"/>
    <w:rsid w:val="00824D31"/>
    <w:rsid w:val="00825C81"/>
    <w:rsid w:val="00825E9F"/>
    <w:rsid w:val="00826E74"/>
    <w:rsid w:val="0082757E"/>
    <w:rsid w:val="00827948"/>
    <w:rsid w:val="0083026A"/>
    <w:rsid w:val="008302E3"/>
    <w:rsid w:val="00830CBC"/>
    <w:rsid w:val="00831457"/>
    <w:rsid w:val="00831828"/>
    <w:rsid w:val="00831838"/>
    <w:rsid w:val="00832AFD"/>
    <w:rsid w:val="008332F6"/>
    <w:rsid w:val="0083377A"/>
    <w:rsid w:val="0083397A"/>
    <w:rsid w:val="00834BA0"/>
    <w:rsid w:val="008353C8"/>
    <w:rsid w:val="00835411"/>
    <w:rsid w:val="008357F3"/>
    <w:rsid w:val="00835CBC"/>
    <w:rsid w:val="00836A94"/>
    <w:rsid w:val="00836C5F"/>
    <w:rsid w:val="00837962"/>
    <w:rsid w:val="008400D0"/>
    <w:rsid w:val="00841E5D"/>
    <w:rsid w:val="008422CE"/>
    <w:rsid w:val="008422E6"/>
    <w:rsid w:val="008426E4"/>
    <w:rsid w:val="0084474F"/>
    <w:rsid w:val="008458B9"/>
    <w:rsid w:val="00846BF3"/>
    <w:rsid w:val="00846F08"/>
    <w:rsid w:val="008475E0"/>
    <w:rsid w:val="00847636"/>
    <w:rsid w:val="008503BF"/>
    <w:rsid w:val="0085098F"/>
    <w:rsid w:val="008509C0"/>
    <w:rsid w:val="00850A82"/>
    <w:rsid w:val="008518D8"/>
    <w:rsid w:val="00852FB1"/>
    <w:rsid w:val="00853042"/>
    <w:rsid w:val="0085601D"/>
    <w:rsid w:val="008567B7"/>
    <w:rsid w:val="00856A79"/>
    <w:rsid w:val="008616B9"/>
    <w:rsid w:val="008617FC"/>
    <w:rsid w:val="00861C99"/>
    <w:rsid w:val="00862DC7"/>
    <w:rsid w:val="00862F50"/>
    <w:rsid w:val="008647B8"/>
    <w:rsid w:val="00865205"/>
    <w:rsid w:val="00866A75"/>
    <w:rsid w:val="00866D39"/>
    <w:rsid w:val="00867569"/>
    <w:rsid w:val="00867AD9"/>
    <w:rsid w:val="00867BAD"/>
    <w:rsid w:val="00867DE1"/>
    <w:rsid w:val="00867F17"/>
    <w:rsid w:val="0087017C"/>
    <w:rsid w:val="00870C69"/>
    <w:rsid w:val="00870D52"/>
    <w:rsid w:val="00871C35"/>
    <w:rsid w:val="0087207E"/>
    <w:rsid w:val="0087252E"/>
    <w:rsid w:val="0087265A"/>
    <w:rsid w:val="00872AB5"/>
    <w:rsid w:val="00873176"/>
    <w:rsid w:val="00873902"/>
    <w:rsid w:val="00874B03"/>
    <w:rsid w:val="00875601"/>
    <w:rsid w:val="00876C3E"/>
    <w:rsid w:val="00876D4F"/>
    <w:rsid w:val="00876F05"/>
    <w:rsid w:val="00880A65"/>
    <w:rsid w:val="00880BA2"/>
    <w:rsid w:val="00881774"/>
    <w:rsid w:val="00881879"/>
    <w:rsid w:val="00881E13"/>
    <w:rsid w:val="00882131"/>
    <w:rsid w:val="00884402"/>
    <w:rsid w:val="00884DA5"/>
    <w:rsid w:val="00886A99"/>
    <w:rsid w:val="00886B32"/>
    <w:rsid w:val="00887887"/>
    <w:rsid w:val="00890113"/>
    <w:rsid w:val="008925F4"/>
    <w:rsid w:val="00892CBF"/>
    <w:rsid w:val="008930DE"/>
    <w:rsid w:val="00893925"/>
    <w:rsid w:val="00893F71"/>
    <w:rsid w:val="0089595C"/>
    <w:rsid w:val="008963BD"/>
    <w:rsid w:val="00896F7C"/>
    <w:rsid w:val="00897117"/>
    <w:rsid w:val="00897B2F"/>
    <w:rsid w:val="00897BF3"/>
    <w:rsid w:val="008A1202"/>
    <w:rsid w:val="008A1A2C"/>
    <w:rsid w:val="008A1EE0"/>
    <w:rsid w:val="008A2101"/>
    <w:rsid w:val="008A7723"/>
    <w:rsid w:val="008B02A2"/>
    <w:rsid w:val="008B2249"/>
    <w:rsid w:val="008B4824"/>
    <w:rsid w:val="008B499F"/>
    <w:rsid w:val="008B6933"/>
    <w:rsid w:val="008B6EFF"/>
    <w:rsid w:val="008C20B8"/>
    <w:rsid w:val="008C26C7"/>
    <w:rsid w:val="008C2BFC"/>
    <w:rsid w:val="008C3F37"/>
    <w:rsid w:val="008C4E22"/>
    <w:rsid w:val="008C5659"/>
    <w:rsid w:val="008C5ACF"/>
    <w:rsid w:val="008C60AA"/>
    <w:rsid w:val="008C7402"/>
    <w:rsid w:val="008C7CF1"/>
    <w:rsid w:val="008C7D71"/>
    <w:rsid w:val="008D02CE"/>
    <w:rsid w:val="008D051D"/>
    <w:rsid w:val="008D2309"/>
    <w:rsid w:val="008D31A7"/>
    <w:rsid w:val="008D4C3A"/>
    <w:rsid w:val="008D4EF9"/>
    <w:rsid w:val="008D5014"/>
    <w:rsid w:val="008D5391"/>
    <w:rsid w:val="008D5F30"/>
    <w:rsid w:val="008D6A65"/>
    <w:rsid w:val="008D78D1"/>
    <w:rsid w:val="008E03DF"/>
    <w:rsid w:val="008E0EAB"/>
    <w:rsid w:val="008E246E"/>
    <w:rsid w:val="008E278D"/>
    <w:rsid w:val="008E4785"/>
    <w:rsid w:val="008E49CF"/>
    <w:rsid w:val="008E4B62"/>
    <w:rsid w:val="008E4EC6"/>
    <w:rsid w:val="008E770C"/>
    <w:rsid w:val="008E795A"/>
    <w:rsid w:val="008E79BE"/>
    <w:rsid w:val="008F09C4"/>
    <w:rsid w:val="008F1B39"/>
    <w:rsid w:val="008F26BB"/>
    <w:rsid w:val="008F2C50"/>
    <w:rsid w:val="008F5087"/>
    <w:rsid w:val="008F7C55"/>
    <w:rsid w:val="00900047"/>
    <w:rsid w:val="009001F3"/>
    <w:rsid w:val="00900C0D"/>
    <w:rsid w:val="00900C80"/>
    <w:rsid w:val="00901666"/>
    <w:rsid w:val="00902497"/>
    <w:rsid w:val="009034BF"/>
    <w:rsid w:val="009034EE"/>
    <w:rsid w:val="0090407E"/>
    <w:rsid w:val="00906392"/>
    <w:rsid w:val="00906B3F"/>
    <w:rsid w:val="00907216"/>
    <w:rsid w:val="00907AC0"/>
    <w:rsid w:val="00912872"/>
    <w:rsid w:val="00913F3B"/>
    <w:rsid w:val="00913F7B"/>
    <w:rsid w:val="009141BB"/>
    <w:rsid w:val="0091437F"/>
    <w:rsid w:val="0091441C"/>
    <w:rsid w:val="0091496D"/>
    <w:rsid w:val="009158A9"/>
    <w:rsid w:val="00916A25"/>
    <w:rsid w:val="00917A4A"/>
    <w:rsid w:val="00917B51"/>
    <w:rsid w:val="0092057F"/>
    <w:rsid w:val="00920591"/>
    <w:rsid w:val="009205BF"/>
    <w:rsid w:val="00920664"/>
    <w:rsid w:val="009213F0"/>
    <w:rsid w:val="00921A8A"/>
    <w:rsid w:val="00921C07"/>
    <w:rsid w:val="00923450"/>
    <w:rsid w:val="00923497"/>
    <w:rsid w:val="0092375F"/>
    <w:rsid w:val="0092436E"/>
    <w:rsid w:val="009262B4"/>
    <w:rsid w:val="009274A8"/>
    <w:rsid w:val="00927607"/>
    <w:rsid w:val="00930283"/>
    <w:rsid w:val="00930307"/>
    <w:rsid w:val="0093032E"/>
    <w:rsid w:val="00930E00"/>
    <w:rsid w:val="00930FF7"/>
    <w:rsid w:val="00931585"/>
    <w:rsid w:val="009316D0"/>
    <w:rsid w:val="009318AB"/>
    <w:rsid w:val="00932152"/>
    <w:rsid w:val="00932D18"/>
    <w:rsid w:val="00933AFE"/>
    <w:rsid w:val="00933E24"/>
    <w:rsid w:val="009340BA"/>
    <w:rsid w:val="009343F5"/>
    <w:rsid w:val="00934BA5"/>
    <w:rsid w:val="009352DB"/>
    <w:rsid w:val="00935EFD"/>
    <w:rsid w:val="0093604E"/>
    <w:rsid w:val="009360A6"/>
    <w:rsid w:val="00936A18"/>
    <w:rsid w:val="00936F7B"/>
    <w:rsid w:val="00940B03"/>
    <w:rsid w:val="0094257F"/>
    <w:rsid w:val="0094390E"/>
    <w:rsid w:val="00943BF7"/>
    <w:rsid w:val="00944BA8"/>
    <w:rsid w:val="009450D1"/>
    <w:rsid w:val="00946CEB"/>
    <w:rsid w:val="0094718F"/>
    <w:rsid w:val="00947939"/>
    <w:rsid w:val="00950023"/>
    <w:rsid w:val="00951B2A"/>
    <w:rsid w:val="0095212B"/>
    <w:rsid w:val="009531FE"/>
    <w:rsid w:val="00953831"/>
    <w:rsid w:val="00953CD5"/>
    <w:rsid w:val="00954337"/>
    <w:rsid w:val="00955B41"/>
    <w:rsid w:val="00955F3D"/>
    <w:rsid w:val="00956BD6"/>
    <w:rsid w:val="00956F21"/>
    <w:rsid w:val="0095715A"/>
    <w:rsid w:val="00957233"/>
    <w:rsid w:val="00957236"/>
    <w:rsid w:val="00964693"/>
    <w:rsid w:val="00964DE0"/>
    <w:rsid w:val="0096558D"/>
    <w:rsid w:val="00966811"/>
    <w:rsid w:val="00966CAA"/>
    <w:rsid w:val="00967A33"/>
    <w:rsid w:val="00970275"/>
    <w:rsid w:val="009702AE"/>
    <w:rsid w:val="009706A6"/>
    <w:rsid w:val="009736DB"/>
    <w:rsid w:val="00973D00"/>
    <w:rsid w:val="009746A6"/>
    <w:rsid w:val="009746C2"/>
    <w:rsid w:val="009767E2"/>
    <w:rsid w:val="00977B4C"/>
    <w:rsid w:val="00980C2B"/>
    <w:rsid w:val="00981ACB"/>
    <w:rsid w:val="00984931"/>
    <w:rsid w:val="00984A76"/>
    <w:rsid w:val="00984FF6"/>
    <w:rsid w:val="00985A73"/>
    <w:rsid w:val="00987FC2"/>
    <w:rsid w:val="0099067C"/>
    <w:rsid w:val="009908B9"/>
    <w:rsid w:val="00992815"/>
    <w:rsid w:val="00993763"/>
    <w:rsid w:val="0099575B"/>
    <w:rsid w:val="0099673D"/>
    <w:rsid w:val="00996EBB"/>
    <w:rsid w:val="00997325"/>
    <w:rsid w:val="0099790B"/>
    <w:rsid w:val="009979AA"/>
    <w:rsid w:val="009A168E"/>
    <w:rsid w:val="009A3A59"/>
    <w:rsid w:val="009A4636"/>
    <w:rsid w:val="009A534B"/>
    <w:rsid w:val="009A5A2D"/>
    <w:rsid w:val="009A61FC"/>
    <w:rsid w:val="009A6838"/>
    <w:rsid w:val="009A703E"/>
    <w:rsid w:val="009A708F"/>
    <w:rsid w:val="009A7B29"/>
    <w:rsid w:val="009B3819"/>
    <w:rsid w:val="009B3C9C"/>
    <w:rsid w:val="009B3E41"/>
    <w:rsid w:val="009B6338"/>
    <w:rsid w:val="009B6AD5"/>
    <w:rsid w:val="009B7010"/>
    <w:rsid w:val="009B743A"/>
    <w:rsid w:val="009C08F9"/>
    <w:rsid w:val="009C16E4"/>
    <w:rsid w:val="009C20F1"/>
    <w:rsid w:val="009C34BA"/>
    <w:rsid w:val="009C493E"/>
    <w:rsid w:val="009C4B20"/>
    <w:rsid w:val="009C5A38"/>
    <w:rsid w:val="009C5BC0"/>
    <w:rsid w:val="009C647C"/>
    <w:rsid w:val="009D0103"/>
    <w:rsid w:val="009D1DD2"/>
    <w:rsid w:val="009D1F17"/>
    <w:rsid w:val="009D1F49"/>
    <w:rsid w:val="009D2427"/>
    <w:rsid w:val="009D2D08"/>
    <w:rsid w:val="009D3506"/>
    <w:rsid w:val="009D37C3"/>
    <w:rsid w:val="009D4136"/>
    <w:rsid w:val="009D43B5"/>
    <w:rsid w:val="009D4CDB"/>
    <w:rsid w:val="009D5D4D"/>
    <w:rsid w:val="009D7E7A"/>
    <w:rsid w:val="009D7FA7"/>
    <w:rsid w:val="009E2224"/>
    <w:rsid w:val="009E2495"/>
    <w:rsid w:val="009E3283"/>
    <w:rsid w:val="009E36EB"/>
    <w:rsid w:val="009E4DBE"/>
    <w:rsid w:val="009E5A8D"/>
    <w:rsid w:val="009E5B36"/>
    <w:rsid w:val="009E5EC2"/>
    <w:rsid w:val="009E6381"/>
    <w:rsid w:val="009E642E"/>
    <w:rsid w:val="009E6CC2"/>
    <w:rsid w:val="009F1B5C"/>
    <w:rsid w:val="009F2E86"/>
    <w:rsid w:val="009F2EF3"/>
    <w:rsid w:val="009F388D"/>
    <w:rsid w:val="009F3B4A"/>
    <w:rsid w:val="009F4713"/>
    <w:rsid w:val="009F4BDC"/>
    <w:rsid w:val="009F4BDE"/>
    <w:rsid w:val="009F4FC8"/>
    <w:rsid w:val="009F54ED"/>
    <w:rsid w:val="009F613B"/>
    <w:rsid w:val="009F73BD"/>
    <w:rsid w:val="009F756B"/>
    <w:rsid w:val="009F7B77"/>
    <w:rsid w:val="00A0020E"/>
    <w:rsid w:val="00A00954"/>
    <w:rsid w:val="00A01817"/>
    <w:rsid w:val="00A01CE8"/>
    <w:rsid w:val="00A01CE9"/>
    <w:rsid w:val="00A02B98"/>
    <w:rsid w:val="00A05A89"/>
    <w:rsid w:val="00A061C9"/>
    <w:rsid w:val="00A06821"/>
    <w:rsid w:val="00A07157"/>
    <w:rsid w:val="00A07EC0"/>
    <w:rsid w:val="00A1117B"/>
    <w:rsid w:val="00A11306"/>
    <w:rsid w:val="00A12305"/>
    <w:rsid w:val="00A13754"/>
    <w:rsid w:val="00A13A18"/>
    <w:rsid w:val="00A13AA5"/>
    <w:rsid w:val="00A15609"/>
    <w:rsid w:val="00A165C5"/>
    <w:rsid w:val="00A170EE"/>
    <w:rsid w:val="00A17F36"/>
    <w:rsid w:val="00A21083"/>
    <w:rsid w:val="00A21AF3"/>
    <w:rsid w:val="00A22235"/>
    <w:rsid w:val="00A22479"/>
    <w:rsid w:val="00A24178"/>
    <w:rsid w:val="00A2574B"/>
    <w:rsid w:val="00A257AE"/>
    <w:rsid w:val="00A2640E"/>
    <w:rsid w:val="00A26A6C"/>
    <w:rsid w:val="00A271F5"/>
    <w:rsid w:val="00A30165"/>
    <w:rsid w:val="00A3021F"/>
    <w:rsid w:val="00A3031B"/>
    <w:rsid w:val="00A3105A"/>
    <w:rsid w:val="00A313A0"/>
    <w:rsid w:val="00A33C78"/>
    <w:rsid w:val="00A349D5"/>
    <w:rsid w:val="00A34CB1"/>
    <w:rsid w:val="00A35E96"/>
    <w:rsid w:val="00A36DBE"/>
    <w:rsid w:val="00A37914"/>
    <w:rsid w:val="00A40CB4"/>
    <w:rsid w:val="00A41E63"/>
    <w:rsid w:val="00A42259"/>
    <w:rsid w:val="00A4376C"/>
    <w:rsid w:val="00A44085"/>
    <w:rsid w:val="00A44D83"/>
    <w:rsid w:val="00A454F9"/>
    <w:rsid w:val="00A45506"/>
    <w:rsid w:val="00A461B6"/>
    <w:rsid w:val="00A466D9"/>
    <w:rsid w:val="00A471C7"/>
    <w:rsid w:val="00A501CA"/>
    <w:rsid w:val="00A525DD"/>
    <w:rsid w:val="00A5420E"/>
    <w:rsid w:val="00A548C4"/>
    <w:rsid w:val="00A551BB"/>
    <w:rsid w:val="00A556CB"/>
    <w:rsid w:val="00A55F89"/>
    <w:rsid w:val="00A56108"/>
    <w:rsid w:val="00A56894"/>
    <w:rsid w:val="00A578B2"/>
    <w:rsid w:val="00A60144"/>
    <w:rsid w:val="00A610CC"/>
    <w:rsid w:val="00A6129D"/>
    <w:rsid w:val="00A61B31"/>
    <w:rsid w:val="00A62198"/>
    <w:rsid w:val="00A63912"/>
    <w:rsid w:val="00A64176"/>
    <w:rsid w:val="00A6435A"/>
    <w:rsid w:val="00A65798"/>
    <w:rsid w:val="00A65AF0"/>
    <w:rsid w:val="00A66CC3"/>
    <w:rsid w:val="00A66D14"/>
    <w:rsid w:val="00A67997"/>
    <w:rsid w:val="00A67C01"/>
    <w:rsid w:val="00A700AD"/>
    <w:rsid w:val="00A7025C"/>
    <w:rsid w:val="00A706B2"/>
    <w:rsid w:val="00A70A77"/>
    <w:rsid w:val="00A70E00"/>
    <w:rsid w:val="00A7179E"/>
    <w:rsid w:val="00A71EA0"/>
    <w:rsid w:val="00A7260C"/>
    <w:rsid w:val="00A72A71"/>
    <w:rsid w:val="00A7428F"/>
    <w:rsid w:val="00A761F0"/>
    <w:rsid w:val="00A80CB3"/>
    <w:rsid w:val="00A81770"/>
    <w:rsid w:val="00A81D9A"/>
    <w:rsid w:val="00A82BF3"/>
    <w:rsid w:val="00A8477E"/>
    <w:rsid w:val="00A85356"/>
    <w:rsid w:val="00A85628"/>
    <w:rsid w:val="00A85D8F"/>
    <w:rsid w:val="00A87ED1"/>
    <w:rsid w:val="00A90C4A"/>
    <w:rsid w:val="00A90C84"/>
    <w:rsid w:val="00A91A4E"/>
    <w:rsid w:val="00A923AF"/>
    <w:rsid w:val="00A9345D"/>
    <w:rsid w:val="00A936D3"/>
    <w:rsid w:val="00A95ACB"/>
    <w:rsid w:val="00A95EBF"/>
    <w:rsid w:val="00A968F5"/>
    <w:rsid w:val="00A96AF5"/>
    <w:rsid w:val="00A96BD3"/>
    <w:rsid w:val="00A96BF9"/>
    <w:rsid w:val="00A97A3D"/>
    <w:rsid w:val="00AA035C"/>
    <w:rsid w:val="00AA16D9"/>
    <w:rsid w:val="00AA16DD"/>
    <w:rsid w:val="00AA1F31"/>
    <w:rsid w:val="00AA26C8"/>
    <w:rsid w:val="00AA2E21"/>
    <w:rsid w:val="00AA2E9C"/>
    <w:rsid w:val="00AA35B0"/>
    <w:rsid w:val="00AA3A07"/>
    <w:rsid w:val="00AA4F81"/>
    <w:rsid w:val="00AA6535"/>
    <w:rsid w:val="00AA7060"/>
    <w:rsid w:val="00AB19D7"/>
    <w:rsid w:val="00AB3160"/>
    <w:rsid w:val="00AB5616"/>
    <w:rsid w:val="00AB72A2"/>
    <w:rsid w:val="00AB7DAA"/>
    <w:rsid w:val="00AC17C2"/>
    <w:rsid w:val="00AC1AF3"/>
    <w:rsid w:val="00AC47F0"/>
    <w:rsid w:val="00AC7474"/>
    <w:rsid w:val="00AC7B39"/>
    <w:rsid w:val="00AD008C"/>
    <w:rsid w:val="00AD235A"/>
    <w:rsid w:val="00AD2C3C"/>
    <w:rsid w:val="00AD2F43"/>
    <w:rsid w:val="00AD315F"/>
    <w:rsid w:val="00AD35BC"/>
    <w:rsid w:val="00AD46CC"/>
    <w:rsid w:val="00AD4D51"/>
    <w:rsid w:val="00AD73AD"/>
    <w:rsid w:val="00AD7797"/>
    <w:rsid w:val="00AD7987"/>
    <w:rsid w:val="00AE06E7"/>
    <w:rsid w:val="00AE0E7B"/>
    <w:rsid w:val="00AE0F51"/>
    <w:rsid w:val="00AE1AC6"/>
    <w:rsid w:val="00AE1EF6"/>
    <w:rsid w:val="00AE24BF"/>
    <w:rsid w:val="00AE278E"/>
    <w:rsid w:val="00AE2D9D"/>
    <w:rsid w:val="00AE4D1B"/>
    <w:rsid w:val="00AE5C08"/>
    <w:rsid w:val="00AE646F"/>
    <w:rsid w:val="00AE6F96"/>
    <w:rsid w:val="00AE7B3F"/>
    <w:rsid w:val="00AF0FD3"/>
    <w:rsid w:val="00AF184C"/>
    <w:rsid w:val="00AF1AE1"/>
    <w:rsid w:val="00AF2CFF"/>
    <w:rsid w:val="00AF39F0"/>
    <w:rsid w:val="00AF3E71"/>
    <w:rsid w:val="00AF3F94"/>
    <w:rsid w:val="00AF403E"/>
    <w:rsid w:val="00AF424B"/>
    <w:rsid w:val="00AF4C2D"/>
    <w:rsid w:val="00AF6CD1"/>
    <w:rsid w:val="00AF77E1"/>
    <w:rsid w:val="00AF7B8F"/>
    <w:rsid w:val="00B00DA4"/>
    <w:rsid w:val="00B0224C"/>
    <w:rsid w:val="00B03AC9"/>
    <w:rsid w:val="00B05399"/>
    <w:rsid w:val="00B058BA"/>
    <w:rsid w:val="00B059F9"/>
    <w:rsid w:val="00B05BB0"/>
    <w:rsid w:val="00B06864"/>
    <w:rsid w:val="00B076AB"/>
    <w:rsid w:val="00B07882"/>
    <w:rsid w:val="00B07FC1"/>
    <w:rsid w:val="00B10190"/>
    <w:rsid w:val="00B128FE"/>
    <w:rsid w:val="00B12CCB"/>
    <w:rsid w:val="00B134DC"/>
    <w:rsid w:val="00B13A95"/>
    <w:rsid w:val="00B14C8C"/>
    <w:rsid w:val="00B15216"/>
    <w:rsid w:val="00B16551"/>
    <w:rsid w:val="00B167E3"/>
    <w:rsid w:val="00B16F2A"/>
    <w:rsid w:val="00B208B1"/>
    <w:rsid w:val="00B20C5E"/>
    <w:rsid w:val="00B20D50"/>
    <w:rsid w:val="00B20FCB"/>
    <w:rsid w:val="00B217D3"/>
    <w:rsid w:val="00B22467"/>
    <w:rsid w:val="00B238EE"/>
    <w:rsid w:val="00B24153"/>
    <w:rsid w:val="00B241F7"/>
    <w:rsid w:val="00B24CB4"/>
    <w:rsid w:val="00B26ACA"/>
    <w:rsid w:val="00B26F6E"/>
    <w:rsid w:val="00B27320"/>
    <w:rsid w:val="00B274D4"/>
    <w:rsid w:val="00B30094"/>
    <w:rsid w:val="00B34399"/>
    <w:rsid w:val="00B34853"/>
    <w:rsid w:val="00B35E12"/>
    <w:rsid w:val="00B3672F"/>
    <w:rsid w:val="00B36B22"/>
    <w:rsid w:val="00B3700C"/>
    <w:rsid w:val="00B37D04"/>
    <w:rsid w:val="00B37D5A"/>
    <w:rsid w:val="00B37D75"/>
    <w:rsid w:val="00B417AD"/>
    <w:rsid w:val="00B4183C"/>
    <w:rsid w:val="00B42241"/>
    <w:rsid w:val="00B43403"/>
    <w:rsid w:val="00B43686"/>
    <w:rsid w:val="00B44C3A"/>
    <w:rsid w:val="00B4596E"/>
    <w:rsid w:val="00B4658A"/>
    <w:rsid w:val="00B47886"/>
    <w:rsid w:val="00B47AA1"/>
    <w:rsid w:val="00B47E56"/>
    <w:rsid w:val="00B5147F"/>
    <w:rsid w:val="00B51C32"/>
    <w:rsid w:val="00B532FB"/>
    <w:rsid w:val="00B54742"/>
    <w:rsid w:val="00B547A3"/>
    <w:rsid w:val="00B54DBD"/>
    <w:rsid w:val="00B57585"/>
    <w:rsid w:val="00B57B51"/>
    <w:rsid w:val="00B61303"/>
    <w:rsid w:val="00B6209A"/>
    <w:rsid w:val="00B645AB"/>
    <w:rsid w:val="00B645F2"/>
    <w:rsid w:val="00B6464E"/>
    <w:rsid w:val="00B64E8F"/>
    <w:rsid w:val="00B6586F"/>
    <w:rsid w:val="00B664AB"/>
    <w:rsid w:val="00B664D6"/>
    <w:rsid w:val="00B66DC2"/>
    <w:rsid w:val="00B67CE0"/>
    <w:rsid w:val="00B70308"/>
    <w:rsid w:val="00B7262C"/>
    <w:rsid w:val="00B73B3F"/>
    <w:rsid w:val="00B73FB7"/>
    <w:rsid w:val="00B7445C"/>
    <w:rsid w:val="00B75A1D"/>
    <w:rsid w:val="00B76955"/>
    <w:rsid w:val="00B76DEF"/>
    <w:rsid w:val="00B77624"/>
    <w:rsid w:val="00B8010B"/>
    <w:rsid w:val="00B815DE"/>
    <w:rsid w:val="00B81C11"/>
    <w:rsid w:val="00B81DF5"/>
    <w:rsid w:val="00B821ED"/>
    <w:rsid w:val="00B83100"/>
    <w:rsid w:val="00B84CCF"/>
    <w:rsid w:val="00B86051"/>
    <w:rsid w:val="00B86970"/>
    <w:rsid w:val="00B87EE2"/>
    <w:rsid w:val="00B90246"/>
    <w:rsid w:val="00B90366"/>
    <w:rsid w:val="00B909B9"/>
    <w:rsid w:val="00B9185D"/>
    <w:rsid w:val="00B92CDB"/>
    <w:rsid w:val="00B93409"/>
    <w:rsid w:val="00B941D0"/>
    <w:rsid w:val="00B94F34"/>
    <w:rsid w:val="00B95DA3"/>
    <w:rsid w:val="00B95F22"/>
    <w:rsid w:val="00B96043"/>
    <w:rsid w:val="00B961CE"/>
    <w:rsid w:val="00B963AD"/>
    <w:rsid w:val="00B963D8"/>
    <w:rsid w:val="00B964F2"/>
    <w:rsid w:val="00B9672F"/>
    <w:rsid w:val="00B974C4"/>
    <w:rsid w:val="00B9752F"/>
    <w:rsid w:val="00B97708"/>
    <w:rsid w:val="00B97F9F"/>
    <w:rsid w:val="00BA05EA"/>
    <w:rsid w:val="00BA1789"/>
    <w:rsid w:val="00BA1FC4"/>
    <w:rsid w:val="00BA2044"/>
    <w:rsid w:val="00BA240B"/>
    <w:rsid w:val="00BA253D"/>
    <w:rsid w:val="00BA3D72"/>
    <w:rsid w:val="00BA45FB"/>
    <w:rsid w:val="00BA59ED"/>
    <w:rsid w:val="00BA6A84"/>
    <w:rsid w:val="00BA6CED"/>
    <w:rsid w:val="00BA7DA2"/>
    <w:rsid w:val="00BB0A3B"/>
    <w:rsid w:val="00BB0F28"/>
    <w:rsid w:val="00BB2386"/>
    <w:rsid w:val="00BB396A"/>
    <w:rsid w:val="00BB4023"/>
    <w:rsid w:val="00BB40E8"/>
    <w:rsid w:val="00BB48C5"/>
    <w:rsid w:val="00BB4D50"/>
    <w:rsid w:val="00BB4DB9"/>
    <w:rsid w:val="00BB6D0B"/>
    <w:rsid w:val="00BB6E5C"/>
    <w:rsid w:val="00BC25CC"/>
    <w:rsid w:val="00BC330E"/>
    <w:rsid w:val="00BC4768"/>
    <w:rsid w:val="00BC4E5F"/>
    <w:rsid w:val="00BC50BE"/>
    <w:rsid w:val="00BC5DE6"/>
    <w:rsid w:val="00BC64BE"/>
    <w:rsid w:val="00BC7432"/>
    <w:rsid w:val="00BC7E65"/>
    <w:rsid w:val="00BD01B0"/>
    <w:rsid w:val="00BD0B60"/>
    <w:rsid w:val="00BD15D9"/>
    <w:rsid w:val="00BD1E74"/>
    <w:rsid w:val="00BD27C3"/>
    <w:rsid w:val="00BD45B9"/>
    <w:rsid w:val="00BD560D"/>
    <w:rsid w:val="00BD569B"/>
    <w:rsid w:val="00BD6B79"/>
    <w:rsid w:val="00BD7C42"/>
    <w:rsid w:val="00BD7C6A"/>
    <w:rsid w:val="00BE0518"/>
    <w:rsid w:val="00BE0EC0"/>
    <w:rsid w:val="00BE102E"/>
    <w:rsid w:val="00BE19A5"/>
    <w:rsid w:val="00BE1A78"/>
    <w:rsid w:val="00BE2848"/>
    <w:rsid w:val="00BE427A"/>
    <w:rsid w:val="00BE523C"/>
    <w:rsid w:val="00BE5C84"/>
    <w:rsid w:val="00BE65AC"/>
    <w:rsid w:val="00BE6A73"/>
    <w:rsid w:val="00BF0043"/>
    <w:rsid w:val="00BF00BB"/>
    <w:rsid w:val="00BF0D76"/>
    <w:rsid w:val="00BF0EAC"/>
    <w:rsid w:val="00BF11D9"/>
    <w:rsid w:val="00BF13F1"/>
    <w:rsid w:val="00BF2C22"/>
    <w:rsid w:val="00BF348F"/>
    <w:rsid w:val="00BF3492"/>
    <w:rsid w:val="00BF39EC"/>
    <w:rsid w:val="00BF5232"/>
    <w:rsid w:val="00BF74DA"/>
    <w:rsid w:val="00BF7930"/>
    <w:rsid w:val="00C020E7"/>
    <w:rsid w:val="00C02C02"/>
    <w:rsid w:val="00C0320A"/>
    <w:rsid w:val="00C034EA"/>
    <w:rsid w:val="00C04A56"/>
    <w:rsid w:val="00C04E85"/>
    <w:rsid w:val="00C04FA8"/>
    <w:rsid w:val="00C05FA9"/>
    <w:rsid w:val="00C061C1"/>
    <w:rsid w:val="00C07B10"/>
    <w:rsid w:val="00C07BE2"/>
    <w:rsid w:val="00C107B5"/>
    <w:rsid w:val="00C10CA4"/>
    <w:rsid w:val="00C11201"/>
    <w:rsid w:val="00C1152A"/>
    <w:rsid w:val="00C11E6A"/>
    <w:rsid w:val="00C13942"/>
    <w:rsid w:val="00C140F1"/>
    <w:rsid w:val="00C146BA"/>
    <w:rsid w:val="00C14D08"/>
    <w:rsid w:val="00C15A73"/>
    <w:rsid w:val="00C15A7C"/>
    <w:rsid w:val="00C16A46"/>
    <w:rsid w:val="00C16B38"/>
    <w:rsid w:val="00C17B01"/>
    <w:rsid w:val="00C22710"/>
    <w:rsid w:val="00C2427C"/>
    <w:rsid w:val="00C24B2D"/>
    <w:rsid w:val="00C2521D"/>
    <w:rsid w:val="00C25C61"/>
    <w:rsid w:val="00C25C9B"/>
    <w:rsid w:val="00C263E9"/>
    <w:rsid w:val="00C26EC7"/>
    <w:rsid w:val="00C2798B"/>
    <w:rsid w:val="00C27C7A"/>
    <w:rsid w:val="00C3016A"/>
    <w:rsid w:val="00C309F5"/>
    <w:rsid w:val="00C31988"/>
    <w:rsid w:val="00C3342C"/>
    <w:rsid w:val="00C33433"/>
    <w:rsid w:val="00C33A4A"/>
    <w:rsid w:val="00C3411A"/>
    <w:rsid w:val="00C344B8"/>
    <w:rsid w:val="00C368E5"/>
    <w:rsid w:val="00C374D0"/>
    <w:rsid w:val="00C37604"/>
    <w:rsid w:val="00C40908"/>
    <w:rsid w:val="00C42C8C"/>
    <w:rsid w:val="00C44D60"/>
    <w:rsid w:val="00C451CF"/>
    <w:rsid w:val="00C4621B"/>
    <w:rsid w:val="00C4634C"/>
    <w:rsid w:val="00C463FC"/>
    <w:rsid w:val="00C46B72"/>
    <w:rsid w:val="00C46E67"/>
    <w:rsid w:val="00C475F2"/>
    <w:rsid w:val="00C47ED5"/>
    <w:rsid w:val="00C51C56"/>
    <w:rsid w:val="00C524BA"/>
    <w:rsid w:val="00C52B6D"/>
    <w:rsid w:val="00C52F09"/>
    <w:rsid w:val="00C55A20"/>
    <w:rsid w:val="00C56974"/>
    <w:rsid w:val="00C56F44"/>
    <w:rsid w:val="00C5725D"/>
    <w:rsid w:val="00C57FEF"/>
    <w:rsid w:val="00C60418"/>
    <w:rsid w:val="00C607C5"/>
    <w:rsid w:val="00C6123A"/>
    <w:rsid w:val="00C615EF"/>
    <w:rsid w:val="00C61ECF"/>
    <w:rsid w:val="00C64866"/>
    <w:rsid w:val="00C6588C"/>
    <w:rsid w:val="00C65ACB"/>
    <w:rsid w:val="00C65D60"/>
    <w:rsid w:val="00C6617F"/>
    <w:rsid w:val="00C67C84"/>
    <w:rsid w:val="00C70573"/>
    <w:rsid w:val="00C70FAD"/>
    <w:rsid w:val="00C718BF"/>
    <w:rsid w:val="00C71C16"/>
    <w:rsid w:val="00C7206B"/>
    <w:rsid w:val="00C72801"/>
    <w:rsid w:val="00C740B3"/>
    <w:rsid w:val="00C74F1A"/>
    <w:rsid w:val="00C7567D"/>
    <w:rsid w:val="00C75B57"/>
    <w:rsid w:val="00C75CB7"/>
    <w:rsid w:val="00C75E18"/>
    <w:rsid w:val="00C7603C"/>
    <w:rsid w:val="00C764DA"/>
    <w:rsid w:val="00C800C3"/>
    <w:rsid w:val="00C8088F"/>
    <w:rsid w:val="00C82F47"/>
    <w:rsid w:val="00C8511D"/>
    <w:rsid w:val="00C853E8"/>
    <w:rsid w:val="00C861BF"/>
    <w:rsid w:val="00C900D9"/>
    <w:rsid w:val="00C90A4F"/>
    <w:rsid w:val="00C91185"/>
    <w:rsid w:val="00C92D43"/>
    <w:rsid w:val="00C92F5A"/>
    <w:rsid w:val="00C946C9"/>
    <w:rsid w:val="00C94A2C"/>
    <w:rsid w:val="00C94CC5"/>
    <w:rsid w:val="00C959AC"/>
    <w:rsid w:val="00C95CD9"/>
    <w:rsid w:val="00C96153"/>
    <w:rsid w:val="00C96606"/>
    <w:rsid w:val="00C96881"/>
    <w:rsid w:val="00CA1402"/>
    <w:rsid w:val="00CA1AA1"/>
    <w:rsid w:val="00CA1ECC"/>
    <w:rsid w:val="00CA2B03"/>
    <w:rsid w:val="00CA2E9D"/>
    <w:rsid w:val="00CA614E"/>
    <w:rsid w:val="00CA6754"/>
    <w:rsid w:val="00CA6A2B"/>
    <w:rsid w:val="00CA72E8"/>
    <w:rsid w:val="00CB0C63"/>
    <w:rsid w:val="00CB15D4"/>
    <w:rsid w:val="00CB1634"/>
    <w:rsid w:val="00CB1679"/>
    <w:rsid w:val="00CB1B47"/>
    <w:rsid w:val="00CB24F9"/>
    <w:rsid w:val="00CB29C9"/>
    <w:rsid w:val="00CB3020"/>
    <w:rsid w:val="00CB35DF"/>
    <w:rsid w:val="00CB39DA"/>
    <w:rsid w:val="00CB3A76"/>
    <w:rsid w:val="00CB3FC5"/>
    <w:rsid w:val="00CB41CD"/>
    <w:rsid w:val="00CB44FA"/>
    <w:rsid w:val="00CB610B"/>
    <w:rsid w:val="00CB62AF"/>
    <w:rsid w:val="00CB71D4"/>
    <w:rsid w:val="00CB71EE"/>
    <w:rsid w:val="00CB7A30"/>
    <w:rsid w:val="00CB7C17"/>
    <w:rsid w:val="00CB7D89"/>
    <w:rsid w:val="00CC03D2"/>
    <w:rsid w:val="00CC0889"/>
    <w:rsid w:val="00CC27A8"/>
    <w:rsid w:val="00CC3CDC"/>
    <w:rsid w:val="00CC44C8"/>
    <w:rsid w:val="00CC454B"/>
    <w:rsid w:val="00CC4C7D"/>
    <w:rsid w:val="00CC4F62"/>
    <w:rsid w:val="00CC55E1"/>
    <w:rsid w:val="00CC6890"/>
    <w:rsid w:val="00CC694A"/>
    <w:rsid w:val="00CC6FB7"/>
    <w:rsid w:val="00CC7131"/>
    <w:rsid w:val="00CD160E"/>
    <w:rsid w:val="00CD1E3E"/>
    <w:rsid w:val="00CD2641"/>
    <w:rsid w:val="00CD327E"/>
    <w:rsid w:val="00CD41CC"/>
    <w:rsid w:val="00CD4F77"/>
    <w:rsid w:val="00CD511C"/>
    <w:rsid w:val="00CD5564"/>
    <w:rsid w:val="00CD5A4D"/>
    <w:rsid w:val="00CD66BE"/>
    <w:rsid w:val="00CD6A62"/>
    <w:rsid w:val="00CD7BEE"/>
    <w:rsid w:val="00CE0415"/>
    <w:rsid w:val="00CE084E"/>
    <w:rsid w:val="00CE1439"/>
    <w:rsid w:val="00CE1F67"/>
    <w:rsid w:val="00CE2009"/>
    <w:rsid w:val="00CE4558"/>
    <w:rsid w:val="00CE566C"/>
    <w:rsid w:val="00CE5CB1"/>
    <w:rsid w:val="00CE60B7"/>
    <w:rsid w:val="00CE7454"/>
    <w:rsid w:val="00CF11E7"/>
    <w:rsid w:val="00CF14CB"/>
    <w:rsid w:val="00CF1BAE"/>
    <w:rsid w:val="00CF2D66"/>
    <w:rsid w:val="00CF3151"/>
    <w:rsid w:val="00CF3718"/>
    <w:rsid w:val="00CF3BDC"/>
    <w:rsid w:val="00CF3C0F"/>
    <w:rsid w:val="00CF4413"/>
    <w:rsid w:val="00CF49A5"/>
    <w:rsid w:val="00CF5861"/>
    <w:rsid w:val="00CF5DC1"/>
    <w:rsid w:val="00CF7770"/>
    <w:rsid w:val="00CF77BE"/>
    <w:rsid w:val="00D01AC6"/>
    <w:rsid w:val="00D02820"/>
    <w:rsid w:val="00D02E5D"/>
    <w:rsid w:val="00D04DE2"/>
    <w:rsid w:val="00D04F1E"/>
    <w:rsid w:val="00D05447"/>
    <w:rsid w:val="00D068B5"/>
    <w:rsid w:val="00D073A2"/>
    <w:rsid w:val="00D07665"/>
    <w:rsid w:val="00D079F6"/>
    <w:rsid w:val="00D1150B"/>
    <w:rsid w:val="00D12D08"/>
    <w:rsid w:val="00D12ED6"/>
    <w:rsid w:val="00D134BD"/>
    <w:rsid w:val="00D159E5"/>
    <w:rsid w:val="00D1639B"/>
    <w:rsid w:val="00D170A2"/>
    <w:rsid w:val="00D17462"/>
    <w:rsid w:val="00D17612"/>
    <w:rsid w:val="00D17674"/>
    <w:rsid w:val="00D20D03"/>
    <w:rsid w:val="00D20E5F"/>
    <w:rsid w:val="00D210BF"/>
    <w:rsid w:val="00D21121"/>
    <w:rsid w:val="00D21442"/>
    <w:rsid w:val="00D216CF"/>
    <w:rsid w:val="00D21A58"/>
    <w:rsid w:val="00D21DE5"/>
    <w:rsid w:val="00D223D6"/>
    <w:rsid w:val="00D23245"/>
    <w:rsid w:val="00D23BCF"/>
    <w:rsid w:val="00D23F6D"/>
    <w:rsid w:val="00D24CD7"/>
    <w:rsid w:val="00D27BA8"/>
    <w:rsid w:val="00D3054E"/>
    <w:rsid w:val="00D30620"/>
    <w:rsid w:val="00D30B25"/>
    <w:rsid w:val="00D3112F"/>
    <w:rsid w:val="00D3137F"/>
    <w:rsid w:val="00D3138B"/>
    <w:rsid w:val="00D314E2"/>
    <w:rsid w:val="00D327F5"/>
    <w:rsid w:val="00D33530"/>
    <w:rsid w:val="00D33AED"/>
    <w:rsid w:val="00D3418C"/>
    <w:rsid w:val="00D348DE"/>
    <w:rsid w:val="00D34E0F"/>
    <w:rsid w:val="00D3502A"/>
    <w:rsid w:val="00D35CE4"/>
    <w:rsid w:val="00D379CE"/>
    <w:rsid w:val="00D37BB8"/>
    <w:rsid w:val="00D400F1"/>
    <w:rsid w:val="00D41A7C"/>
    <w:rsid w:val="00D4323D"/>
    <w:rsid w:val="00D4383B"/>
    <w:rsid w:val="00D43CB5"/>
    <w:rsid w:val="00D44112"/>
    <w:rsid w:val="00D4449A"/>
    <w:rsid w:val="00D446C0"/>
    <w:rsid w:val="00D44788"/>
    <w:rsid w:val="00D44D25"/>
    <w:rsid w:val="00D454DE"/>
    <w:rsid w:val="00D456A2"/>
    <w:rsid w:val="00D45DDA"/>
    <w:rsid w:val="00D468E9"/>
    <w:rsid w:val="00D476A4"/>
    <w:rsid w:val="00D502DD"/>
    <w:rsid w:val="00D504CB"/>
    <w:rsid w:val="00D50EE3"/>
    <w:rsid w:val="00D5204F"/>
    <w:rsid w:val="00D525EC"/>
    <w:rsid w:val="00D52A03"/>
    <w:rsid w:val="00D534D3"/>
    <w:rsid w:val="00D535FC"/>
    <w:rsid w:val="00D54534"/>
    <w:rsid w:val="00D54E80"/>
    <w:rsid w:val="00D5502E"/>
    <w:rsid w:val="00D551A0"/>
    <w:rsid w:val="00D5560C"/>
    <w:rsid w:val="00D5654C"/>
    <w:rsid w:val="00D5656A"/>
    <w:rsid w:val="00D569E5"/>
    <w:rsid w:val="00D57CD2"/>
    <w:rsid w:val="00D624BC"/>
    <w:rsid w:val="00D638A3"/>
    <w:rsid w:val="00D644EA"/>
    <w:rsid w:val="00D64FFD"/>
    <w:rsid w:val="00D67F5C"/>
    <w:rsid w:val="00D71A0B"/>
    <w:rsid w:val="00D72C31"/>
    <w:rsid w:val="00D73074"/>
    <w:rsid w:val="00D7353B"/>
    <w:rsid w:val="00D73761"/>
    <w:rsid w:val="00D76AF7"/>
    <w:rsid w:val="00D80D7D"/>
    <w:rsid w:val="00D80E14"/>
    <w:rsid w:val="00D81563"/>
    <w:rsid w:val="00D81B41"/>
    <w:rsid w:val="00D81CE5"/>
    <w:rsid w:val="00D82349"/>
    <w:rsid w:val="00D8269F"/>
    <w:rsid w:val="00D832ED"/>
    <w:rsid w:val="00D84586"/>
    <w:rsid w:val="00D84E01"/>
    <w:rsid w:val="00D85147"/>
    <w:rsid w:val="00D85BAE"/>
    <w:rsid w:val="00D85D52"/>
    <w:rsid w:val="00D85D80"/>
    <w:rsid w:val="00D87B2B"/>
    <w:rsid w:val="00D911AC"/>
    <w:rsid w:val="00D91200"/>
    <w:rsid w:val="00D9250C"/>
    <w:rsid w:val="00D9292B"/>
    <w:rsid w:val="00D93788"/>
    <w:rsid w:val="00D93CDD"/>
    <w:rsid w:val="00D947CF"/>
    <w:rsid w:val="00D947D4"/>
    <w:rsid w:val="00D948DF"/>
    <w:rsid w:val="00D949E3"/>
    <w:rsid w:val="00D94D08"/>
    <w:rsid w:val="00D95501"/>
    <w:rsid w:val="00D95E7E"/>
    <w:rsid w:val="00D9682F"/>
    <w:rsid w:val="00DA01D7"/>
    <w:rsid w:val="00DA055F"/>
    <w:rsid w:val="00DA1BAF"/>
    <w:rsid w:val="00DA2636"/>
    <w:rsid w:val="00DA558B"/>
    <w:rsid w:val="00DA631C"/>
    <w:rsid w:val="00DA63A0"/>
    <w:rsid w:val="00DA67A5"/>
    <w:rsid w:val="00DA69F5"/>
    <w:rsid w:val="00DA6E69"/>
    <w:rsid w:val="00DA726F"/>
    <w:rsid w:val="00DA790C"/>
    <w:rsid w:val="00DB0162"/>
    <w:rsid w:val="00DB0976"/>
    <w:rsid w:val="00DB16AB"/>
    <w:rsid w:val="00DB24C9"/>
    <w:rsid w:val="00DB2FF0"/>
    <w:rsid w:val="00DB3089"/>
    <w:rsid w:val="00DB352E"/>
    <w:rsid w:val="00DB3F31"/>
    <w:rsid w:val="00DB47F1"/>
    <w:rsid w:val="00DB620A"/>
    <w:rsid w:val="00DB6453"/>
    <w:rsid w:val="00DB6524"/>
    <w:rsid w:val="00DB6EDE"/>
    <w:rsid w:val="00DC0015"/>
    <w:rsid w:val="00DC03C1"/>
    <w:rsid w:val="00DC0D72"/>
    <w:rsid w:val="00DC3596"/>
    <w:rsid w:val="00DC3685"/>
    <w:rsid w:val="00DC3AC7"/>
    <w:rsid w:val="00DC4AC1"/>
    <w:rsid w:val="00DC6B4A"/>
    <w:rsid w:val="00DC6DF6"/>
    <w:rsid w:val="00DC7045"/>
    <w:rsid w:val="00DC7216"/>
    <w:rsid w:val="00DC7CB1"/>
    <w:rsid w:val="00DD06E9"/>
    <w:rsid w:val="00DD0BB9"/>
    <w:rsid w:val="00DD28E5"/>
    <w:rsid w:val="00DD35EB"/>
    <w:rsid w:val="00DD37C3"/>
    <w:rsid w:val="00DD41F3"/>
    <w:rsid w:val="00DD4994"/>
    <w:rsid w:val="00DD4C1B"/>
    <w:rsid w:val="00DD4C97"/>
    <w:rsid w:val="00DD4E32"/>
    <w:rsid w:val="00DD5F36"/>
    <w:rsid w:val="00DE0223"/>
    <w:rsid w:val="00DE04E7"/>
    <w:rsid w:val="00DE24D1"/>
    <w:rsid w:val="00DE2756"/>
    <w:rsid w:val="00DE6D65"/>
    <w:rsid w:val="00DF0314"/>
    <w:rsid w:val="00DF114C"/>
    <w:rsid w:val="00DF22D1"/>
    <w:rsid w:val="00DF3359"/>
    <w:rsid w:val="00DF53F7"/>
    <w:rsid w:val="00DF5AB9"/>
    <w:rsid w:val="00DF6196"/>
    <w:rsid w:val="00DF6B09"/>
    <w:rsid w:val="00DF6B73"/>
    <w:rsid w:val="00DF75D3"/>
    <w:rsid w:val="00DF7DCE"/>
    <w:rsid w:val="00E006A7"/>
    <w:rsid w:val="00E00AF8"/>
    <w:rsid w:val="00E00BC7"/>
    <w:rsid w:val="00E01168"/>
    <w:rsid w:val="00E01973"/>
    <w:rsid w:val="00E01DBE"/>
    <w:rsid w:val="00E02780"/>
    <w:rsid w:val="00E02EBF"/>
    <w:rsid w:val="00E037EA"/>
    <w:rsid w:val="00E03E98"/>
    <w:rsid w:val="00E0657D"/>
    <w:rsid w:val="00E06AA7"/>
    <w:rsid w:val="00E10B26"/>
    <w:rsid w:val="00E10F6D"/>
    <w:rsid w:val="00E11D0B"/>
    <w:rsid w:val="00E12BD5"/>
    <w:rsid w:val="00E132AC"/>
    <w:rsid w:val="00E1357F"/>
    <w:rsid w:val="00E140BF"/>
    <w:rsid w:val="00E14B32"/>
    <w:rsid w:val="00E15745"/>
    <w:rsid w:val="00E170D1"/>
    <w:rsid w:val="00E17505"/>
    <w:rsid w:val="00E17D09"/>
    <w:rsid w:val="00E2077B"/>
    <w:rsid w:val="00E20864"/>
    <w:rsid w:val="00E215A8"/>
    <w:rsid w:val="00E2245F"/>
    <w:rsid w:val="00E22D18"/>
    <w:rsid w:val="00E24471"/>
    <w:rsid w:val="00E254BB"/>
    <w:rsid w:val="00E25CC2"/>
    <w:rsid w:val="00E261C0"/>
    <w:rsid w:val="00E2693F"/>
    <w:rsid w:val="00E26C9F"/>
    <w:rsid w:val="00E275A9"/>
    <w:rsid w:val="00E30294"/>
    <w:rsid w:val="00E3116C"/>
    <w:rsid w:val="00E32013"/>
    <w:rsid w:val="00E34366"/>
    <w:rsid w:val="00E34C01"/>
    <w:rsid w:val="00E35BEE"/>
    <w:rsid w:val="00E3752E"/>
    <w:rsid w:val="00E40BBF"/>
    <w:rsid w:val="00E41019"/>
    <w:rsid w:val="00E41476"/>
    <w:rsid w:val="00E41F74"/>
    <w:rsid w:val="00E42268"/>
    <w:rsid w:val="00E425D9"/>
    <w:rsid w:val="00E4271F"/>
    <w:rsid w:val="00E432E8"/>
    <w:rsid w:val="00E44BD8"/>
    <w:rsid w:val="00E45071"/>
    <w:rsid w:val="00E45917"/>
    <w:rsid w:val="00E45E4C"/>
    <w:rsid w:val="00E5090C"/>
    <w:rsid w:val="00E50D2E"/>
    <w:rsid w:val="00E51B31"/>
    <w:rsid w:val="00E532C3"/>
    <w:rsid w:val="00E54969"/>
    <w:rsid w:val="00E559C1"/>
    <w:rsid w:val="00E57557"/>
    <w:rsid w:val="00E61F29"/>
    <w:rsid w:val="00E62372"/>
    <w:rsid w:val="00E62EE5"/>
    <w:rsid w:val="00E630E8"/>
    <w:rsid w:val="00E64085"/>
    <w:rsid w:val="00E644D7"/>
    <w:rsid w:val="00E64B4C"/>
    <w:rsid w:val="00E65A5B"/>
    <w:rsid w:val="00E65D3E"/>
    <w:rsid w:val="00E679B0"/>
    <w:rsid w:val="00E67B0B"/>
    <w:rsid w:val="00E70045"/>
    <w:rsid w:val="00E7065F"/>
    <w:rsid w:val="00E706C1"/>
    <w:rsid w:val="00E707C6"/>
    <w:rsid w:val="00E7094B"/>
    <w:rsid w:val="00E71EDE"/>
    <w:rsid w:val="00E72497"/>
    <w:rsid w:val="00E736C9"/>
    <w:rsid w:val="00E741C2"/>
    <w:rsid w:val="00E742CC"/>
    <w:rsid w:val="00E761D9"/>
    <w:rsid w:val="00E766D6"/>
    <w:rsid w:val="00E7686A"/>
    <w:rsid w:val="00E76ADF"/>
    <w:rsid w:val="00E772D7"/>
    <w:rsid w:val="00E8116E"/>
    <w:rsid w:val="00E84F4B"/>
    <w:rsid w:val="00E863A0"/>
    <w:rsid w:val="00E864AF"/>
    <w:rsid w:val="00E86525"/>
    <w:rsid w:val="00E87063"/>
    <w:rsid w:val="00E874E0"/>
    <w:rsid w:val="00E91617"/>
    <w:rsid w:val="00E92621"/>
    <w:rsid w:val="00E92648"/>
    <w:rsid w:val="00E9283D"/>
    <w:rsid w:val="00E92CAB"/>
    <w:rsid w:val="00E9325C"/>
    <w:rsid w:val="00E939FA"/>
    <w:rsid w:val="00E93F13"/>
    <w:rsid w:val="00E956C8"/>
    <w:rsid w:val="00E95CB7"/>
    <w:rsid w:val="00E9779C"/>
    <w:rsid w:val="00E97EE6"/>
    <w:rsid w:val="00EA0E92"/>
    <w:rsid w:val="00EA0F8D"/>
    <w:rsid w:val="00EA15A5"/>
    <w:rsid w:val="00EA1F9E"/>
    <w:rsid w:val="00EA2241"/>
    <w:rsid w:val="00EA338F"/>
    <w:rsid w:val="00EA4039"/>
    <w:rsid w:val="00EA4D4C"/>
    <w:rsid w:val="00EA561C"/>
    <w:rsid w:val="00EA622A"/>
    <w:rsid w:val="00EA6569"/>
    <w:rsid w:val="00EA69D9"/>
    <w:rsid w:val="00EA6B93"/>
    <w:rsid w:val="00EA6E6E"/>
    <w:rsid w:val="00EA7C02"/>
    <w:rsid w:val="00EA7D62"/>
    <w:rsid w:val="00EB128C"/>
    <w:rsid w:val="00EB1D21"/>
    <w:rsid w:val="00EB1D5F"/>
    <w:rsid w:val="00EB3CA9"/>
    <w:rsid w:val="00EB40B5"/>
    <w:rsid w:val="00EB412A"/>
    <w:rsid w:val="00EB5EFA"/>
    <w:rsid w:val="00EB644F"/>
    <w:rsid w:val="00EB72C0"/>
    <w:rsid w:val="00EC06ED"/>
    <w:rsid w:val="00EC0A19"/>
    <w:rsid w:val="00EC1750"/>
    <w:rsid w:val="00EC1E40"/>
    <w:rsid w:val="00EC417B"/>
    <w:rsid w:val="00EC4D1C"/>
    <w:rsid w:val="00EC4F2E"/>
    <w:rsid w:val="00EC59A0"/>
    <w:rsid w:val="00EC5CD4"/>
    <w:rsid w:val="00EC6383"/>
    <w:rsid w:val="00EC6588"/>
    <w:rsid w:val="00EC7257"/>
    <w:rsid w:val="00ED1168"/>
    <w:rsid w:val="00ED1717"/>
    <w:rsid w:val="00ED1A19"/>
    <w:rsid w:val="00ED299C"/>
    <w:rsid w:val="00ED34C6"/>
    <w:rsid w:val="00ED3F62"/>
    <w:rsid w:val="00ED46D5"/>
    <w:rsid w:val="00ED5005"/>
    <w:rsid w:val="00ED558E"/>
    <w:rsid w:val="00ED5714"/>
    <w:rsid w:val="00ED68B9"/>
    <w:rsid w:val="00ED6B73"/>
    <w:rsid w:val="00ED6D09"/>
    <w:rsid w:val="00ED7E24"/>
    <w:rsid w:val="00EE02F5"/>
    <w:rsid w:val="00EE0349"/>
    <w:rsid w:val="00EE03E2"/>
    <w:rsid w:val="00EE2E14"/>
    <w:rsid w:val="00EE43BF"/>
    <w:rsid w:val="00EE44BA"/>
    <w:rsid w:val="00EE553E"/>
    <w:rsid w:val="00EE5ACA"/>
    <w:rsid w:val="00EE5DC4"/>
    <w:rsid w:val="00EE6522"/>
    <w:rsid w:val="00EE6C59"/>
    <w:rsid w:val="00EE6CFA"/>
    <w:rsid w:val="00EE70E8"/>
    <w:rsid w:val="00EF071B"/>
    <w:rsid w:val="00EF1175"/>
    <w:rsid w:val="00EF1252"/>
    <w:rsid w:val="00EF1CC5"/>
    <w:rsid w:val="00EF2CD1"/>
    <w:rsid w:val="00EF2D79"/>
    <w:rsid w:val="00EF33C2"/>
    <w:rsid w:val="00EF36D4"/>
    <w:rsid w:val="00EF410C"/>
    <w:rsid w:val="00EF459A"/>
    <w:rsid w:val="00EF50C9"/>
    <w:rsid w:val="00EF52D7"/>
    <w:rsid w:val="00EF544E"/>
    <w:rsid w:val="00EF5D75"/>
    <w:rsid w:val="00EF6ACA"/>
    <w:rsid w:val="00EF6C4D"/>
    <w:rsid w:val="00EF71B4"/>
    <w:rsid w:val="00EF74ED"/>
    <w:rsid w:val="00F00E4E"/>
    <w:rsid w:val="00F013E3"/>
    <w:rsid w:val="00F02559"/>
    <w:rsid w:val="00F026C2"/>
    <w:rsid w:val="00F02A57"/>
    <w:rsid w:val="00F0374A"/>
    <w:rsid w:val="00F04A34"/>
    <w:rsid w:val="00F04D23"/>
    <w:rsid w:val="00F05B0E"/>
    <w:rsid w:val="00F066E1"/>
    <w:rsid w:val="00F103C7"/>
    <w:rsid w:val="00F10AAF"/>
    <w:rsid w:val="00F11CF2"/>
    <w:rsid w:val="00F1245A"/>
    <w:rsid w:val="00F13748"/>
    <w:rsid w:val="00F15893"/>
    <w:rsid w:val="00F15C8B"/>
    <w:rsid w:val="00F15CC9"/>
    <w:rsid w:val="00F20CA1"/>
    <w:rsid w:val="00F21120"/>
    <w:rsid w:val="00F21181"/>
    <w:rsid w:val="00F21EC0"/>
    <w:rsid w:val="00F22E6B"/>
    <w:rsid w:val="00F24D5A"/>
    <w:rsid w:val="00F261D8"/>
    <w:rsid w:val="00F269D8"/>
    <w:rsid w:val="00F275CF"/>
    <w:rsid w:val="00F30DB0"/>
    <w:rsid w:val="00F331F2"/>
    <w:rsid w:val="00F33E9F"/>
    <w:rsid w:val="00F34FDE"/>
    <w:rsid w:val="00F355C3"/>
    <w:rsid w:val="00F35CCB"/>
    <w:rsid w:val="00F36715"/>
    <w:rsid w:val="00F36874"/>
    <w:rsid w:val="00F37587"/>
    <w:rsid w:val="00F416BB"/>
    <w:rsid w:val="00F4241A"/>
    <w:rsid w:val="00F42C60"/>
    <w:rsid w:val="00F45161"/>
    <w:rsid w:val="00F465F7"/>
    <w:rsid w:val="00F474C1"/>
    <w:rsid w:val="00F4798E"/>
    <w:rsid w:val="00F501D4"/>
    <w:rsid w:val="00F5022C"/>
    <w:rsid w:val="00F50B45"/>
    <w:rsid w:val="00F50F56"/>
    <w:rsid w:val="00F527A5"/>
    <w:rsid w:val="00F5378E"/>
    <w:rsid w:val="00F53ABE"/>
    <w:rsid w:val="00F53D64"/>
    <w:rsid w:val="00F542C9"/>
    <w:rsid w:val="00F54839"/>
    <w:rsid w:val="00F54D33"/>
    <w:rsid w:val="00F56FD7"/>
    <w:rsid w:val="00F574FE"/>
    <w:rsid w:val="00F60094"/>
    <w:rsid w:val="00F609DF"/>
    <w:rsid w:val="00F613AB"/>
    <w:rsid w:val="00F615C1"/>
    <w:rsid w:val="00F6232F"/>
    <w:rsid w:val="00F63D47"/>
    <w:rsid w:val="00F64559"/>
    <w:rsid w:val="00F6488F"/>
    <w:rsid w:val="00F64A00"/>
    <w:rsid w:val="00F64C17"/>
    <w:rsid w:val="00F64DBE"/>
    <w:rsid w:val="00F66909"/>
    <w:rsid w:val="00F670D1"/>
    <w:rsid w:val="00F6735C"/>
    <w:rsid w:val="00F70AC0"/>
    <w:rsid w:val="00F711E5"/>
    <w:rsid w:val="00F716C1"/>
    <w:rsid w:val="00F71867"/>
    <w:rsid w:val="00F71D30"/>
    <w:rsid w:val="00F720E6"/>
    <w:rsid w:val="00F729E6"/>
    <w:rsid w:val="00F72AFC"/>
    <w:rsid w:val="00F72C22"/>
    <w:rsid w:val="00F72F38"/>
    <w:rsid w:val="00F7395E"/>
    <w:rsid w:val="00F77C44"/>
    <w:rsid w:val="00F77FE3"/>
    <w:rsid w:val="00F8393B"/>
    <w:rsid w:val="00F83B05"/>
    <w:rsid w:val="00F83B55"/>
    <w:rsid w:val="00F843F3"/>
    <w:rsid w:val="00F84864"/>
    <w:rsid w:val="00F8488F"/>
    <w:rsid w:val="00F84A0C"/>
    <w:rsid w:val="00F85583"/>
    <w:rsid w:val="00F85D44"/>
    <w:rsid w:val="00F86A2F"/>
    <w:rsid w:val="00F870C2"/>
    <w:rsid w:val="00F87B9F"/>
    <w:rsid w:val="00F90101"/>
    <w:rsid w:val="00F911F1"/>
    <w:rsid w:val="00F9187E"/>
    <w:rsid w:val="00F91DD1"/>
    <w:rsid w:val="00F93141"/>
    <w:rsid w:val="00F9341D"/>
    <w:rsid w:val="00F934FA"/>
    <w:rsid w:val="00F93ABF"/>
    <w:rsid w:val="00F94137"/>
    <w:rsid w:val="00F97187"/>
    <w:rsid w:val="00F97472"/>
    <w:rsid w:val="00F97D7B"/>
    <w:rsid w:val="00FA090A"/>
    <w:rsid w:val="00FA0E8B"/>
    <w:rsid w:val="00FA1EA7"/>
    <w:rsid w:val="00FA3CD6"/>
    <w:rsid w:val="00FA58C4"/>
    <w:rsid w:val="00FA747A"/>
    <w:rsid w:val="00FA7514"/>
    <w:rsid w:val="00FA7ED0"/>
    <w:rsid w:val="00FB0BC6"/>
    <w:rsid w:val="00FB21E4"/>
    <w:rsid w:val="00FB2743"/>
    <w:rsid w:val="00FB2849"/>
    <w:rsid w:val="00FB387C"/>
    <w:rsid w:val="00FB3CA3"/>
    <w:rsid w:val="00FB429F"/>
    <w:rsid w:val="00FB5603"/>
    <w:rsid w:val="00FB62A9"/>
    <w:rsid w:val="00FB6513"/>
    <w:rsid w:val="00FB699F"/>
    <w:rsid w:val="00FB6AD1"/>
    <w:rsid w:val="00FB6C22"/>
    <w:rsid w:val="00FB7346"/>
    <w:rsid w:val="00FB7966"/>
    <w:rsid w:val="00FC12E8"/>
    <w:rsid w:val="00FC1AB5"/>
    <w:rsid w:val="00FC2AC2"/>
    <w:rsid w:val="00FC2D20"/>
    <w:rsid w:val="00FC3441"/>
    <w:rsid w:val="00FC38C1"/>
    <w:rsid w:val="00FC3E1C"/>
    <w:rsid w:val="00FC6571"/>
    <w:rsid w:val="00FC7099"/>
    <w:rsid w:val="00FC768B"/>
    <w:rsid w:val="00FC7F94"/>
    <w:rsid w:val="00FD0342"/>
    <w:rsid w:val="00FD0A19"/>
    <w:rsid w:val="00FD2A2C"/>
    <w:rsid w:val="00FD2B8D"/>
    <w:rsid w:val="00FD3056"/>
    <w:rsid w:val="00FD3410"/>
    <w:rsid w:val="00FD6513"/>
    <w:rsid w:val="00FD6CEC"/>
    <w:rsid w:val="00FD74A4"/>
    <w:rsid w:val="00FD7DD4"/>
    <w:rsid w:val="00FE00EE"/>
    <w:rsid w:val="00FE0825"/>
    <w:rsid w:val="00FE22AA"/>
    <w:rsid w:val="00FE2FC1"/>
    <w:rsid w:val="00FE4226"/>
    <w:rsid w:val="00FE458F"/>
    <w:rsid w:val="00FE5514"/>
    <w:rsid w:val="00FE5617"/>
    <w:rsid w:val="00FE5FC6"/>
    <w:rsid w:val="00FE6496"/>
    <w:rsid w:val="00FE672A"/>
    <w:rsid w:val="00FE688F"/>
    <w:rsid w:val="00FE7F45"/>
    <w:rsid w:val="00FF05E8"/>
    <w:rsid w:val="00FF09EB"/>
    <w:rsid w:val="00FF0BC2"/>
    <w:rsid w:val="00FF0DCC"/>
    <w:rsid w:val="00FF21C5"/>
    <w:rsid w:val="00FF3577"/>
    <w:rsid w:val="00FF41E5"/>
    <w:rsid w:val="00FF5B82"/>
    <w:rsid w:val="00FF5C13"/>
    <w:rsid w:val="00FF661C"/>
    <w:rsid w:val="00FF69C6"/>
    <w:rsid w:val="00FF736D"/>
    <w:rsid w:val="00FF73AA"/>
    <w:rsid w:val="00FF7664"/>
    <w:rsid w:val="00FF7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B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4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F2519"/>
    <w:rPr>
      <w:color w:val="0000FF" w:themeColor="hyperlink"/>
      <w:u w:val="single"/>
    </w:rPr>
  </w:style>
  <w:style w:type="paragraph" w:styleId="ListParagraph">
    <w:name w:val="List Paragraph"/>
    <w:aliases w:val="List Paragraph (numbered (a)),Use Case List Paragraph,List Paragraph Char Char Char,Main numbered paragraph,Bullet paras"/>
    <w:basedOn w:val="Normal"/>
    <w:link w:val="ListParagraphChar"/>
    <w:uiPriority w:val="34"/>
    <w:qFormat/>
    <w:rsid w:val="002D1F08"/>
    <w:pPr>
      <w:ind w:left="720"/>
      <w:contextualSpacing/>
    </w:pPr>
  </w:style>
  <w:style w:type="character" w:customStyle="1" w:styleId="ListParagraphChar">
    <w:name w:val="List Paragraph Char"/>
    <w:aliases w:val="List Paragraph (numbered (a)) Char,Use Case List Paragraph Char,List Paragraph Char Char Char Char,Main numbered paragraph Char,Bullet paras Char"/>
    <w:basedOn w:val="DefaultParagraphFont"/>
    <w:link w:val="ListParagraph"/>
    <w:uiPriority w:val="34"/>
    <w:rsid w:val="002D1F08"/>
    <w:rPr>
      <w:rFonts w:ascii="Times New Roman" w:eastAsia="Times New Roman" w:hAnsi="Times New Roman" w:cs="Times New Roman"/>
      <w:sz w:val="24"/>
      <w:szCs w:val="20"/>
    </w:rPr>
  </w:style>
  <w:style w:type="paragraph" w:customStyle="1" w:styleId="Para1">
    <w:name w:val="Para1"/>
    <w:uiPriority w:val="99"/>
    <w:qFormat/>
    <w:rsid w:val="00D44D25"/>
    <w:pPr>
      <w:numPr>
        <w:numId w:val="3"/>
      </w:numPr>
      <w:spacing w:before="120" w:after="240" w:line="240" w:lineRule="auto"/>
    </w:pPr>
    <w:rPr>
      <w:rFonts w:ascii="Times New Roman" w:eastAsia="Times New Roman" w:hAnsi="Times New Roman" w:cs="Times New Roman"/>
      <w:szCs w:val="16"/>
    </w:rPr>
  </w:style>
  <w:style w:type="paragraph" w:styleId="Title">
    <w:name w:val="Title"/>
    <w:basedOn w:val="Normal"/>
    <w:next w:val="Normal"/>
    <w:link w:val="TitleChar"/>
    <w:autoRedefine/>
    <w:uiPriority w:val="10"/>
    <w:qFormat/>
    <w:rsid w:val="007824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782451"/>
    <w:rPr>
      <w:rFonts w:asciiTheme="majorHAnsi" w:eastAsiaTheme="majorEastAsia" w:hAnsiTheme="majorHAnsi" w:cstheme="majorBidi"/>
      <w:color w:val="17365D" w:themeColor="text2" w:themeShade="BF"/>
      <w:spacing w:val="5"/>
      <w:kern w:val="28"/>
      <w:sz w:val="40"/>
      <w:szCs w:val="52"/>
    </w:rPr>
  </w:style>
  <w:style w:type="paragraph" w:styleId="BalloonText">
    <w:name w:val="Balloon Text"/>
    <w:basedOn w:val="Normal"/>
    <w:link w:val="BalloonTextChar"/>
    <w:uiPriority w:val="99"/>
    <w:semiHidden/>
    <w:unhideWhenUsed/>
    <w:rsid w:val="00566F59"/>
    <w:rPr>
      <w:rFonts w:ascii="Tahoma" w:hAnsi="Tahoma" w:cs="Tahoma"/>
      <w:sz w:val="16"/>
      <w:szCs w:val="16"/>
    </w:rPr>
  </w:style>
  <w:style w:type="character" w:customStyle="1" w:styleId="BalloonTextChar">
    <w:name w:val="Balloon Text Char"/>
    <w:basedOn w:val="DefaultParagraphFont"/>
    <w:link w:val="BalloonText"/>
    <w:uiPriority w:val="99"/>
    <w:semiHidden/>
    <w:rsid w:val="00566F59"/>
    <w:rPr>
      <w:rFonts w:ascii="Tahoma" w:eastAsia="Times New Roman" w:hAnsi="Tahoma" w:cs="Tahoma"/>
      <w:sz w:val="16"/>
      <w:szCs w:val="16"/>
    </w:rPr>
  </w:style>
  <w:style w:type="paragraph" w:styleId="Header">
    <w:name w:val="header"/>
    <w:basedOn w:val="Normal"/>
    <w:link w:val="HeaderChar"/>
    <w:uiPriority w:val="99"/>
    <w:unhideWhenUsed/>
    <w:rsid w:val="00DC03C1"/>
    <w:pPr>
      <w:tabs>
        <w:tab w:val="center" w:pos="4680"/>
        <w:tab w:val="right" w:pos="9360"/>
      </w:tabs>
    </w:pPr>
  </w:style>
  <w:style w:type="character" w:customStyle="1" w:styleId="HeaderChar">
    <w:name w:val="Header Char"/>
    <w:basedOn w:val="DefaultParagraphFont"/>
    <w:link w:val="Header"/>
    <w:uiPriority w:val="99"/>
    <w:rsid w:val="00DC03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03C1"/>
    <w:pPr>
      <w:tabs>
        <w:tab w:val="center" w:pos="4680"/>
        <w:tab w:val="right" w:pos="9360"/>
      </w:tabs>
    </w:pPr>
  </w:style>
  <w:style w:type="character" w:customStyle="1" w:styleId="FooterChar">
    <w:name w:val="Footer Char"/>
    <w:basedOn w:val="DefaultParagraphFont"/>
    <w:link w:val="Footer"/>
    <w:uiPriority w:val="99"/>
    <w:rsid w:val="00DC03C1"/>
    <w:rPr>
      <w:rFonts w:ascii="Times New Roman" w:eastAsia="Times New Roman" w:hAnsi="Times New Roman" w:cs="Times New Roman"/>
      <w:sz w:val="24"/>
      <w:szCs w:val="20"/>
    </w:rPr>
  </w:style>
  <w:style w:type="paragraph" w:styleId="FootnoteText">
    <w:name w:val="footnote text"/>
    <w:aliases w:val="single space,footnote text,FOOTNOTES,fn,ft,ADB,single space1,footnote text1,FOOTNOTES1,fn1,ADB1,single space2,footnote text2,FOOTNOTES2,fn2,ADB2,single space3,footnote text3,FOOTNOTES3,fn3,ADB3,Fodnotetekst Tegn,Char, Char,WB-Fußnotentext"/>
    <w:basedOn w:val="Normal"/>
    <w:link w:val="FootnoteTextChar"/>
    <w:unhideWhenUsed/>
    <w:qFormat/>
    <w:rsid w:val="009318AB"/>
    <w:pPr>
      <w:overflowPunct/>
      <w:autoSpaceDE/>
      <w:autoSpaceDN/>
      <w:adjustRightInd/>
      <w:spacing w:after="200" w:line="276" w:lineRule="auto"/>
      <w:textAlignment w:val="auto"/>
    </w:pPr>
    <w:rPr>
      <w:rFonts w:ascii="Calibri" w:hAnsi="Calibri"/>
      <w:sz w:val="20"/>
    </w:rPr>
  </w:style>
  <w:style w:type="character" w:customStyle="1" w:styleId="FootnoteTextChar">
    <w:name w:val="Footnote Text Char"/>
    <w:aliases w:val="single space Char,footnote text Char,FOOTNOTES Char,fn Char,ft Char,ADB Char,single space1 Char,footnote text1 Char,FOOTNOTES1 Char,fn1 Char,ADB1 Char,single space2 Char,footnote text2 Char,FOOTNOTES2 Char,fn2 Char,ADB2 Char,fn3 Char"/>
    <w:basedOn w:val="DefaultParagraphFont"/>
    <w:link w:val="FootnoteText"/>
    <w:rsid w:val="009318AB"/>
    <w:rPr>
      <w:rFonts w:ascii="Calibri" w:eastAsia="Times New Roman" w:hAnsi="Calibri" w:cs="Times New Roman"/>
      <w:sz w:val="20"/>
      <w:szCs w:val="20"/>
    </w:rPr>
  </w:style>
  <w:style w:type="character" w:styleId="FootnoteReference">
    <w:name w:val="footnote reference"/>
    <w:aliases w:val="ftref,Footnote Reference Number, BVI fnr,Error-Fußnotenzeichen5,Error-Fußnotenzeichen6,Error-Fußnotenzeichen3,Footnote Reference1,BVI fnr,Error-Fu?notenzeichen5,Error-Fu?notenzeichen6,Error-Fu?notenzeichen3,referencia nota al pie,fr,R"/>
    <w:basedOn w:val="DefaultParagraphFont"/>
    <w:unhideWhenUsed/>
    <w:rsid w:val="009318AB"/>
    <w:rPr>
      <w:vertAlign w:val="superscript"/>
    </w:rPr>
  </w:style>
  <w:style w:type="paragraph" w:customStyle="1" w:styleId="NumberedParagraph">
    <w:name w:val="Numbered Paragraph"/>
    <w:basedOn w:val="ListParagraph"/>
    <w:uiPriority w:val="99"/>
    <w:qFormat/>
    <w:rsid w:val="009318AB"/>
    <w:pPr>
      <w:numPr>
        <w:numId w:val="10"/>
      </w:numPr>
      <w:overflowPunct/>
      <w:autoSpaceDE/>
      <w:autoSpaceDN/>
      <w:adjustRightInd/>
      <w:contextualSpacing w:val="0"/>
      <w:jc w:val="both"/>
      <w:textAlignment w:val="auto"/>
    </w:pPr>
    <w:rPr>
      <w:rFonts w:asciiTheme="majorBidi" w:hAnsiTheme="majorBidi" w:cstheme="majorBidi"/>
      <w:sz w:val="22"/>
      <w:szCs w:val="22"/>
    </w:rPr>
  </w:style>
  <w:style w:type="paragraph" w:styleId="HTMLPreformatted">
    <w:name w:val="HTML Preformatted"/>
    <w:basedOn w:val="Normal"/>
    <w:link w:val="HTMLPreformattedChar"/>
    <w:uiPriority w:val="99"/>
    <w:unhideWhenUsed/>
    <w:rsid w:val="0093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318A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B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4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F2519"/>
    <w:rPr>
      <w:color w:val="0000FF" w:themeColor="hyperlink"/>
      <w:u w:val="single"/>
    </w:rPr>
  </w:style>
  <w:style w:type="paragraph" w:styleId="ListParagraph">
    <w:name w:val="List Paragraph"/>
    <w:aliases w:val="List Paragraph (numbered (a)),Use Case List Paragraph,List Paragraph Char Char Char,Main numbered paragraph,Bullet paras"/>
    <w:basedOn w:val="Normal"/>
    <w:link w:val="ListParagraphChar"/>
    <w:uiPriority w:val="34"/>
    <w:qFormat/>
    <w:rsid w:val="002D1F08"/>
    <w:pPr>
      <w:ind w:left="720"/>
      <w:contextualSpacing/>
    </w:pPr>
  </w:style>
  <w:style w:type="character" w:customStyle="1" w:styleId="ListParagraphChar">
    <w:name w:val="List Paragraph Char"/>
    <w:aliases w:val="List Paragraph (numbered (a)) Char,Use Case List Paragraph Char,List Paragraph Char Char Char Char,Main numbered paragraph Char,Bullet paras Char"/>
    <w:basedOn w:val="DefaultParagraphFont"/>
    <w:link w:val="ListParagraph"/>
    <w:uiPriority w:val="34"/>
    <w:rsid w:val="002D1F08"/>
    <w:rPr>
      <w:rFonts w:ascii="Times New Roman" w:eastAsia="Times New Roman" w:hAnsi="Times New Roman" w:cs="Times New Roman"/>
      <w:sz w:val="24"/>
      <w:szCs w:val="20"/>
    </w:rPr>
  </w:style>
  <w:style w:type="paragraph" w:customStyle="1" w:styleId="Para1">
    <w:name w:val="Para1"/>
    <w:uiPriority w:val="99"/>
    <w:qFormat/>
    <w:rsid w:val="00D44D25"/>
    <w:pPr>
      <w:numPr>
        <w:numId w:val="3"/>
      </w:numPr>
      <w:spacing w:before="120" w:after="240" w:line="240" w:lineRule="auto"/>
    </w:pPr>
    <w:rPr>
      <w:rFonts w:ascii="Times New Roman" w:eastAsia="Times New Roman" w:hAnsi="Times New Roman" w:cs="Times New Roman"/>
      <w:szCs w:val="16"/>
    </w:rPr>
  </w:style>
  <w:style w:type="paragraph" w:styleId="Title">
    <w:name w:val="Title"/>
    <w:basedOn w:val="Normal"/>
    <w:next w:val="Normal"/>
    <w:link w:val="TitleChar"/>
    <w:autoRedefine/>
    <w:uiPriority w:val="10"/>
    <w:qFormat/>
    <w:rsid w:val="007824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782451"/>
    <w:rPr>
      <w:rFonts w:asciiTheme="majorHAnsi" w:eastAsiaTheme="majorEastAsia" w:hAnsiTheme="majorHAnsi" w:cstheme="majorBidi"/>
      <w:color w:val="17365D" w:themeColor="text2" w:themeShade="BF"/>
      <w:spacing w:val="5"/>
      <w:kern w:val="28"/>
      <w:sz w:val="40"/>
      <w:szCs w:val="52"/>
    </w:rPr>
  </w:style>
  <w:style w:type="paragraph" w:styleId="BalloonText">
    <w:name w:val="Balloon Text"/>
    <w:basedOn w:val="Normal"/>
    <w:link w:val="BalloonTextChar"/>
    <w:uiPriority w:val="99"/>
    <w:semiHidden/>
    <w:unhideWhenUsed/>
    <w:rsid w:val="00566F59"/>
    <w:rPr>
      <w:rFonts w:ascii="Tahoma" w:hAnsi="Tahoma" w:cs="Tahoma"/>
      <w:sz w:val="16"/>
      <w:szCs w:val="16"/>
    </w:rPr>
  </w:style>
  <w:style w:type="character" w:customStyle="1" w:styleId="BalloonTextChar">
    <w:name w:val="Balloon Text Char"/>
    <w:basedOn w:val="DefaultParagraphFont"/>
    <w:link w:val="BalloonText"/>
    <w:uiPriority w:val="99"/>
    <w:semiHidden/>
    <w:rsid w:val="00566F59"/>
    <w:rPr>
      <w:rFonts w:ascii="Tahoma" w:eastAsia="Times New Roman" w:hAnsi="Tahoma" w:cs="Tahoma"/>
      <w:sz w:val="16"/>
      <w:szCs w:val="16"/>
    </w:rPr>
  </w:style>
  <w:style w:type="paragraph" w:styleId="Header">
    <w:name w:val="header"/>
    <w:basedOn w:val="Normal"/>
    <w:link w:val="HeaderChar"/>
    <w:uiPriority w:val="99"/>
    <w:unhideWhenUsed/>
    <w:rsid w:val="00DC03C1"/>
    <w:pPr>
      <w:tabs>
        <w:tab w:val="center" w:pos="4680"/>
        <w:tab w:val="right" w:pos="9360"/>
      </w:tabs>
    </w:pPr>
  </w:style>
  <w:style w:type="character" w:customStyle="1" w:styleId="HeaderChar">
    <w:name w:val="Header Char"/>
    <w:basedOn w:val="DefaultParagraphFont"/>
    <w:link w:val="Header"/>
    <w:uiPriority w:val="99"/>
    <w:rsid w:val="00DC03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03C1"/>
    <w:pPr>
      <w:tabs>
        <w:tab w:val="center" w:pos="4680"/>
        <w:tab w:val="right" w:pos="9360"/>
      </w:tabs>
    </w:pPr>
  </w:style>
  <w:style w:type="character" w:customStyle="1" w:styleId="FooterChar">
    <w:name w:val="Footer Char"/>
    <w:basedOn w:val="DefaultParagraphFont"/>
    <w:link w:val="Footer"/>
    <w:uiPriority w:val="99"/>
    <w:rsid w:val="00DC03C1"/>
    <w:rPr>
      <w:rFonts w:ascii="Times New Roman" w:eastAsia="Times New Roman" w:hAnsi="Times New Roman" w:cs="Times New Roman"/>
      <w:sz w:val="24"/>
      <w:szCs w:val="20"/>
    </w:rPr>
  </w:style>
  <w:style w:type="paragraph" w:styleId="FootnoteText">
    <w:name w:val="footnote text"/>
    <w:aliases w:val="single space,footnote text,FOOTNOTES,fn,ft,ADB,single space1,footnote text1,FOOTNOTES1,fn1,ADB1,single space2,footnote text2,FOOTNOTES2,fn2,ADB2,single space3,footnote text3,FOOTNOTES3,fn3,ADB3,Fodnotetekst Tegn,Char, Char,WB-Fußnotentext"/>
    <w:basedOn w:val="Normal"/>
    <w:link w:val="FootnoteTextChar"/>
    <w:unhideWhenUsed/>
    <w:qFormat/>
    <w:rsid w:val="009318AB"/>
    <w:pPr>
      <w:overflowPunct/>
      <w:autoSpaceDE/>
      <w:autoSpaceDN/>
      <w:adjustRightInd/>
      <w:spacing w:after="200" w:line="276" w:lineRule="auto"/>
      <w:textAlignment w:val="auto"/>
    </w:pPr>
    <w:rPr>
      <w:rFonts w:ascii="Calibri" w:hAnsi="Calibri"/>
      <w:sz w:val="20"/>
    </w:rPr>
  </w:style>
  <w:style w:type="character" w:customStyle="1" w:styleId="FootnoteTextChar">
    <w:name w:val="Footnote Text Char"/>
    <w:aliases w:val="single space Char,footnote text Char,FOOTNOTES Char,fn Char,ft Char,ADB Char,single space1 Char,footnote text1 Char,FOOTNOTES1 Char,fn1 Char,ADB1 Char,single space2 Char,footnote text2 Char,FOOTNOTES2 Char,fn2 Char,ADB2 Char,fn3 Char"/>
    <w:basedOn w:val="DefaultParagraphFont"/>
    <w:link w:val="FootnoteText"/>
    <w:rsid w:val="009318AB"/>
    <w:rPr>
      <w:rFonts w:ascii="Calibri" w:eastAsia="Times New Roman" w:hAnsi="Calibri" w:cs="Times New Roman"/>
      <w:sz w:val="20"/>
      <w:szCs w:val="20"/>
    </w:rPr>
  </w:style>
  <w:style w:type="character" w:styleId="FootnoteReference">
    <w:name w:val="footnote reference"/>
    <w:aliases w:val="ftref,Footnote Reference Number, BVI fnr,Error-Fußnotenzeichen5,Error-Fußnotenzeichen6,Error-Fußnotenzeichen3,Footnote Reference1,BVI fnr,Error-Fu?notenzeichen5,Error-Fu?notenzeichen6,Error-Fu?notenzeichen3,referencia nota al pie,fr,R"/>
    <w:basedOn w:val="DefaultParagraphFont"/>
    <w:unhideWhenUsed/>
    <w:rsid w:val="009318AB"/>
    <w:rPr>
      <w:vertAlign w:val="superscript"/>
    </w:rPr>
  </w:style>
  <w:style w:type="paragraph" w:customStyle="1" w:styleId="NumberedParagraph">
    <w:name w:val="Numbered Paragraph"/>
    <w:basedOn w:val="ListParagraph"/>
    <w:uiPriority w:val="99"/>
    <w:qFormat/>
    <w:rsid w:val="009318AB"/>
    <w:pPr>
      <w:numPr>
        <w:numId w:val="10"/>
      </w:numPr>
      <w:overflowPunct/>
      <w:autoSpaceDE/>
      <w:autoSpaceDN/>
      <w:adjustRightInd/>
      <w:contextualSpacing w:val="0"/>
      <w:jc w:val="both"/>
      <w:textAlignment w:val="auto"/>
    </w:pPr>
    <w:rPr>
      <w:rFonts w:asciiTheme="majorBidi" w:hAnsiTheme="majorBidi" w:cstheme="majorBidi"/>
      <w:sz w:val="22"/>
      <w:szCs w:val="22"/>
    </w:rPr>
  </w:style>
  <w:style w:type="paragraph" w:styleId="HTMLPreformatted">
    <w:name w:val="HTML Preformatted"/>
    <w:basedOn w:val="Normal"/>
    <w:link w:val="HTMLPreformattedChar"/>
    <w:uiPriority w:val="99"/>
    <w:unhideWhenUsed/>
    <w:rsid w:val="0093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318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friaa@worldban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wb376195</dc:creator>
  <cp:lastModifiedBy>Lina Janenaite</cp:lastModifiedBy>
  <cp:revision>3</cp:revision>
  <cp:lastPrinted>2014-10-27T15:25:00Z</cp:lastPrinted>
  <dcterms:created xsi:type="dcterms:W3CDTF">2014-10-22T19:20:00Z</dcterms:created>
  <dcterms:modified xsi:type="dcterms:W3CDTF">2014-10-27T15:25:00Z</dcterms:modified>
</cp:coreProperties>
</file>