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3B" w:rsidRDefault="003B5B8B" w:rsidP="00E4173B">
      <w:r>
        <w:rPr>
          <w:noProof/>
        </w:rPr>
        <mc:AlternateContent>
          <mc:Choice Requires="wps">
            <w:drawing>
              <wp:anchor distT="0" distB="0" distL="114300" distR="114300" simplePos="0" relativeHeight="251673600" behindDoc="0" locked="0" layoutInCell="1" allowOverlap="1">
                <wp:simplePos x="0" y="0"/>
                <wp:positionH relativeFrom="column">
                  <wp:posOffset>2539683</wp:posOffset>
                </wp:positionH>
                <wp:positionV relativeFrom="paragraph">
                  <wp:posOffset>-657225</wp:posOffset>
                </wp:positionV>
                <wp:extent cx="1528762"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8762"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B8B" w:rsidRPr="003B5B8B" w:rsidRDefault="003B5B8B">
                            <w:pPr>
                              <w:rPr>
                                <w:rFonts w:ascii="Arial" w:hAnsi="Arial" w:cs="Arial"/>
                                <w:sz w:val="44"/>
                                <w:szCs w:val="44"/>
                              </w:rPr>
                            </w:pPr>
                            <w:r>
                              <w:rPr>
                                <w:rFonts w:ascii="Arial" w:hAnsi="Arial" w:cs="Arial"/>
                                <w:sz w:val="44"/>
                                <w:szCs w:val="44"/>
                              </w:rPr>
                              <w:t>91217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200pt;margin-top:-51.75pt;width:120.35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" fillcolor="white [3201]" stroked="f" strokeweight=".5pt">
                <v:textbox>
                  <w:txbxContent>
                    <w:p w:rsidR="003B5B8B" w:rsidRPr="003B5B8B" w:rsidRDefault="003B5B8B">
                      <w:pPr>
                        <w:rPr>
                          <w:rFonts w:ascii="Arial" w:hAnsi="Arial" w:cs="Arial"/>
                          <w:sz w:val="44"/>
                          <w:szCs w:val="44"/>
                        </w:rPr>
                      </w:pPr>
                      <w:r>
                        <w:rPr>
                          <w:rFonts w:ascii="Arial" w:hAnsi="Arial" w:cs="Arial"/>
                          <w:sz w:val="44"/>
                          <w:szCs w:val="44"/>
                        </w:rPr>
                        <w:t>91217</w:t>
                      </w:r>
                    </w:p>
                  </w:txbxContent>
                </v:textbox>
              </v:shape>
            </w:pict>
          </mc:Fallback>
        </mc:AlternateContent>
      </w:r>
      <w:r w:rsidR="001D553E">
        <w:rPr>
          <w:noProof/>
        </w:rPr>
        <mc:AlternateContent>
          <mc:Choice Requires="wps">
            <w:drawing>
              <wp:anchor distT="0" distB="0" distL="114300" distR="114300" simplePos="0" relativeHeight="251668480" behindDoc="0" locked="0" layoutInCell="1" allowOverlap="1" wp14:anchorId="44303A2F" wp14:editId="0934F08C">
                <wp:simplePos x="0" y="0"/>
                <wp:positionH relativeFrom="column">
                  <wp:posOffset>-2811780</wp:posOffset>
                </wp:positionH>
                <wp:positionV relativeFrom="paragraph">
                  <wp:posOffset>34925</wp:posOffset>
                </wp:positionV>
                <wp:extent cx="6736080" cy="8077200"/>
                <wp:effectExtent l="0" t="0" r="26670" b="19050"/>
                <wp:wrapNone/>
                <wp:docPr id="21" name="Rectangle 21"/>
                <wp:cNvGraphicFramePr/>
                <a:graphic xmlns:a="http://schemas.openxmlformats.org/drawingml/2006/main">
                  <a:graphicData uri="http://schemas.microsoft.com/office/word/2010/wordprocessingShape">
                    <wps:wsp>
                      <wps:cNvSpPr/>
                      <wps:spPr>
                        <a:xfrm>
                          <a:off x="0" y="0"/>
                          <a:ext cx="6736080" cy="8077200"/>
                        </a:xfrm>
                        <a:prstGeom prst="rect">
                          <a:avLst/>
                        </a:prstGeom>
                        <a:noFill/>
                        <a:ln w="3175">
                          <a:solidFill>
                            <a:schemeClr val="tx2"/>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1.4pt;margin-top:2.75pt;width:530.4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" filled="f" strokecolor="#1f497d [3215]" strokeweight=".25pt"/>
            </w:pict>
          </mc:Fallback>
        </mc:AlternateContent>
      </w:r>
      <w:r w:rsidR="00B663FB">
        <w:rPr>
          <w:noProof/>
        </w:rPr>
        <mc:AlternateContent>
          <mc:Choice Requires="wps">
            <w:drawing>
              <wp:anchor distT="0" distB="0" distL="114300" distR="114300" simplePos="0" relativeHeight="251670528" behindDoc="0" locked="0" layoutInCell="1" allowOverlap="1" wp14:anchorId="5B586CAB" wp14:editId="6A4DC29F">
                <wp:simplePos x="0" y="0"/>
                <wp:positionH relativeFrom="column">
                  <wp:posOffset>341630</wp:posOffset>
                </wp:positionH>
                <wp:positionV relativeFrom="paragraph">
                  <wp:posOffset>71560</wp:posOffset>
                </wp:positionV>
                <wp:extent cx="3589020" cy="6400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589020" cy="640080"/>
                        </a:xfrm>
                        <a:prstGeom prst="rect">
                          <a:avLst/>
                        </a:prstGeom>
                        <a:gradFill flip="none" rotWithShape="1">
                          <a:gsLst>
                            <a:gs pos="0">
                              <a:schemeClr val="bg1"/>
                            </a:gs>
                            <a:gs pos="50000">
                              <a:srgbClr val="DBE4F5"/>
                            </a:gs>
                            <a:gs pos="100000">
                              <a:schemeClr val="accent1">
                                <a:tint val="23500"/>
                                <a:satMod val="160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AE3" w:rsidRPr="003A27AD" w:rsidRDefault="003F7AE3" w:rsidP="00E4173B">
                            <w:pPr>
                              <w:pStyle w:val="NoSpacing"/>
                              <w:spacing w:before="0" w:after="0"/>
                              <w:ind w:left="86"/>
                              <w:jc w:val="right"/>
                            </w:pPr>
                            <w:r w:rsidRPr="003A27AD">
                              <w:t>Japan–World Bank Partnership</w:t>
                            </w:r>
                            <w:r w:rsidRPr="00701A81">
                              <w:t xml:space="preserve"> Program for </w:t>
                            </w:r>
                            <w:r w:rsidRPr="003A27AD">
                              <w:t>Universal Health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6.9pt;margin-top:5.65pt;width:282.6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" fillcolor="white [3212]" stroked="f" strokeweight=".5pt">
                <v:fill color2="#d6e2f0 [756]" rotate="t" angle="90" colors="0 white;.5 #dbe4f5;1 #e1e8f5" focus="100%" type="gradient"/>
                <v:textbox>
                  <w:txbxContent>
                    <w:p w:rsidR="003F7AE3" w:rsidRPr="003A27AD" w:rsidRDefault="003F7AE3" w:rsidP="00E4173B">
                      <w:pPr>
                        <w:pStyle w:val="NoSpacing"/>
                        <w:spacing w:before="0" w:after="0"/>
                        <w:ind w:left="86"/>
                        <w:jc w:val="right"/>
                      </w:pPr>
                      <w:r w:rsidRPr="003A27AD">
                        <w:t>Japan–World Bank Partnership</w:t>
                      </w:r>
                      <w:r w:rsidRPr="00701A81">
                        <w:t xml:space="preserve"> Program for </w:t>
                      </w:r>
                      <w:r w:rsidRPr="003A27AD">
                        <w:t>Universal Health Coverage</w:t>
                      </w:r>
                    </w:p>
                  </w:txbxContent>
                </v:textbox>
              </v:shape>
            </w:pict>
          </mc:Fallback>
        </mc:AlternateContent>
      </w:r>
      <w:r w:rsidR="00B663FB" w:rsidRPr="002A7BEB">
        <w:rPr>
          <w:noProof/>
        </w:rPr>
        <w:drawing>
          <wp:anchor distT="0" distB="0" distL="114300" distR="114300" simplePos="0" relativeHeight="251667456" behindDoc="1" locked="0" layoutInCell="1" allowOverlap="1" wp14:anchorId="53794A25" wp14:editId="6F1E46C1">
            <wp:simplePos x="0" y="0"/>
            <wp:positionH relativeFrom="column">
              <wp:posOffset>-162560</wp:posOffset>
            </wp:positionH>
            <wp:positionV relativeFrom="paragraph">
              <wp:posOffset>170815</wp:posOffset>
            </wp:positionV>
            <wp:extent cx="2463800" cy="482600"/>
            <wp:effectExtent l="0" t="0" r="0" b="0"/>
            <wp:wrapTight wrapText="bothSides">
              <wp:wrapPolygon edited="0">
                <wp:start x="0" y="0"/>
                <wp:lineTo x="0" y="20463"/>
                <wp:lineTo x="21377" y="20463"/>
                <wp:lineTo x="21377" y="0"/>
                <wp:lineTo x="0" y="0"/>
              </wp:wrapPolygon>
            </wp:wrapTight>
            <wp:docPr id="12" name="Picture 12" descr="C:\Users\wb93132\WinRAR-HOLD\Rar$DI07.592\WBG_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b93132\WinRAR-HOLD\Rar$DI07.592\WBG_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73B" w:rsidRDefault="00E4173B" w:rsidP="00E4173B"/>
    <w:p w:rsidR="00E4173B" w:rsidRPr="00732EAE" w:rsidRDefault="00E4173B" w:rsidP="00E4173B">
      <w:bookmarkStart w:id="0" w:name="_GoBack"/>
      <w:bookmarkEnd w:id="0"/>
    </w:p>
    <w:p w:rsidR="00E4173B" w:rsidRDefault="00E4173B" w:rsidP="00E4173B">
      <w:pPr>
        <w:pStyle w:val="Header"/>
        <w:rPr>
          <w:color w:val="244061" w:themeColor="accent1" w:themeShade="80"/>
        </w:rPr>
      </w:pPr>
    </w:p>
    <w:p w:rsidR="00E4173B" w:rsidRDefault="00E4173B" w:rsidP="00E4173B">
      <w:pPr>
        <w:pStyle w:val="Header"/>
        <w:rPr>
          <w:color w:val="244061" w:themeColor="accent1" w:themeShade="80"/>
          <w:sz w:val="28"/>
          <w:szCs w:val="28"/>
        </w:rPr>
      </w:pPr>
      <w:r w:rsidRPr="00DE7A18">
        <w:rPr>
          <w:color w:val="244061" w:themeColor="accent1" w:themeShade="80"/>
          <w:sz w:val="28"/>
          <w:szCs w:val="28"/>
        </w:rPr>
        <w:t xml:space="preserve"> </w:t>
      </w:r>
    </w:p>
    <w:p w:rsidR="00E4173B" w:rsidRPr="00F9252B" w:rsidRDefault="00E4173B" w:rsidP="00E4173B"/>
    <w:p w:rsidR="00E4173B" w:rsidRDefault="00E4173B" w:rsidP="00E4173B"/>
    <w:p w:rsidR="00E4173B" w:rsidRDefault="00E4173B" w:rsidP="00E4173B"/>
    <w:p w:rsidR="00E4173B" w:rsidRDefault="00E4173B" w:rsidP="00E4173B">
      <w:pPr>
        <w:pStyle w:val="Subtitle2"/>
      </w:pPr>
    </w:p>
    <w:p w:rsidR="00104E52" w:rsidRDefault="00104E52" w:rsidP="00E4173B">
      <w:pPr>
        <w:pStyle w:val="Subtitle2"/>
      </w:pPr>
    </w:p>
    <w:p w:rsidR="00104E52" w:rsidRDefault="00104E52" w:rsidP="00E4173B">
      <w:pPr>
        <w:pStyle w:val="Subtitle2"/>
      </w:pPr>
    </w:p>
    <w:p w:rsidR="00104E52" w:rsidRDefault="00B35428" w:rsidP="00E4173B">
      <w:pPr>
        <w:pStyle w:val="Subtitle2"/>
      </w:pPr>
      <w:r>
        <w:rPr>
          <w:noProof/>
        </w:rPr>
        <mc:AlternateContent>
          <mc:Choice Requires="wps">
            <w:drawing>
              <wp:anchor distT="0" distB="0" distL="114300" distR="114300" simplePos="0" relativeHeight="251672576" behindDoc="0" locked="0" layoutInCell="1" allowOverlap="1" wp14:anchorId="30AC8F5B" wp14:editId="670469C0">
                <wp:simplePos x="0" y="0"/>
                <wp:positionH relativeFrom="column">
                  <wp:posOffset>-434018</wp:posOffset>
                </wp:positionH>
                <wp:positionV relativeFrom="paragraph">
                  <wp:posOffset>43180</wp:posOffset>
                </wp:positionV>
                <wp:extent cx="6758940" cy="9601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6758940" cy="960120"/>
                        </a:xfrm>
                        <a:prstGeom prst="rect">
                          <a:avLst/>
                        </a:prstGeom>
                        <a:solidFill>
                          <a:srgbClr val="002060"/>
                        </a:solidFill>
                        <a:ln w="12700">
                          <a:solidFill>
                            <a:schemeClr val="tx2"/>
                          </a:solidFill>
                        </a:ln>
                      </wps:spPr>
                      <wps:style>
                        <a:lnRef idx="2">
                          <a:schemeClr val="accent1"/>
                        </a:lnRef>
                        <a:fillRef idx="1">
                          <a:schemeClr val="lt1"/>
                        </a:fillRef>
                        <a:effectRef idx="0">
                          <a:schemeClr val="accent1"/>
                        </a:effectRef>
                        <a:fontRef idx="minor">
                          <a:schemeClr val="dk1"/>
                        </a:fontRef>
                      </wps:style>
                      <wps:txbx>
                        <w:txbxContent>
                          <w:p w:rsidR="00104E52" w:rsidRPr="00104E52" w:rsidRDefault="00104E52" w:rsidP="00104E52">
                            <w:pPr>
                              <w:pStyle w:val="NoSpacing"/>
                              <w:spacing w:before="0" w:after="0"/>
                              <w:ind w:left="0"/>
                              <w:rPr>
                                <w:color w:val="FFFFFF" w:themeColor="background1"/>
                                <w:sz w:val="40"/>
                                <w:szCs w:val="40"/>
                              </w:rPr>
                            </w:pPr>
                            <w:r w:rsidRPr="00104E52">
                              <w:rPr>
                                <w:color w:val="FFFFFF" w:themeColor="background1"/>
                                <w:sz w:val="40"/>
                                <w:szCs w:val="40"/>
                              </w:rPr>
                              <w:t>Universal Health Coverage for Inclusive and Sustainable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4.15pt;margin-top:3.4pt;width:532.2pt;height:7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" fillcolor="#002060" strokecolor="#1f497d [3215]" strokeweight="1pt">
                <v:textbox>
                  <w:txbxContent>
                    <w:p w:rsidR="00104E52" w:rsidRPr="00104E52" w:rsidRDefault="00104E52" w:rsidP="00104E52">
                      <w:pPr>
                        <w:pStyle w:val="NoSpacing"/>
                        <w:spacing w:before="0" w:after="0"/>
                        <w:ind w:left="0"/>
                        <w:rPr>
                          <w:color w:val="FFFFFF" w:themeColor="background1"/>
                          <w:sz w:val="40"/>
                          <w:szCs w:val="40"/>
                        </w:rPr>
                      </w:pPr>
                      <w:r w:rsidRPr="00104E52">
                        <w:rPr>
                          <w:color w:val="FFFFFF" w:themeColor="background1"/>
                          <w:sz w:val="40"/>
                          <w:szCs w:val="40"/>
                        </w:rPr>
                        <w:t>Universal Health Coverage for Inclusive and Sustainable Development</w:t>
                      </w:r>
                    </w:p>
                  </w:txbxContent>
                </v:textbox>
              </v:rect>
            </w:pict>
          </mc:Fallback>
        </mc:AlternateContent>
      </w:r>
    </w:p>
    <w:p w:rsidR="00104E52" w:rsidRDefault="00104E52" w:rsidP="00E4173B">
      <w:pPr>
        <w:pStyle w:val="Subtitle2"/>
      </w:pPr>
    </w:p>
    <w:p w:rsidR="00104E52" w:rsidRDefault="00104E52" w:rsidP="00E4173B">
      <w:pPr>
        <w:pStyle w:val="Subtitle2"/>
      </w:pPr>
    </w:p>
    <w:p w:rsidR="00104E52" w:rsidRDefault="00B35428" w:rsidP="00E4173B">
      <w:pPr>
        <w:pStyle w:val="Subtitle2"/>
      </w:pPr>
      <w:r>
        <w:rPr>
          <w:noProof/>
        </w:rPr>
        <mc:AlternateContent>
          <mc:Choice Requires="wps">
            <w:drawing>
              <wp:anchor distT="0" distB="0" distL="114300" distR="114300" simplePos="0" relativeHeight="251665408" behindDoc="0" locked="0" layoutInCell="1" allowOverlap="1" wp14:anchorId="56980DFB" wp14:editId="225D4A79">
                <wp:simplePos x="0" y="0"/>
                <wp:positionH relativeFrom="column">
                  <wp:posOffset>-434018</wp:posOffset>
                </wp:positionH>
                <wp:positionV relativeFrom="paragraph">
                  <wp:posOffset>119380</wp:posOffset>
                </wp:positionV>
                <wp:extent cx="6758940" cy="4953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758940" cy="495300"/>
                        </a:xfrm>
                        <a:prstGeom prst="rect">
                          <a:avLst/>
                        </a:prstGeom>
                        <a:solidFill>
                          <a:srgbClr val="FF0000"/>
                        </a:solidFill>
                        <a:ln w="12700">
                          <a:solidFill>
                            <a:schemeClr val="tx2"/>
                          </a:solidFill>
                        </a:ln>
                      </wps:spPr>
                      <wps:style>
                        <a:lnRef idx="2">
                          <a:schemeClr val="accent1"/>
                        </a:lnRef>
                        <a:fillRef idx="1">
                          <a:schemeClr val="lt1"/>
                        </a:fillRef>
                        <a:effectRef idx="0">
                          <a:schemeClr val="accent1"/>
                        </a:effectRef>
                        <a:fontRef idx="minor">
                          <a:schemeClr val="dk1"/>
                        </a:fontRef>
                      </wps:style>
                      <wps:txbx>
                        <w:txbxContent>
                          <w:p w:rsidR="003F7AE3" w:rsidRPr="00B35428" w:rsidRDefault="003F7AE3" w:rsidP="00B35428">
                            <w:pPr>
                              <w:pStyle w:val="NoSpacing"/>
                              <w:spacing w:before="0" w:after="0"/>
                              <w:ind w:left="0"/>
                              <w:rPr>
                                <w:color w:val="FFFFFF" w:themeColor="background1"/>
                                <w:sz w:val="40"/>
                                <w:szCs w:val="40"/>
                              </w:rPr>
                            </w:pPr>
                            <w:r w:rsidRPr="00B35428">
                              <w:rPr>
                                <w:color w:val="FFFFFF" w:themeColor="background1"/>
                                <w:sz w:val="40"/>
                                <w:szCs w:val="40"/>
                              </w:rPr>
                              <w:t>Country Summary Report for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34.15pt;margin-top:9.4pt;width:532.2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" fillcolor="red" strokecolor="#1f497d [3215]" strokeweight="1pt">
                <v:textbox>
                  <w:txbxContent>
                    <w:p w:rsidR="003F7AE3" w:rsidRPr="00B35428" w:rsidRDefault="003F7AE3" w:rsidP="00B35428">
                      <w:pPr>
                        <w:pStyle w:val="NoSpacing"/>
                        <w:spacing w:before="0" w:after="0"/>
                        <w:ind w:left="0"/>
                        <w:rPr>
                          <w:color w:val="FFFFFF" w:themeColor="background1"/>
                          <w:sz w:val="40"/>
                          <w:szCs w:val="40"/>
                        </w:rPr>
                      </w:pPr>
                      <w:r w:rsidRPr="00B35428">
                        <w:rPr>
                          <w:color w:val="FFFFFF" w:themeColor="background1"/>
                          <w:sz w:val="40"/>
                          <w:szCs w:val="40"/>
                        </w:rPr>
                        <w:t>Country Summary Report for Indonesia</w:t>
                      </w:r>
                    </w:p>
                  </w:txbxContent>
                </v:textbox>
              </v:rect>
            </w:pict>
          </mc:Fallback>
        </mc:AlternateContent>
      </w:r>
    </w:p>
    <w:p w:rsidR="00104E52" w:rsidRDefault="00104E52" w:rsidP="00E4173B">
      <w:pPr>
        <w:pStyle w:val="Subtitle2"/>
      </w:pPr>
    </w:p>
    <w:p w:rsidR="00104E52" w:rsidRDefault="00104E52" w:rsidP="00E4173B">
      <w:pPr>
        <w:pStyle w:val="Subtitle2"/>
      </w:pPr>
    </w:p>
    <w:p w:rsidR="00104E52" w:rsidRDefault="00104E52" w:rsidP="00E4173B">
      <w:pPr>
        <w:pStyle w:val="Subtitle2"/>
      </w:pPr>
    </w:p>
    <w:p w:rsidR="008C6472" w:rsidRDefault="008C6472" w:rsidP="00E4173B">
      <w:pPr>
        <w:pStyle w:val="Subtitle2"/>
      </w:pPr>
    </w:p>
    <w:p w:rsidR="008C6472" w:rsidRDefault="008C6472" w:rsidP="008C6472">
      <w:pPr>
        <w:pStyle w:val="Subtitle2"/>
      </w:pPr>
      <w:proofErr w:type="spellStart"/>
      <w:r w:rsidRPr="006D4C95">
        <w:t>Puti</w:t>
      </w:r>
      <w:proofErr w:type="spellEnd"/>
      <w:r w:rsidRPr="006D4C95">
        <w:t xml:space="preserve"> </w:t>
      </w:r>
      <w:proofErr w:type="spellStart"/>
      <w:r w:rsidRPr="006D4C95">
        <w:t>Marzoeki</w:t>
      </w:r>
      <w:proofErr w:type="spellEnd"/>
      <w:r>
        <w:t>,</w:t>
      </w:r>
      <w:r w:rsidRPr="006D4C95">
        <w:t xml:space="preserve"> Ajay </w:t>
      </w:r>
      <w:proofErr w:type="spellStart"/>
      <w:r w:rsidRPr="006D4C95">
        <w:t>Tandon</w:t>
      </w:r>
      <w:proofErr w:type="spellEnd"/>
      <w:r w:rsidRPr="006D4C95">
        <w:t xml:space="preserve">, </w:t>
      </w:r>
      <w:proofErr w:type="spellStart"/>
      <w:r w:rsidRPr="006D4C95">
        <w:t>Xiaolu</w:t>
      </w:r>
      <w:proofErr w:type="spellEnd"/>
      <w:r w:rsidRPr="006D4C95">
        <w:t xml:space="preserve"> Bi, and </w:t>
      </w:r>
      <w:proofErr w:type="spellStart"/>
      <w:r w:rsidRPr="006D4C95">
        <w:t>Eko</w:t>
      </w:r>
      <w:proofErr w:type="spellEnd"/>
      <w:r w:rsidRPr="006D4C95">
        <w:t xml:space="preserve"> </w:t>
      </w:r>
      <w:proofErr w:type="spellStart"/>
      <w:r w:rsidRPr="006D4C95">
        <w:t>Setyo</w:t>
      </w:r>
      <w:proofErr w:type="spellEnd"/>
      <w:r w:rsidR="00FE4271">
        <w:t xml:space="preserve"> </w:t>
      </w:r>
      <w:proofErr w:type="spellStart"/>
      <w:r w:rsidR="00FE4271">
        <w:t>Pambudi</w:t>
      </w:r>
      <w:proofErr w:type="spellEnd"/>
    </w:p>
    <w:p w:rsidR="00D748C1" w:rsidRDefault="00D748C1" w:rsidP="00E4173B">
      <w:pPr>
        <w:pStyle w:val="Subtitle2"/>
      </w:pPr>
    </w:p>
    <w:p w:rsidR="00104E52" w:rsidRDefault="00104E52" w:rsidP="00E4173B">
      <w:pPr>
        <w:pStyle w:val="Subtitle2"/>
      </w:pPr>
    </w:p>
    <w:p w:rsidR="00104E52" w:rsidRDefault="00104E52" w:rsidP="00E4173B">
      <w:pPr>
        <w:pStyle w:val="Subtitle2"/>
      </w:pPr>
    </w:p>
    <w:p w:rsidR="00E4173B" w:rsidRPr="008C61B3" w:rsidRDefault="00E4173B" w:rsidP="00E4173B">
      <w:pPr>
        <w:pStyle w:val="Subtitle2"/>
      </w:pPr>
      <w:r w:rsidRPr="008C61B3">
        <w:t>Health, Nutrition and Population Global Practice</w:t>
      </w:r>
    </w:p>
    <w:p w:rsidR="00E4173B" w:rsidRPr="008C61B3" w:rsidRDefault="00E4173B" w:rsidP="00E4173B">
      <w:pPr>
        <w:pStyle w:val="Subtitle2"/>
      </w:pPr>
      <w:r w:rsidRPr="008C61B3">
        <w:t>World Bank Group</w:t>
      </w:r>
    </w:p>
    <w:p w:rsidR="00E4173B" w:rsidRPr="008C61B3" w:rsidRDefault="00E4173B" w:rsidP="00E4173B">
      <w:pPr>
        <w:pStyle w:val="Subtitle2"/>
      </w:pPr>
      <w:r w:rsidRPr="008C61B3">
        <w:t>August 2014</w:t>
      </w:r>
    </w:p>
    <w:p w:rsidR="000E35FE" w:rsidRDefault="000E35FE" w:rsidP="00CE0D3F"/>
    <w:p w:rsidR="004F79D5" w:rsidRPr="009020BA" w:rsidRDefault="004F79D5" w:rsidP="00CE0D3F"/>
    <w:p w:rsidR="004F79D5" w:rsidRDefault="004F79D5" w:rsidP="00CE0D3F">
      <w:pPr>
        <w:sectPr w:rsidR="004F79D5">
          <w:pgSz w:w="12240" w:h="15840"/>
          <w:pgMar w:top="1440" w:right="1440" w:bottom="1440" w:left="1440" w:header="720" w:footer="720" w:gutter="0"/>
          <w:cols w:space="720"/>
          <w:docGrid w:linePitch="360"/>
        </w:sectPr>
      </w:pPr>
    </w:p>
    <w:p w:rsidR="00CE0D3F" w:rsidRDefault="00CE0D3F" w:rsidP="00CE0D3F">
      <w:pPr>
        <w:pStyle w:val="Heading1"/>
      </w:pPr>
      <w:r>
        <w:lastRenderedPageBreak/>
        <w:t>Acronyms</w:t>
      </w:r>
    </w:p>
    <w:p w:rsidR="00CE0D3F" w:rsidRDefault="00CE0D3F" w:rsidP="000E35FE">
      <w:pPr>
        <w:ind w:left="1440" w:hanging="1440"/>
      </w:pPr>
      <w:proofErr w:type="spellStart"/>
      <w:r>
        <w:t>Askes</w:t>
      </w:r>
      <w:proofErr w:type="spellEnd"/>
      <w:r>
        <w:tab/>
        <w:t>Social health insurance for civil servants</w:t>
      </w:r>
    </w:p>
    <w:p w:rsidR="00CE0D3F" w:rsidRDefault="00CE0D3F" w:rsidP="000E35FE">
      <w:pPr>
        <w:ind w:left="1440" w:hanging="1440"/>
      </w:pPr>
      <w:proofErr w:type="spellStart"/>
      <w:r>
        <w:t>Bappenas</w:t>
      </w:r>
      <w:proofErr w:type="spellEnd"/>
      <w:r>
        <w:tab/>
        <w:t>Ministry of National Development Planning</w:t>
      </w:r>
    </w:p>
    <w:p w:rsidR="00CE0D3F" w:rsidRDefault="00CE0D3F" w:rsidP="000E35FE">
      <w:pPr>
        <w:ind w:left="1440" w:hanging="1440"/>
      </w:pPr>
      <w:r>
        <w:t>BPJS</w:t>
      </w:r>
      <w:r>
        <w:tab/>
        <w:t>Social Security Administration (</w:t>
      </w:r>
      <w:proofErr w:type="spellStart"/>
      <w:r>
        <w:t>Badan</w:t>
      </w:r>
      <w:proofErr w:type="spellEnd"/>
      <w:r>
        <w:t xml:space="preserve"> </w:t>
      </w:r>
      <w:proofErr w:type="spellStart"/>
      <w:r>
        <w:t>Penyelenggara</w:t>
      </w:r>
      <w:proofErr w:type="spellEnd"/>
      <w:r>
        <w:t xml:space="preserve"> </w:t>
      </w:r>
      <w:proofErr w:type="spellStart"/>
      <w:r>
        <w:t>Jaminan</w:t>
      </w:r>
      <w:proofErr w:type="spellEnd"/>
      <w:r>
        <w:t xml:space="preserve"> </w:t>
      </w:r>
      <w:proofErr w:type="spellStart"/>
      <w:r>
        <w:t>Sosial</w:t>
      </w:r>
      <w:proofErr w:type="spellEnd"/>
      <w:r>
        <w:t>)</w:t>
      </w:r>
    </w:p>
    <w:p w:rsidR="00CE0D3F" w:rsidRDefault="00CE0D3F" w:rsidP="000E35FE">
      <w:pPr>
        <w:ind w:left="1440" w:hanging="1440"/>
      </w:pPr>
      <w:r>
        <w:t>DALY</w:t>
      </w:r>
      <w:r>
        <w:tab/>
        <w:t>Disability Adjusted Life Years</w:t>
      </w:r>
    </w:p>
    <w:p w:rsidR="00CE0D3F" w:rsidRDefault="00CE0D3F" w:rsidP="000E35FE">
      <w:pPr>
        <w:ind w:left="1440" w:hanging="1440"/>
      </w:pPr>
      <w:r>
        <w:t>DHO</w:t>
      </w:r>
      <w:r>
        <w:tab/>
        <w:t>District Health Office</w:t>
      </w:r>
    </w:p>
    <w:p w:rsidR="00CE0D3F" w:rsidRPr="005B4CEC" w:rsidRDefault="00CE0D3F" w:rsidP="000E35FE">
      <w:pPr>
        <w:ind w:left="1440" w:hanging="1440"/>
      </w:pPr>
      <w:r w:rsidRPr="005B4CEC">
        <w:t>DRG</w:t>
      </w:r>
      <w:r w:rsidRPr="005B4CEC">
        <w:tab/>
        <w:t>Diagnostic Related Group</w:t>
      </w:r>
    </w:p>
    <w:p w:rsidR="00CE0D3F" w:rsidRPr="005B4CEC" w:rsidRDefault="00CE0D3F" w:rsidP="000E35FE">
      <w:pPr>
        <w:ind w:left="1440" w:hanging="1440"/>
      </w:pPr>
      <w:r w:rsidRPr="005B4CEC">
        <w:t>GDP</w:t>
      </w:r>
      <w:r w:rsidRPr="005B4CEC">
        <w:tab/>
        <w:t>Gross Domestic Product</w:t>
      </w:r>
    </w:p>
    <w:p w:rsidR="00CE0D3F" w:rsidRDefault="00CE0D3F" w:rsidP="000E35FE">
      <w:pPr>
        <w:ind w:left="1440" w:hanging="1440"/>
      </w:pPr>
      <w:r w:rsidRPr="005B4CEC">
        <w:t>GNI</w:t>
      </w:r>
      <w:r w:rsidRPr="005B4CEC">
        <w:tab/>
        <w:t>Gross National Income</w:t>
      </w:r>
    </w:p>
    <w:p w:rsidR="00905496" w:rsidRPr="005B4CEC" w:rsidRDefault="00905496" w:rsidP="000E35FE">
      <w:pPr>
        <w:ind w:left="1440" w:hanging="1440"/>
      </w:pPr>
      <w:r>
        <w:t>GOI</w:t>
      </w:r>
      <w:r>
        <w:tab/>
        <w:t>Government of Indonesia</w:t>
      </w:r>
    </w:p>
    <w:p w:rsidR="00CE0D3F" w:rsidRPr="005B4CEC" w:rsidRDefault="00CE0D3F" w:rsidP="000E35FE">
      <w:pPr>
        <w:ind w:left="1440" w:hanging="1440"/>
      </w:pPr>
      <w:r w:rsidRPr="005B4CEC">
        <w:t>HRH</w:t>
      </w:r>
      <w:r w:rsidRPr="005B4CEC">
        <w:tab/>
        <w:t>Human Resources for Health</w:t>
      </w:r>
    </w:p>
    <w:p w:rsidR="00CE0D3F" w:rsidRPr="005B4CEC" w:rsidRDefault="00DA63A7" w:rsidP="000E35FE">
      <w:pPr>
        <w:ind w:left="1440" w:hanging="1440"/>
      </w:pPr>
      <w:proofErr w:type="spellStart"/>
      <w:r>
        <w:t>Jamkesmas</w:t>
      </w:r>
      <w:proofErr w:type="spellEnd"/>
      <w:r w:rsidR="00CE0D3F" w:rsidRPr="005B4CEC">
        <w:tab/>
        <w:t>Government administered health program for the poor (</w:t>
      </w:r>
      <w:proofErr w:type="spellStart"/>
      <w:r w:rsidR="00CE0D3F" w:rsidRPr="005B4CEC">
        <w:t>Jaminan</w:t>
      </w:r>
      <w:proofErr w:type="spellEnd"/>
      <w:r w:rsidR="00CE0D3F" w:rsidRPr="005B4CEC">
        <w:t xml:space="preserve"> </w:t>
      </w:r>
      <w:proofErr w:type="spellStart"/>
      <w:r w:rsidR="00CE0D3F" w:rsidRPr="005B4CEC">
        <w:t>Kesehatan</w:t>
      </w:r>
      <w:proofErr w:type="spellEnd"/>
      <w:r w:rsidR="00CE0D3F" w:rsidRPr="005B4CEC">
        <w:t xml:space="preserve"> </w:t>
      </w:r>
      <w:proofErr w:type="spellStart"/>
      <w:r w:rsidR="00CE0D3F" w:rsidRPr="005B4CEC">
        <w:t>Masyarakat</w:t>
      </w:r>
      <w:proofErr w:type="spellEnd"/>
      <w:r w:rsidR="00CE0D3F" w:rsidRPr="005B4CEC">
        <w:t>)</w:t>
      </w:r>
    </w:p>
    <w:p w:rsidR="00CE0D3F" w:rsidRPr="005B4CEC" w:rsidRDefault="00CE0D3F" w:rsidP="000E35FE">
      <w:pPr>
        <w:ind w:left="1440" w:hanging="1440"/>
      </w:pPr>
      <w:proofErr w:type="spellStart"/>
      <w:r w:rsidRPr="005B4CEC">
        <w:t>Jampersal</w:t>
      </w:r>
      <w:proofErr w:type="spellEnd"/>
      <w:r w:rsidRPr="005B4CEC">
        <w:tab/>
        <w:t>Maternal health universal coverage program</w:t>
      </w:r>
    </w:p>
    <w:p w:rsidR="00CE0D3F" w:rsidRDefault="00CE0D3F" w:rsidP="000E35FE">
      <w:pPr>
        <w:ind w:left="1440" w:hanging="1440"/>
      </w:pPr>
      <w:proofErr w:type="spellStart"/>
      <w:r w:rsidRPr="005B4CEC">
        <w:t>Jamso</w:t>
      </w:r>
      <w:r w:rsidR="003F7AE3">
        <w:t>s</w:t>
      </w:r>
      <w:r w:rsidRPr="005B4CEC">
        <w:t>tek</w:t>
      </w:r>
      <w:proofErr w:type="spellEnd"/>
      <w:r w:rsidRPr="005B4CEC">
        <w:tab/>
        <w:t>Social health insurance for formal sector workers</w:t>
      </w:r>
    </w:p>
    <w:p w:rsidR="00CB0329" w:rsidRPr="005B4CEC" w:rsidRDefault="00CB0329" w:rsidP="000E35FE">
      <w:pPr>
        <w:ind w:left="1440" w:hanging="1440"/>
      </w:pPr>
      <w:r>
        <w:t>JKN</w:t>
      </w:r>
      <w:r>
        <w:tab/>
      </w:r>
      <w:r w:rsidRPr="00CB0329">
        <w:t>National Health Insurance Program, 2012–2019</w:t>
      </w:r>
      <w:r>
        <w:t xml:space="preserve"> (</w:t>
      </w:r>
      <w:proofErr w:type="spellStart"/>
      <w:r>
        <w:t>Jaminan</w:t>
      </w:r>
      <w:proofErr w:type="spellEnd"/>
      <w:r>
        <w:t xml:space="preserve"> </w:t>
      </w:r>
      <w:proofErr w:type="spellStart"/>
      <w:r>
        <w:t>Kesehatan</w:t>
      </w:r>
      <w:proofErr w:type="spellEnd"/>
      <w:r>
        <w:t xml:space="preserve"> </w:t>
      </w:r>
      <w:proofErr w:type="spellStart"/>
      <w:r>
        <w:t>Nasional</w:t>
      </w:r>
      <w:proofErr w:type="spellEnd"/>
      <w:r w:rsidRPr="00CB0329">
        <w:t>)</w:t>
      </w:r>
      <w:r>
        <w:t xml:space="preserve"> </w:t>
      </w:r>
    </w:p>
    <w:p w:rsidR="00CE0D3F" w:rsidRPr="005B4CEC" w:rsidRDefault="00CE0D3F" w:rsidP="000E35FE">
      <w:pPr>
        <w:ind w:left="1440" w:hanging="1440"/>
      </w:pPr>
      <w:r w:rsidRPr="005B4CEC">
        <w:t>MDG</w:t>
      </w:r>
      <w:r w:rsidRPr="005B4CEC">
        <w:tab/>
        <w:t>Millennium Development Goals</w:t>
      </w:r>
    </w:p>
    <w:p w:rsidR="00CE0D3F" w:rsidRPr="005B4CEC" w:rsidRDefault="00CE0D3F" w:rsidP="000E35FE">
      <w:pPr>
        <w:ind w:left="1440" w:hanging="1440"/>
      </w:pPr>
      <w:r w:rsidRPr="005B4CEC">
        <w:t>MOH</w:t>
      </w:r>
      <w:r w:rsidRPr="005B4CEC">
        <w:tab/>
        <w:t>Ministry of Health</w:t>
      </w:r>
    </w:p>
    <w:p w:rsidR="00CE0D3F" w:rsidRPr="005B4CEC" w:rsidRDefault="00CE0D3F" w:rsidP="000E35FE">
      <w:pPr>
        <w:ind w:left="1440" w:hanging="1440"/>
      </w:pPr>
      <w:r w:rsidRPr="005B4CEC">
        <w:t>NGO</w:t>
      </w:r>
      <w:r w:rsidRPr="005B4CEC">
        <w:tab/>
        <w:t>Non-governmental organization</w:t>
      </w:r>
    </w:p>
    <w:p w:rsidR="00CE0D3F" w:rsidRPr="005B4CEC" w:rsidRDefault="00CE0D3F" w:rsidP="000E35FE">
      <w:pPr>
        <w:ind w:left="1440" w:hanging="1440"/>
      </w:pPr>
      <w:r w:rsidRPr="005B4CEC">
        <w:t>OOP</w:t>
      </w:r>
      <w:r w:rsidRPr="005B4CEC">
        <w:tab/>
        <w:t>Out of pocket health spending</w:t>
      </w:r>
    </w:p>
    <w:p w:rsidR="00DA63A7" w:rsidRDefault="00DA63A7" w:rsidP="000E35FE">
      <w:pPr>
        <w:ind w:left="1440" w:hanging="1440"/>
      </w:pPr>
      <w:r>
        <w:t>PBI</w:t>
      </w:r>
      <w:r>
        <w:tab/>
        <w:t xml:space="preserve">Health insurance subsidies </w:t>
      </w:r>
      <w:r w:rsidRPr="00DA63A7">
        <w:t>paid by the government</w:t>
      </w:r>
      <w:r>
        <w:t xml:space="preserve"> for the poor and near-</w:t>
      </w:r>
      <w:r w:rsidRPr="00DA63A7">
        <w:t>poor</w:t>
      </w:r>
    </w:p>
    <w:p w:rsidR="00CE0D3F" w:rsidRPr="005B4CEC" w:rsidRDefault="00CE0D3F" w:rsidP="000E35FE">
      <w:pPr>
        <w:ind w:left="1440" w:hanging="1440"/>
      </w:pPr>
      <w:r w:rsidRPr="005B4CEC">
        <w:t>PPP</w:t>
      </w:r>
      <w:r w:rsidRPr="005B4CEC">
        <w:tab/>
        <w:t>Purchasing power parity</w:t>
      </w:r>
    </w:p>
    <w:p w:rsidR="00CE0D3F" w:rsidRPr="005B4CEC" w:rsidRDefault="00CE0D3F" w:rsidP="000E35FE">
      <w:pPr>
        <w:ind w:left="1440" w:hanging="1440"/>
      </w:pPr>
      <w:r w:rsidRPr="005B4CEC">
        <w:t>PTT</w:t>
      </w:r>
      <w:r w:rsidRPr="005B4CEC">
        <w:tab/>
      </w:r>
      <w:proofErr w:type="spellStart"/>
      <w:r w:rsidRPr="005B4CEC">
        <w:t>Pegawai</w:t>
      </w:r>
      <w:proofErr w:type="spellEnd"/>
      <w:r w:rsidRPr="005B4CEC">
        <w:t xml:space="preserve"> </w:t>
      </w:r>
      <w:proofErr w:type="spellStart"/>
      <w:r w:rsidRPr="005B4CEC">
        <w:t>Tidak</w:t>
      </w:r>
      <w:proofErr w:type="spellEnd"/>
      <w:r w:rsidRPr="005B4CEC">
        <w:t xml:space="preserve"> </w:t>
      </w:r>
      <w:proofErr w:type="spellStart"/>
      <w:r w:rsidRPr="005B4CEC">
        <w:t>Tetap</w:t>
      </w:r>
      <w:proofErr w:type="spellEnd"/>
    </w:p>
    <w:p w:rsidR="00CE0D3F" w:rsidRPr="005B4CEC" w:rsidRDefault="00CE0D3F" w:rsidP="000E35FE">
      <w:pPr>
        <w:ind w:left="1440" w:hanging="1440"/>
      </w:pPr>
      <w:proofErr w:type="spellStart"/>
      <w:r w:rsidRPr="005B4CEC">
        <w:t>Susenas</w:t>
      </w:r>
      <w:proofErr w:type="spellEnd"/>
      <w:r w:rsidRPr="005B4CEC">
        <w:tab/>
        <w:t>National Socioeconomic Survey</w:t>
      </w:r>
    </w:p>
    <w:p w:rsidR="00CE0D3F" w:rsidRPr="005B4CEC" w:rsidRDefault="00CE0D3F" w:rsidP="000E35FE">
      <w:pPr>
        <w:ind w:left="1440" w:hanging="1440"/>
      </w:pPr>
      <w:r w:rsidRPr="005B4CEC">
        <w:t>THE</w:t>
      </w:r>
      <w:r w:rsidRPr="005B4CEC">
        <w:tab/>
        <w:t>Total Health Expenditure</w:t>
      </w:r>
    </w:p>
    <w:p w:rsidR="00CE0D3F" w:rsidRPr="005B4CEC" w:rsidRDefault="00CE0D3F" w:rsidP="000E35FE">
      <w:pPr>
        <w:ind w:left="1440" w:hanging="1440"/>
      </w:pPr>
      <w:r w:rsidRPr="005B4CEC">
        <w:t xml:space="preserve">UHC </w:t>
      </w:r>
      <w:r w:rsidRPr="005B4CEC">
        <w:tab/>
        <w:t>Universal Health Coverage</w:t>
      </w:r>
    </w:p>
    <w:p w:rsidR="00CE0D3F" w:rsidRPr="005B4CEC" w:rsidRDefault="00CE0D3F" w:rsidP="000E35FE">
      <w:pPr>
        <w:ind w:left="1440" w:hanging="1440"/>
      </w:pPr>
      <w:proofErr w:type="gramStart"/>
      <w:r w:rsidRPr="005B4CEC">
        <w:t>WHO</w:t>
      </w:r>
      <w:proofErr w:type="gramEnd"/>
      <w:r w:rsidRPr="005B4CEC">
        <w:tab/>
        <w:t>World Health Organization</w:t>
      </w:r>
    </w:p>
    <w:p w:rsidR="00CE0D3F" w:rsidRPr="009020BA" w:rsidRDefault="00CE0D3F" w:rsidP="00CE0D3F"/>
    <w:p w:rsidR="00CE0D3F" w:rsidRPr="00D753EE" w:rsidRDefault="00CE0D3F" w:rsidP="00CE0D3F">
      <w:pPr>
        <w:rPr>
          <w:lang w:eastAsia="ja-JP"/>
        </w:rPr>
      </w:pPr>
      <w:r w:rsidRPr="00D753EE">
        <w:br w:type="page"/>
      </w:r>
    </w:p>
    <w:p w:rsidR="00CE0D3F" w:rsidRPr="009E5E77" w:rsidRDefault="00CE0D3F" w:rsidP="00CE0D3F">
      <w:pPr>
        <w:pStyle w:val="Heading1"/>
      </w:pPr>
      <w:r w:rsidRPr="009E5E77">
        <w:lastRenderedPageBreak/>
        <w:t>Preface</w:t>
      </w:r>
    </w:p>
    <w:p w:rsidR="00CE0D3F" w:rsidRDefault="00CE0D3F" w:rsidP="008B1F14">
      <w:pPr>
        <w:pStyle w:val="BodyText0"/>
        <w:jc w:val="both"/>
      </w:pPr>
      <w:r>
        <w:t xml:space="preserve">In 2011, Japan celebrated the </w:t>
      </w:r>
      <w:r w:rsidRPr="00192592">
        <w:t>50</w:t>
      </w:r>
      <w:r w:rsidRPr="00192592">
        <w:rPr>
          <w:vertAlign w:val="superscript"/>
        </w:rPr>
        <w:t>th</w:t>
      </w:r>
      <w:r w:rsidRPr="00192592">
        <w:t xml:space="preserve"> anniversary of achiev</w:t>
      </w:r>
      <w:r>
        <w:t>ing</w:t>
      </w:r>
      <w:r w:rsidRPr="00192592">
        <w:t xml:space="preserve"> </w:t>
      </w:r>
      <w:r w:rsidRPr="00B7398D">
        <w:t xml:space="preserve">universal health coverage </w:t>
      </w:r>
      <w:r>
        <w:t xml:space="preserve">(UHC). To mark the occasion, the government of Japan and the World Bank conceived the idea of undertaking a </w:t>
      </w:r>
      <w:proofErr w:type="spellStart"/>
      <w:r>
        <w:t>multicountry</w:t>
      </w:r>
      <w:proofErr w:type="spellEnd"/>
      <w:r>
        <w:t xml:space="preserve"> study to respond to this growing demand by sharing rich and varied country experiences from countries at different stages of adopting and implementing strategies for UHC, including Japan itself. This led to the formation of a joint Japan–World Bank research team under The </w:t>
      </w:r>
      <w:r w:rsidRPr="00934290">
        <w:t>Japan</w:t>
      </w:r>
      <w:r>
        <w:t>–</w:t>
      </w:r>
      <w:r w:rsidRPr="00934290">
        <w:t xml:space="preserve">World Bank Partnership Program </w:t>
      </w:r>
      <w:r>
        <w:t xml:space="preserve">for </w:t>
      </w:r>
      <w:r w:rsidRPr="00934290">
        <w:t>Universal Health Coverage</w:t>
      </w:r>
      <w:r>
        <w:t xml:space="preserve">. The Program was set up as a two-year </w:t>
      </w:r>
      <w:proofErr w:type="spellStart"/>
      <w:r>
        <w:t>multicountry</w:t>
      </w:r>
      <w:proofErr w:type="spellEnd"/>
      <w:r>
        <w:t xml:space="preserve"> study to help fill the gap in knowledge about the policy decisions and implementation processes that countries undertake when they adopt the UHC goals. The Program was funded through the generous support of the Government of Japan. </w:t>
      </w:r>
    </w:p>
    <w:p w:rsidR="00CE0D3F" w:rsidRDefault="00CE0D3F" w:rsidP="008B1F14">
      <w:pPr>
        <w:pStyle w:val="BodyText0"/>
        <w:jc w:val="both"/>
        <w:rPr>
          <w:color w:val="1F497D" w:themeColor="text2"/>
        </w:rPr>
      </w:pPr>
      <w:r>
        <w:t>This C</w:t>
      </w:r>
      <w:r w:rsidRPr="009E5E77">
        <w:t xml:space="preserve">ountry </w:t>
      </w:r>
      <w:r>
        <w:t xml:space="preserve">Summary Report on Indonesia is one of the </w:t>
      </w:r>
      <w:r w:rsidRPr="009E5E77">
        <w:t xml:space="preserve">11 country studies on </w:t>
      </w:r>
      <w:r>
        <w:t xml:space="preserve">UHC that was commissioned under the Japan–World Bank Partnership Program. The other participating countries are </w:t>
      </w:r>
      <w:r w:rsidRPr="009E5E77">
        <w:t>Bangladesh, Brazil, Ethiopia, France, Ghana, Japan, Peru, Thailand, Turkey, and Vietnam.</w:t>
      </w:r>
      <w:r>
        <w:t xml:space="preserve"> A synthesis of these country reports is in the publication “Universal Health Coverage for Inclusive and Sustainable Development: A Synthesis of 11 Country Case Studies,” available at</w:t>
      </w:r>
      <w:r w:rsidRPr="004072CC">
        <w:rPr>
          <w:color w:val="1F497D" w:themeColor="text2"/>
        </w:rPr>
        <w:t>:</w:t>
      </w:r>
    </w:p>
    <w:p w:rsidR="00CE0D3F" w:rsidRDefault="00CE0D3F" w:rsidP="008B1F14">
      <w:pPr>
        <w:pStyle w:val="BodyText0"/>
        <w:jc w:val="both"/>
      </w:pPr>
      <w:r w:rsidRPr="00AE7836">
        <w:t>http://www.worldbank.org/en/topic/health/brief/uhc-japan.</w:t>
      </w:r>
      <w:r>
        <w:t xml:space="preserve"> </w:t>
      </w:r>
    </w:p>
    <w:p w:rsidR="00CE0D3F" w:rsidRDefault="00CE0D3F" w:rsidP="008B1F14">
      <w:pPr>
        <w:pStyle w:val="BodyText0"/>
        <w:jc w:val="both"/>
      </w:pPr>
      <w:r>
        <w:t xml:space="preserve">These reports are intended to provide an overview of the country experiences and some key </w:t>
      </w:r>
      <w:r w:rsidRPr="009E5E77">
        <w:t xml:space="preserve">lessons that </w:t>
      </w:r>
      <w:r>
        <w:t xml:space="preserve">may </w:t>
      </w:r>
      <w:r w:rsidRPr="009E5E77">
        <w:t xml:space="preserve">be </w:t>
      </w:r>
      <w:r>
        <w:t xml:space="preserve">shared with other countries </w:t>
      </w:r>
      <w:r w:rsidRPr="009E5E77">
        <w:t>aspiring to a</w:t>
      </w:r>
      <w:r>
        <w:t>dopt, achieve, and sustain UHC</w:t>
      </w:r>
      <w:r w:rsidRPr="009E5E77">
        <w:t>.</w:t>
      </w:r>
      <w:r>
        <w:t xml:space="preserve"> </w:t>
      </w:r>
      <w:r w:rsidRPr="009E5E77">
        <w:t>The goals of UHC are to ensure that all people can access quality health services, to safeguard all people from public health risks, and to protect all people from impoverishment due to illness</w:t>
      </w:r>
      <w:r>
        <w:t xml:space="preserve">, </w:t>
      </w:r>
      <w:r w:rsidRPr="009E5E77">
        <w:t>whether from out-of-pocket payments or loss of income when a household member falls sick.</w:t>
      </w:r>
      <w:r>
        <w:t xml:space="preserve"> </w:t>
      </w:r>
      <w:r w:rsidRPr="009E5E77">
        <w:t xml:space="preserve">Although the path to UHC is specific to each country, </w:t>
      </w:r>
      <w:r>
        <w:t xml:space="preserve">it is hoped that </w:t>
      </w:r>
      <w:r w:rsidRPr="009E5E77">
        <w:t xml:space="preserve">countries can benefit from the experiences of others </w:t>
      </w:r>
      <w:r>
        <w:t xml:space="preserve">in </w:t>
      </w:r>
      <w:r w:rsidRPr="009E5E77">
        <w:t xml:space="preserve">learning about different approaches </w:t>
      </w:r>
      <w:r>
        <w:t xml:space="preserve">and </w:t>
      </w:r>
      <w:r w:rsidRPr="009E5E77">
        <w:t xml:space="preserve">avoiding potential risks. </w:t>
      </w:r>
    </w:p>
    <w:p w:rsidR="00CE0D3F" w:rsidRDefault="00CE0D3F" w:rsidP="00CE0D3F">
      <w:pPr>
        <w:rPr>
          <w:rFonts w:asciiTheme="minorHAnsi" w:hAnsiTheme="minorHAnsi" w:cstheme="minorBidi"/>
          <w:lang w:eastAsia="ja-JP"/>
        </w:rPr>
      </w:pPr>
      <w:r>
        <w:br w:type="page"/>
      </w:r>
    </w:p>
    <w:p w:rsidR="00CE0D3F" w:rsidRPr="009E5E77" w:rsidRDefault="00CE0D3F" w:rsidP="00CE0D3F">
      <w:pPr>
        <w:pStyle w:val="Heading1"/>
      </w:pPr>
      <w:r w:rsidRPr="009E5E77">
        <w:lastRenderedPageBreak/>
        <w:t>Acknowledgments</w:t>
      </w:r>
    </w:p>
    <w:p w:rsidR="00CE0D3F" w:rsidRDefault="00CE0D3F" w:rsidP="00CE0D3F">
      <w:pPr>
        <w:pStyle w:val="FootnoteText"/>
      </w:pPr>
    </w:p>
    <w:p w:rsidR="00CE0D3F" w:rsidRPr="00E4173B" w:rsidRDefault="00CE0D3F" w:rsidP="00E4173B">
      <w:pPr>
        <w:pStyle w:val="Bodytext"/>
        <w:jc w:val="both"/>
      </w:pPr>
      <w:r>
        <w:t>T</w:t>
      </w:r>
      <w:r w:rsidRPr="00E4173B">
        <w:t xml:space="preserve">his study was supported through the PHRD Grant (Japan) as a joint Partnership Program between the government of Japan and the World Bank. The Program was steered by the Program Coordination Committee, co-chaired by </w:t>
      </w:r>
      <w:proofErr w:type="spellStart"/>
      <w:r w:rsidRPr="00E4173B">
        <w:t>Keizo</w:t>
      </w:r>
      <w:proofErr w:type="spellEnd"/>
      <w:r w:rsidRPr="00E4173B">
        <w:t xml:space="preserve"> </w:t>
      </w:r>
      <w:proofErr w:type="spellStart"/>
      <w:r w:rsidRPr="00E4173B">
        <w:t>Takemi</w:t>
      </w:r>
      <w:proofErr w:type="spellEnd"/>
      <w:r w:rsidRPr="00E4173B">
        <w:t xml:space="preserve">, Member of the House of Councilors of the National Diet of Japan, and Timothy Grant Evans, Director of Health, Nutrition and Population Network of the World Bank. </w:t>
      </w:r>
    </w:p>
    <w:p w:rsidR="00CE0D3F" w:rsidRPr="00E4173B" w:rsidRDefault="00CE0D3F" w:rsidP="00E4173B">
      <w:pPr>
        <w:pStyle w:val="Bodytext"/>
        <w:jc w:val="both"/>
      </w:pPr>
      <w:r w:rsidRPr="00E4173B">
        <w:t xml:space="preserve">The Program was led by a team comprising Akiko Maeda, Lead Health Specialist and Task Team Leader for the World Bank, and co-Team Leaders, Professor Naoki Ikegami, Department of Health Policy and Management, Keio University School of Medicine and Professor Michael Reich, Taro </w:t>
      </w:r>
      <w:proofErr w:type="spellStart"/>
      <w:r w:rsidRPr="00E4173B">
        <w:t>Takemi</w:t>
      </w:r>
      <w:proofErr w:type="spellEnd"/>
      <w:r w:rsidRPr="00E4173B">
        <w:t xml:space="preserve"> Professor of International Health Policy, Harvard School of Public Health.</w:t>
      </w:r>
    </w:p>
    <w:p w:rsidR="00CE0D3F" w:rsidRPr="00E4173B" w:rsidRDefault="00CE0D3F" w:rsidP="00E4173B">
      <w:pPr>
        <w:pStyle w:val="Bodytext"/>
        <w:jc w:val="both"/>
      </w:pPr>
      <w:r w:rsidRPr="00E4173B">
        <w:t xml:space="preserve">This Country Summary Report was prepared by a World Bank team comprising </w:t>
      </w:r>
      <w:proofErr w:type="spellStart"/>
      <w:r w:rsidRPr="00E4173B">
        <w:t>Puti</w:t>
      </w:r>
      <w:proofErr w:type="spellEnd"/>
      <w:r w:rsidRPr="00E4173B">
        <w:t xml:space="preserve"> </w:t>
      </w:r>
      <w:proofErr w:type="spellStart"/>
      <w:r w:rsidRPr="00E4173B">
        <w:t>Marzoeki</w:t>
      </w:r>
      <w:proofErr w:type="spellEnd"/>
      <w:r w:rsidRPr="00E4173B">
        <w:t xml:space="preserve">, Senior Health Specialist; Ajay </w:t>
      </w:r>
      <w:proofErr w:type="spellStart"/>
      <w:r w:rsidRPr="00E4173B">
        <w:t>Tandon</w:t>
      </w:r>
      <w:proofErr w:type="spellEnd"/>
      <w:r w:rsidRPr="00E4173B">
        <w:t xml:space="preserve">, Senior Health Economist, </w:t>
      </w:r>
      <w:proofErr w:type="spellStart"/>
      <w:r w:rsidRPr="00E4173B">
        <w:t>Xiaolu</w:t>
      </w:r>
      <w:proofErr w:type="spellEnd"/>
      <w:r w:rsidRPr="00E4173B">
        <w:t xml:space="preserve"> Bi, Junior Professional Associate, and </w:t>
      </w:r>
      <w:proofErr w:type="spellStart"/>
      <w:r w:rsidRPr="00E4173B">
        <w:t>Eko</w:t>
      </w:r>
      <w:proofErr w:type="spellEnd"/>
      <w:r w:rsidRPr="00E4173B">
        <w:t xml:space="preserve"> </w:t>
      </w:r>
      <w:proofErr w:type="spellStart"/>
      <w:r w:rsidRPr="00E4173B">
        <w:t>Setyo</w:t>
      </w:r>
      <w:proofErr w:type="spellEnd"/>
      <w:r w:rsidRPr="00E4173B">
        <w:t xml:space="preserve"> </w:t>
      </w:r>
      <w:proofErr w:type="spellStart"/>
      <w:r w:rsidRPr="00E4173B">
        <w:t>Pambudi</w:t>
      </w:r>
      <w:proofErr w:type="spellEnd"/>
      <w:r w:rsidRPr="00E4173B">
        <w:t xml:space="preserve">, Research Analyst. The report was prepared in consultation with the Ministry of Health, Indonesia, especially the Vice Minister of Health, Professor Ali </w:t>
      </w:r>
      <w:proofErr w:type="spellStart"/>
      <w:r w:rsidRPr="00E4173B">
        <w:t>Ghufron</w:t>
      </w:r>
      <w:proofErr w:type="spellEnd"/>
      <w:r w:rsidRPr="00E4173B">
        <w:t xml:space="preserve"> </w:t>
      </w:r>
      <w:proofErr w:type="spellStart"/>
      <w:r w:rsidRPr="00E4173B">
        <w:t>Mukti</w:t>
      </w:r>
      <w:proofErr w:type="spellEnd"/>
      <w:r w:rsidRPr="00E4173B">
        <w:t xml:space="preserve"> and the Chairman of the Human Resources for Health Board, Dr. </w:t>
      </w:r>
      <w:proofErr w:type="spellStart"/>
      <w:r w:rsidRPr="00E4173B">
        <w:t>Untung</w:t>
      </w:r>
      <w:proofErr w:type="spellEnd"/>
      <w:r w:rsidRPr="00E4173B">
        <w:t xml:space="preserve"> </w:t>
      </w:r>
      <w:proofErr w:type="spellStart"/>
      <w:r w:rsidRPr="00E4173B">
        <w:t>Suseno</w:t>
      </w:r>
      <w:proofErr w:type="spellEnd"/>
      <w:r w:rsidRPr="00E4173B">
        <w:t xml:space="preserve">. </w:t>
      </w:r>
    </w:p>
    <w:p w:rsidR="00CE0D3F" w:rsidRPr="00E4173B" w:rsidRDefault="00CE0D3F" w:rsidP="00E4173B">
      <w:pPr>
        <w:pStyle w:val="Bodytext"/>
        <w:jc w:val="both"/>
      </w:pPr>
      <w:r w:rsidRPr="00E4173B">
        <w:t xml:space="preserve">The report incorporates information from a background study on Human Resources for Health conducted by the Center for Health Services Management, </w:t>
      </w:r>
      <w:proofErr w:type="spellStart"/>
      <w:r w:rsidRPr="00E4173B">
        <w:t>Gadjah</w:t>
      </w:r>
      <w:proofErr w:type="spellEnd"/>
      <w:r w:rsidRPr="00E4173B">
        <w:t xml:space="preserve"> </w:t>
      </w:r>
      <w:proofErr w:type="spellStart"/>
      <w:r w:rsidRPr="00E4173B">
        <w:t>Mada</w:t>
      </w:r>
      <w:proofErr w:type="spellEnd"/>
      <w:r w:rsidRPr="00E4173B">
        <w:t xml:space="preserve"> University under the leadership of Dr. </w:t>
      </w:r>
      <w:proofErr w:type="spellStart"/>
      <w:r w:rsidRPr="00E4173B">
        <w:t>Andreasta</w:t>
      </w:r>
      <w:proofErr w:type="spellEnd"/>
      <w:r w:rsidRPr="00E4173B">
        <w:t xml:space="preserve"> </w:t>
      </w:r>
      <w:proofErr w:type="spellStart"/>
      <w:r w:rsidRPr="00E4173B">
        <w:t>Meliala</w:t>
      </w:r>
      <w:proofErr w:type="spellEnd"/>
      <w:r w:rsidRPr="00E4173B">
        <w:t xml:space="preserve">; and a </w:t>
      </w:r>
      <w:proofErr w:type="spellStart"/>
      <w:r w:rsidRPr="00E4173B">
        <w:t>Jampersal</w:t>
      </w:r>
      <w:proofErr w:type="spellEnd"/>
      <w:r w:rsidRPr="00E4173B">
        <w:t xml:space="preserve"> (maternal health universal coverage) study conducted by the Center for Family Welfare, University of Indonesia. Dana de </w:t>
      </w:r>
      <w:proofErr w:type="spellStart"/>
      <w:r w:rsidRPr="00E4173B">
        <w:t>Ruiter</w:t>
      </w:r>
      <w:proofErr w:type="spellEnd"/>
      <w:r w:rsidRPr="00E4173B">
        <w:t xml:space="preserve"> and Ian Anderson prepared the early drafts. The authors would also like to acknowledge the guidance and comments received from Darren </w:t>
      </w:r>
      <w:proofErr w:type="spellStart"/>
      <w:r w:rsidRPr="00E4173B">
        <w:t>Dorkin</w:t>
      </w:r>
      <w:proofErr w:type="spellEnd"/>
      <w:r w:rsidRPr="00E4173B">
        <w:t xml:space="preserve"> and </w:t>
      </w:r>
      <w:proofErr w:type="spellStart"/>
      <w:r w:rsidRPr="00E4173B">
        <w:t>Pandu</w:t>
      </w:r>
      <w:proofErr w:type="spellEnd"/>
      <w:r w:rsidRPr="00E4173B">
        <w:t xml:space="preserve"> </w:t>
      </w:r>
      <w:proofErr w:type="spellStart"/>
      <w:r w:rsidRPr="00E4173B">
        <w:t>Harimurti</w:t>
      </w:r>
      <w:proofErr w:type="spellEnd"/>
      <w:r w:rsidRPr="00E4173B">
        <w:t xml:space="preserve">, World Bank Group. </w:t>
      </w:r>
    </w:p>
    <w:p w:rsidR="00CE0D3F" w:rsidRPr="00E4173B" w:rsidRDefault="00CE0D3F" w:rsidP="00E4173B">
      <w:pPr>
        <w:pStyle w:val="Bodytext"/>
        <w:jc w:val="both"/>
      </w:pPr>
      <w:r w:rsidRPr="00E4173B">
        <w:t xml:space="preserve">The report was edited by Jonathan Aspin. </w:t>
      </w:r>
    </w:p>
    <w:p w:rsidR="005B4CEC" w:rsidRDefault="005B4CEC" w:rsidP="00E4173B">
      <w:pPr>
        <w:pStyle w:val="Bodytext"/>
        <w:jc w:val="both"/>
      </w:pPr>
    </w:p>
    <w:p w:rsidR="00E4173B" w:rsidRPr="00AB5522" w:rsidRDefault="00E4173B" w:rsidP="00E4173B">
      <w:pPr>
        <w:pStyle w:val="BankNormal"/>
      </w:pPr>
      <w:r w:rsidRPr="00490D8A">
        <w:rPr>
          <w:rFonts w:cs="Arial"/>
          <w:b/>
          <w:bCs/>
          <w:color w:val="000000" w:themeColor="text1"/>
          <w:szCs w:val="24"/>
        </w:rPr>
        <w:t>Disclaimer</w:t>
      </w:r>
      <w:r w:rsidRPr="00490D8A">
        <w:rPr>
          <w:color w:val="000000" w:themeColor="text1"/>
        </w:rPr>
        <w:t xml:space="preserve">:  </w:t>
      </w:r>
      <w:r w:rsidRPr="00AB5522">
        <w:t xml:space="preserve">The findings, interpretations </w:t>
      </w:r>
      <w:r>
        <w:t>and conclusions expressed in this work</w:t>
      </w:r>
      <w:r w:rsidRPr="00AB5522">
        <w:t xml:space="preserve"> are entirely those of the authors, and do not </w:t>
      </w:r>
      <w:r>
        <w:t>necessarily reflect the views of The World Bank Group, its Board of Executive Directors, or the governments they represent.</w:t>
      </w:r>
    </w:p>
    <w:p w:rsidR="00E4173B" w:rsidRPr="00E4173B" w:rsidRDefault="00E4173B" w:rsidP="00E4173B">
      <w:pPr>
        <w:pStyle w:val="Bodytext"/>
        <w:jc w:val="both"/>
      </w:pPr>
    </w:p>
    <w:p w:rsidR="005B4CEC" w:rsidRDefault="005B4CEC" w:rsidP="00CE0D3F">
      <w:pPr>
        <w:rPr>
          <w:lang w:eastAsia="ja-JP"/>
        </w:rPr>
      </w:pPr>
    </w:p>
    <w:p w:rsidR="005B4CEC" w:rsidRDefault="005B4CEC" w:rsidP="00CE0D3F">
      <w:pPr>
        <w:rPr>
          <w:lang w:eastAsia="ja-JP"/>
        </w:rPr>
        <w:sectPr w:rsidR="005B4CEC" w:rsidSect="0014227A">
          <w:footerReference w:type="default" r:id="rId9"/>
          <w:pgSz w:w="12240" w:h="15840"/>
          <w:pgMar w:top="1440" w:right="1440" w:bottom="1440" w:left="1440" w:header="720" w:footer="720" w:gutter="0"/>
          <w:pgNumType w:fmt="lowerRoman" w:start="1"/>
          <w:cols w:space="720"/>
          <w:docGrid w:linePitch="360"/>
        </w:sectPr>
      </w:pPr>
    </w:p>
    <w:p w:rsidR="00CE0D3F" w:rsidRPr="006E272A" w:rsidRDefault="00CE0D3F" w:rsidP="00E4173B">
      <w:pPr>
        <w:pStyle w:val="Subtitle2"/>
      </w:pPr>
      <w:r w:rsidRPr="00E4173B">
        <w:lastRenderedPageBreak/>
        <w:t>Country</w:t>
      </w:r>
      <w:r w:rsidRPr="006E272A">
        <w:t xml:space="preserve"> Summary Report for Indonesia</w:t>
      </w:r>
    </w:p>
    <w:p w:rsidR="00CE0D3F" w:rsidRPr="00E4173B" w:rsidRDefault="00CE0D3F" w:rsidP="00E4173B">
      <w:pPr>
        <w:pStyle w:val="Heading1"/>
      </w:pPr>
      <w:r w:rsidRPr="001B51D1">
        <w:rPr>
          <w:lang w:eastAsia="ja-JP"/>
        </w:rPr>
        <w:t>Overview</w:t>
      </w:r>
    </w:p>
    <w:p w:rsidR="00CE0D3F" w:rsidRDefault="00CE0D3F" w:rsidP="00E4173B">
      <w:pPr>
        <w:pStyle w:val="BodyText0"/>
        <w:jc w:val="both"/>
        <w:rPr>
          <w:lang w:eastAsia="ja-JP"/>
        </w:rPr>
      </w:pPr>
      <w:r w:rsidRPr="001B51D1">
        <w:rPr>
          <w:lang w:eastAsia="ja-JP"/>
        </w:rPr>
        <w:t>Indonesia, a low-middle income country of around 242 million people, has made impressive gains in health over the past few decades, notably in increased life expectancy and reduced infant and child mortality rates. There has been less progress in improving maternal mortality and malnutrition. Inequities among geographic areas and income levels are large, presenting a major challenge to the health care system. Demographic and epidemiological transitions have affected the disease burden: disability-adjusted life-years (DALYs) due to cerebrovascular disease, cardiovascular diseases, diabetes, and lung cancer have increased by 80</w:t>
      </w:r>
      <w:r w:rsidRPr="001B51D1">
        <w:rPr>
          <w:rFonts w:ascii="Courier New" w:hAnsi="Courier New" w:cs="Courier New"/>
          <w:lang w:eastAsia="ja-JP"/>
        </w:rPr>
        <w:t> </w:t>
      </w:r>
      <w:r w:rsidRPr="001B51D1">
        <w:rPr>
          <w:lang w:eastAsia="ja-JP"/>
        </w:rPr>
        <w:t>percent or more during 1990</w:t>
      </w:r>
      <w:r w:rsidRPr="001B51D1">
        <w:rPr>
          <w:rFonts w:cs="Andes"/>
          <w:lang w:eastAsia="ja-JP"/>
        </w:rPr>
        <w:t>–</w:t>
      </w:r>
      <w:r w:rsidRPr="001B51D1">
        <w:rPr>
          <w:lang w:eastAsia="ja-JP"/>
        </w:rPr>
        <w:t xml:space="preserve">2010. The central government has committed to achieving universal health coverage (UHC) by 2019 as projected in the Road Map of the </w:t>
      </w:r>
      <w:proofErr w:type="spellStart"/>
      <w:r w:rsidRPr="003D7B61">
        <w:rPr>
          <w:lang w:eastAsia="ja-JP"/>
        </w:rPr>
        <w:t>Jaminan</w:t>
      </w:r>
      <w:proofErr w:type="spellEnd"/>
      <w:r w:rsidRPr="003D7B61">
        <w:rPr>
          <w:lang w:eastAsia="ja-JP"/>
        </w:rPr>
        <w:t xml:space="preserve"> </w:t>
      </w:r>
      <w:proofErr w:type="spellStart"/>
      <w:r w:rsidRPr="003D7B61">
        <w:rPr>
          <w:lang w:eastAsia="ja-JP"/>
        </w:rPr>
        <w:t>Kesehatan</w:t>
      </w:r>
      <w:proofErr w:type="spellEnd"/>
      <w:r w:rsidRPr="003D7B61">
        <w:rPr>
          <w:lang w:eastAsia="ja-JP"/>
        </w:rPr>
        <w:t xml:space="preserve"> </w:t>
      </w:r>
      <w:proofErr w:type="spellStart"/>
      <w:r w:rsidRPr="003D7B61">
        <w:rPr>
          <w:lang w:eastAsia="ja-JP"/>
        </w:rPr>
        <w:t>Nasional</w:t>
      </w:r>
      <w:proofErr w:type="spellEnd"/>
      <w:r w:rsidRPr="003D7B61">
        <w:rPr>
          <w:lang w:eastAsia="ja-JP"/>
        </w:rPr>
        <w:t xml:space="preserve"> </w:t>
      </w:r>
      <w:r w:rsidRPr="001B51D1">
        <w:rPr>
          <w:lang w:eastAsia="ja-JP"/>
        </w:rPr>
        <w:t xml:space="preserve">(JKN), or </w:t>
      </w:r>
      <w:r w:rsidRPr="003D7B61">
        <w:rPr>
          <w:lang w:eastAsia="ja-JP"/>
        </w:rPr>
        <w:t>National Health Insurance Program</w:t>
      </w:r>
      <w:r>
        <w:rPr>
          <w:lang w:eastAsia="ja-JP"/>
        </w:rPr>
        <w:t>,</w:t>
      </w:r>
      <w:r w:rsidRPr="003D7B61">
        <w:rPr>
          <w:lang w:eastAsia="ja-JP"/>
        </w:rPr>
        <w:t xml:space="preserve"> </w:t>
      </w:r>
      <w:r w:rsidRPr="001B51D1">
        <w:rPr>
          <w:lang w:eastAsia="ja-JP"/>
        </w:rPr>
        <w:t>2012–2019.</w:t>
      </w:r>
    </w:p>
    <w:p w:rsidR="00CE0D3F" w:rsidRPr="00450413" w:rsidRDefault="00CE0D3F" w:rsidP="003456C4">
      <w:pPr>
        <w:pStyle w:val="Caption"/>
        <w:rPr>
          <w:rFonts w:ascii="Andes" w:hAnsi="Andes"/>
        </w:rPr>
      </w:pPr>
      <w:proofErr w:type="gramStart"/>
      <w:r w:rsidRPr="00450413">
        <w:rPr>
          <w:rFonts w:ascii="Andes" w:hAnsi="Andes"/>
        </w:rPr>
        <w:t>Table 1.</w:t>
      </w:r>
      <w:proofErr w:type="gramEnd"/>
      <w:r w:rsidRPr="00450413">
        <w:rPr>
          <w:rFonts w:ascii="Andes" w:hAnsi="Andes"/>
        </w:rPr>
        <w:t xml:space="preserve"> Data overview</w:t>
      </w:r>
    </w:p>
    <w:tbl>
      <w:tblPr>
        <w:tblStyle w:val="TableGrid"/>
        <w:tblW w:w="0" w:type="auto"/>
        <w:tblLook w:val="04A0" w:firstRow="1" w:lastRow="0" w:firstColumn="1" w:lastColumn="0" w:noHBand="0" w:noVBand="1"/>
      </w:tblPr>
      <w:tblGrid>
        <w:gridCol w:w="4863"/>
        <w:gridCol w:w="1227"/>
        <w:gridCol w:w="886"/>
        <w:gridCol w:w="1689"/>
      </w:tblGrid>
      <w:tr w:rsidR="00CE0D3F" w:rsidRPr="001B51D1" w:rsidTr="0004011F">
        <w:tc>
          <w:tcPr>
            <w:tcW w:w="4863" w:type="dxa"/>
          </w:tcPr>
          <w:p w:rsidR="00CE0D3F" w:rsidRPr="005B4CEC" w:rsidRDefault="00CE0D3F" w:rsidP="005B4CEC">
            <w:pPr>
              <w:pStyle w:val="1"/>
              <w:ind w:left="0" w:firstLine="0"/>
              <w:jc w:val="center"/>
              <w:rPr>
                <w:b/>
                <w:sz w:val="23"/>
              </w:rPr>
            </w:pPr>
            <w:r w:rsidRPr="005B4CEC">
              <w:rPr>
                <w:b/>
              </w:rPr>
              <w:t>Indicators</w:t>
            </w:r>
          </w:p>
        </w:tc>
        <w:tc>
          <w:tcPr>
            <w:tcW w:w="1227" w:type="dxa"/>
          </w:tcPr>
          <w:p w:rsidR="00CE0D3F" w:rsidRPr="005B4CEC" w:rsidRDefault="00CE0D3F" w:rsidP="005B4CEC">
            <w:pPr>
              <w:pStyle w:val="1"/>
              <w:ind w:left="87" w:firstLine="0"/>
              <w:jc w:val="center"/>
              <w:rPr>
                <w:b/>
                <w:sz w:val="23"/>
              </w:rPr>
            </w:pPr>
            <w:r w:rsidRPr="005B4CEC">
              <w:rPr>
                <w:b/>
              </w:rPr>
              <w:t>Figure</w:t>
            </w:r>
          </w:p>
        </w:tc>
        <w:tc>
          <w:tcPr>
            <w:tcW w:w="886" w:type="dxa"/>
          </w:tcPr>
          <w:p w:rsidR="00CE0D3F" w:rsidRPr="005B4CEC" w:rsidRDefault="00CE0D3F" w:rsidP="005B4CEC">
            <w:pPr>
              <w:pStyle w:val="1"/>
              <w:ind w:left="-2" w:hanging="12"/>
              <w:jc w:val="center"/>
              <w:rPr>
                <w:b/>
                <w:sz w:val="23"/>
              </w:rPr>
            </w:pPr>
            <w:r w:rsidRPr="005B4CEC">
              <w:rPr>
                <w:b/>
              </w:rPr>
              <w:t>Year</w:t>
            </w:r>
          </w:p>
        </w:tc>
        <w:tc>
          <w:tcPr>
            <w:tcW w:w="1689" w:type="dxa"/>
          </w:tcPr>
          <w:p w:rsidR="00CE0D3F" w:rsidRPr="005B4CEC" w:rsidRDefault="00CE0D3F" w:rsidP="005B4CEC">
            <w:pPr>
              <w:pStyle w:val="1"/>
              <w:ind w:left="56" w:firstLine="0"/>
              <w:jc w:val="center"/>
              <w:rPr>
                <w:b/>
                <w:sz w:val="23"/>
              </w:rPr>
            </w:pPr>
            <w:r w:rsidRPr="005B4CEC">
              <w:rPr>
                <w:b/>
              </w:rPr>
              <w:t>Source</w:t>
            </w:r>
          </w:p>
        </w:tc>
      </w:tr>
      <w:tr w:rsidR="00CE0D3F" w:rsidRPr="001B51D1" w:rsidTr="0004011F">
        <w:trPr>
          <w:trHeight w:val="215"/>
        </w:trPr>
        <w:tc>
          <w:tcPr>
            <w:tcW w:w="4863" w:type="dxa"/>
          </w:tcPr>
          <w:p w:rsidR="00CE0D3F" w:rsidRPr="001B51D1" w:rsidRDefault="00CE0D3F" w:rsidP="00DA63A7">
            <w:pPr>
              <w:pStyle w:val="1"/>
              <w:ind w:left="180" w:firstLine="0"/>
            </w:pPr>
            <w:r w:rsidRPr="001B51D1">
              <w:t>Population (millions)</w:t>
            </w:r>
          </w:p>
        </w:tc>
        <w:tc>
          <w:tcPr>
            <w:tcW w:w="1227" w:type="dxa"/>
          </w:tcPr>
          <w:p w:rsidR="00CE0D3F" w:rsidRPr="001B51D1" w:rsidRDefault="00CE0D3F" w:rsidP="00DA63A7">
            <w:pPr>
              <w:pStyle w:val="1"/>
              <w:ind w:left="180" w:firstLine="0"/>
            </w:pPr>
            <w:r w:rsidRPr="001B51D1">
              <w:t>242</w:t>
            </w:r>
          </w:p>
        </w:tc>
        <w:tc>
          <w:tcPr>
            <w:tcW w:w="886" w:type="dxa"/>
          </w:tcPr>
          <w:p w:rsidR="00CE0D3F" w:rsidRPr="001B51D1" w:rsidRDefault="00CE0D3F" w:rsidP="00DA63A7">
            <w:pPr>
              <w:pStyle w:val="1"/>
              <w:ind w:left="180" w:firstLine="0"/>
            </w:pPr>
            <w:r w:rsidRPr="001B51D1">
              <w:t>2011</w:t>
            </w:r>
          </w:p>
        </w:tc>
        <w:tc>
          <w:tcPr>
            <w:tcW w:w="1689" w:type="dxa"/>
          </w:tcPr>
          <w:p w:rsidR="00CE0D3F" w:rsidRPr="001B51D1" w:rsidRDefault="00CE0D3F" w:rsidP="00DA63A7">
            <w:pPr>
              <w:pStyle w:val="1"/>
              <w:ind w:left="180" w:firstLine="0"/>
            </w:pPr>
            <w:r w:rsidRPr="001B51D1">
              <w:t>CBS</w:t>
            </w:r>
          </w:p>
        </w:tc>
      </w:tr>
      <w:tr w:rsidR="00CE0D3F" w:rsidRPr="001B51D1" w:rsidTr="0004011F">
        <w:tc>
          <w:tcPr>
            <w:tcW w:w="4863" w:type="dxa"/>
          </w:tcPr>
          <w:p w:rsidR="00CE0D3F" w:rsidRPr="001B51D1" w:rsidRDefault="00CE0D3F" w:rsidP="00DA63A7">
            <w:pPr>
              <w:pStyle w:val="1"/>
              <w:ind w:left="180" w:firstLine="0"/>
            </w:pPr>
            <w:r w:rsidRPr="001B51D1">
              <w:t>Life expectancy at birth (years)</w:t>
            </w:r>
          </w:p>
        </w:tc>
        <w:tc>
          <w:tcPr>
            <w:tcW w:w="1227" w:type="dxa"/>
          </w:tcPr>
          <w:p w:rsidR="00CE0D3F" w:rsidRPr="001B51D1" w:rsidRDefault="00CE0D3F" w:rsidP="00DA63A7">
            <w:pPr>
              <w:pStyle w:val="1"/>
              <w:ind w:left="180" w:firstLine="0"/>
            </w:pPr>
            <w:r w:rsidRPr="001B51D1">
              <w:t>69</w:t>
            </w:r>
          </w:p>
        </w:tc>
        <w:tc>
          <w:tcPr>
            <w:tcW w:w="886" w:type="dxa"/>
          </w:tcPr>
          <w:p w:rsidR="00CE0D3F" w:rsidRPr="001B51D1" w:rsidRDefault="00CE0D3F" w:rsidP="00DA63A7">
            <w:pPr>
              <w:pStyle w:val="1"/>
              <w:ind w:left="180" w:firstLine="0"/>
            </w:pPr>
            <w:r w:rsidRPr="001B51D1">
              <w:t>2011</w:t>
            </w:r>
          </w:p>
        </w:tc>
        <w:tc>
          <w:tcPr>
            <w:tcW w:w="1689" w:type="dxa"/>
          </w:tcPr>
          <w:p w:rsidR="00CE0D3F" w:rsidRPr="001B51D1" w:rsidRDefault="00CE0D3F" w:rsidP="00DA63A7">
            <w:pPr>
              <w:pStyle w:val="1"/>
              <w:ind w:left="180" w:firstLine="0"/>
            </w:pPr>
            <w:r w:rsidRPr="001B51D1">
              <w:t>WDI</w:t>
            </w:r>
          </w:p>
        </w:tc>
      </w:tr>
      <w:tr w:rsidR="00CE0D3F" w:rsidRPr="001B51D1" w:rsidTr="0004011F">
        <w:tc>
          <w:tcPr>
            <w:tcW w:w="4863" w:type="dxa"/>
          </w:tcPr>
          <w:p w:rsidR="00CE0D3F" w:rsidRPr="001B51D1" w:rsidRDefault="00CE0D3F" w:rsidP="00DA63A7">
            <w:pPr>
              <w:pStyle w:val="1"/>
              <w:ind w:left="180" w:firstLine="0"/>
            </w:pPr>
            <w:r w:rsidRPr="001B51D1">
              <w:t>GDP per capita (PPP$)</w:t>
            </w:r>
          </w:p>
        </w:tc>
        <w:tc>
          <w:tcPr>
            <w:tcW w:w="1227" w:type="dxa"/>
          </w:tcPr>
          <w:p w:rsidR="00CE0D3F" w:rsidRPr="001B51D1" w:rsidRDefault="00CE0D3F" w:rsidP="00DA63A7">
            <w:pPr>
              <w:pStyle w:val="1"/>
              <w:ind w:left="180" w:firstLine="0"/>
            </w:pPr>
            <w:r w:rsidRPr="001B51D1">
              <w:t>4,573</w:t>
            </w:r>
          </w:p>
        </w:tc>
        <w:tc>
          <w:tcPr>
            <w:tcW w:w="886" w:type="dxa"/>
          </w:tcPr>
          <w:p w:rsidR="00CE0D3F" w:rsidRPr="001B51D1" w:rsidRDefault="00CE0D3F" w:rsidP="00DA63A7">
            <w:pPr>
              <w:pStyle w:val="1"/>
              <w:ind w:left="180" w:firstLine="0"/>
            </w:pPr>
            <w:r w:rsidRPr="001B51D1">
              <w:t>2012</w:t>
            </w:r>
          </w:p>
        </w:tc>
        <w:tc>
          <w:tcPr>
            <w:tcW w:w="1689" w:type="dxa"/>
          </w:tcPr>
          <w:p w:rsidR="00CE0D3F" w:rsidRPr="001B51D1" w:rsidRDefault="00CE0D3F" w:rsidP="00DA63A7">
            <w:pPr>
              <w:pStyle w:val="1"/>
              <w:ind w:left="180" w:firstLine="0"/>
            </w:pPr>
            <w:r w:rsidRPr="001B51D1">
              <w:t>IMF-WEO</w:t>
            </w:r>
          </w:p>
        </w:tc>
      </w:tr>
      <w:tr w:rsidR="00CE0D3F" w:rsidRPr="001B51D1" w:rsidTr="0004011F">
        <w:tc>
          <w:tcPr>
            <w:tcW w:w="4863" w:type="dxa"/>
          </w:tcPr>
          <w:p w:rsidR="00CE0D3F" w:rsidRPr="001B51D1" w:rsidRDefault="00CE0D3F" w:rsidP="00DA63A7">
            <w:pPr>
              <w:pStyle w:val="1"/>
              <w:ind w:left="180" w:firstLine="0"/>
            </w:pPr>
            <w:r w:rsidRPr="001B51D1">
              <w:t>Total health expenditure per capita (PPP</w:t>
            </w:r>
            <w:r w:rsidRPr="001B51D1">
              <w:rPr>
                <w:rFonts w:ascii="Courier New" w:hAnsi="Courier New" w:cs="Courier New"/>
              </w:rPr>
              <w:t> </w:t>
            </w:r>
            <w:r w:rsidRPr="001B51D1">
              <w:t>$)</w:t>
            </w:r>
          </w:p>
        </w:tc>
        <w:tc>
          <w:tcPr>
            <w:tcW w:w="1227" w:type="dxa"/>
          </w:tcPr>
          <w:p w:rsidR="00CE0D3F" w:rsidRPr="001B51D1" w:rsidRDefault="00CE0D3F" w:rsidP="00DA63A7">
            <w:pPr>
              <w:pStyle w:val="1"/>
              <w:ind w:left="180" w:firstLine="0"/>
            </w:pPr>
            <w:r w:rsidRPr="001B51D1">
              <w:t>126</w:t>
            </w:r>
          </w:p>
        </w:tc>
        <w:tc>
          <w:tcPr>
            <w:tcW w:w="886" w:type="dxa"/>
          </w:tcPr>
          <w:p w:rsidR="00CE0D3F" w:rsidRPr="001B51D1" w:rsidRDefault="00CE0D3F" w:rsidP="00DA63A7">
            <w:pPr>
              <w:pStyle w:val="1"/>
              <w:ind w:left="180" w:firstLine="0"/>
            </w:pPr>
            <w:r w:rsidRPr="001B51D1">
              <w:t>2011</w:t>
            </w:r>
          </w:p>
        </w:tc>
        <w:tc>
          <w:tcPr>
            <w:tcW w:w="1689" w:type="dxa"/>
          </w:tcPr>
          <w:p w:rsidR="00CE0D3F" w:rsidRPr="001B51D1" w:rsidRDefault="00CE0D3F" w:rsidP="00DA63A7">
            <w:pPr>
              <w:pStyle w:val="1"/>
              <w:ind w:left="180" w:firstLine="0"/>
            </w:pPr>
            <w:r w:rsidRPr="001B51D1">
              <w:t>WHO</w:t>
            </w:r>
          </w:p>
        </w:tc>
      </w:tr>
      <w:tr w:rsidR="00CE0D3F" w:rsidRPr="001B51D1" w:rsidTr="0004011F">
        <w:tc>
          <w:tcPr>
            <w:tcW w:w="4863" w:type="dxa"/>
          </w:tcPr>
          <w:p w:rsidR="00CE0D3F" w:rsidRPr="001B51D1" w:rsidRDefault="00CE0D3F" w:rsidP="00DA63A7">
            <w:pPr>
              <w:pStyle w:val="1"/>
              <w:ind w:left="180" w:firstLine="0"/>
            </w:pPr>
            <w:r w:rsidRPr="001B51D1">
              <w:t>Total health expenditure per capita ($)</w:t>
            </w:r>
          </w:p>
        </w:tc>
        <w:tc>
          <w:tcPr>
            <w:tcW w:w="1227" w:type="dxa"/>
          </w:tcPr>
          <w:p w:rsidR="00CE0D3F" w:rsidRPr="001B51D1" w:rsidRDefault="00CE0D3F" w:rsidP="00DA63A7">
            <w:pPr>
              <w:pStyle w:val="1"/>
              <w:ind w:left="180" w:firstLine="0"/>
            </w:pPr>
            <w:r w:rsidRPr="001B51D1">
              <w:t>95</w:t>
            </w:r>
          </w:p>
        </w:tc>
        <w:tc>
          <w:tcPr>
            <w:tcW w:w="886" w:type="dxa"/>
          </w:tcPr>
          <w:p w:rsidR="00CE0D3F" w:rsidRPr="001B51D1" w:rsidRDefault="00CE0D3F" w:rsidP="00DA63A7">
            <w:pPr>
              <w:pStyle w:val="1"/>
              <w:ind w:left="180" w:firstLine="0"/>
            </w:pPr>
            <w:r w:rsidRPr="001B51D1">
              <w:t>2011</w:t>
            </w:r>
          </w:p>
        </w:tc>
        <w:tc>
          <w:tcPr>
            <w:tcW w:w="1689" w:type="dxa"/>
          </w:tcPr>
          <w:p w:rsidR="00CE0D3F" w:rsidRPr="001B51D1" w:rsidRDefault="00CE0D3F" w:rsidP="00DA63A7">
            <w:pPr>
              <w:pStyle w:val="1"/>
              <w:ind w:left="180" w:firstLine="0"/>
            </w:pPr>
            <w:r w:rsidRPr="001B51D1">
              <w:t>WHO</w:t>
            </w:r>
          </w:p>
        </w:tc>
      </w:tr>
      <w:tr w:rsidR="00CE0D3F" w:rsidRPr="001B51D1" w:rsidTr="0004011F">
        <w:tc>
          <w:tcPr>
            <w:tcW w:w="4863" w:type="dxa"/>
          </w:tcPr>
          <w:p w:rsidR="00CE0D3F" w:rsidRPr="001B51D1" w:rsidRDefault="00CE0D3F" w:rsidP="00DA63A7">
            <w:pPr>
              <w:pStyle w:val="1"/>
              <w:ind w:left="180" w:firstLine="0"/>
            </w:pPr>
            <w:r w:rsidRPr="001B51D1">
              <w:t>Government % of total health expenditure</w:t>
            </w:r>
          </w:p>
        </w:tc>
        <w:tc>
          <w:tcPr>
            <w:tcW w:w="1227" w:type="dxa"/>
          </w:tcPr>
          <w:p w:rsidR="00CE0D3F" w:rsidRPr="001B51D1" w:rsidRDefault="00CE0D3F" w:rsidP="00DA63A7">
            <w:pPr>
              <w:pStyle w:val="1"/>
              <w:ind w:left="180" w:firstLine="0"/>
            </w:pPr>
            <w:r w:rsidRPr="001B51D1">
              <w:t>38</w:t>
            </w:r>
          </w:p>
        </w:tc>
        <w:tc>
          <w:tcPr>
            <w:tcW w:w="886" w:type="dxa"/>
          </w:tcPr>
          <w:p w:rsidR="00CE0D3F" w:rsidRPr="001B51D1" w:rsidRDefault="00CE0D3F" w:rsidP="00DA63A7">
            <w:pPr>
              <w:pStyle w:val="1"/>
              <w:ind w:left="180" w:firstLine="0"/>
            </w:pPr>
            <w:r w:rsidRPr="001B51D1">
              <w:t>2011</w:t>
            </w:r>
          </w:p>
        </w:tc>
        <w:tc>
          <w:tcPr>
            <w:tcW w:w="1689" w:type="dxa"/>
          </w:tcPr>
          <w:p w:rsidR="00CE0D3F" w:rsidRPr="001B51D1" w:rsidRDefault="00CE0D3F" w:rsidP="00DA63A7">
            <w:pPr>
              <w:pStyle w:val="1"/>
              <w:ind w:left="180" w:firstLine="0"/>
            </w:pPr>
            <w:r w:rsidRPr="001B51D1">
              <w:t>NHA</w:t>
            </w:r>
          </w:p>
        </w:tc>
      </w:tr>
      <w:tr w:rsidR="00CE0D3F" w:rsidRPr="001B51D1" w:rsidTr="0004011F">
        <w:tc>
          <w:tcPr>
            <w:tcW w:w="4863" w:type="dxa"/>
          </w:tcPr>
          <w:p w:rsidR="00CE0D3F" w:rsidRPr="001B51D1" w:rsidRDefault="00CE0D3F" w:rsidP="00DA63A7">
            <w:pPr>
              <w:pStyle w:val="1"/>
              <w:ind w:left="180" w:firstLine="0"/>
            </w:pPr>
            <w:r w:rsidRPr="001B51D1">
              <w:t>Out</w:t>
            </w:r>
            <w:r>
              <w:t>-</w:t>
            </w:r>
            <w:r w:rsidRPr="001B51D1">
              <w:t>of</w:t>
            </w:r>
            <w:r>
              <w:t>-</w:t>
            </w:r>
            <w:r w:rsidRPr="001B51D1">
              <w:t xml:space="preserve">pocket </w:t>
            </w:r>
            <w:r>
              <w:t xml:space="preserve">(OOP) </w:t>
            </w:r>
            <w:r w:rsidRPr="001B51D1">
              <w:t>% of total health expenditure</w:t>
            </w:r>
          </w:p>
        </w:tc>
        <w:tc>
          <w:tcPr>
            <w:tcW w:w="1227" w:type="dxa"/>
          </w:tcPr>
          <w:p w:rsidR="00CE0D3F" w:rsidRPr="001B51D1" w:rsidRDefault="00CE0D3F" w:rsidP="00DA63A7">
            <w:pPr>
              <w:pStyle w:val="1"/>
              <w:ind w:left="180" w:firstLine="0"/>
            </w:pPr>
            <w:r w:rsidRPr="001B51D1">
              <w:t>47</w:t>
            </w:r>
          </w:p>
        </w:tc>
        <w:tc>
          <w:tcPr>
            <w:tcW w:w="886" w:type="dxa"/>
          </w:tcPr>
          <w:p w:rsidR="00CE0D3F" w:rsidRPr="001B51D1" w:rsidRDefault="00CE0D3F" w:rsidP="00DA63A7">
            <w:pPr>
              <w:pStyle w:val="1"/>
              <w:ind w:left="180" w:firstLine="0"/>
            </w:pPr>
            <w:r w:rsidRPr="001B51D1">
              <w:t>2011</w:t>
            </w:r>
          </w:p>
        </w:tc>
        <w:tc>
          <w:tcPr>
            <w:tcW w:w="1689" w:type="dxa"/>
          </w:tcPr>
          <w:p w:rsidR="00CE0D3F" w:rsidRPr="001B51D1" w:rsidRDefault="00CE0D3F" w:rsidP="00DA63A7">
            <w:pPr>
              <w:pStyle w:val="1"/>
              <w:ind w:left="180" w:firstLine="0"/>
            </w:pPr>
            <w:r w:rsidRPr="001B51D1">
              <w:t>NHA</w:t>
            </w:r>
          </w:p>
        </w:tc>
      </w:tr>
      <w:tr w:rsidR="00CE0D3F" w:rsidRPr="001B51D1" w:rsidTr="0004011F">
        <w:tc>
          <w:tcPr>
            <w:tcW w:w="4863" w:type="dxa"/>
          </w:tcPr>
          <w:p w:rsidR="00CE0D3F" w:rsidRPr="001B51D1" w:rsidRDefault="00CE0D3F" w:rsidP="00DA63A7">
            <w:pPr>
              <w:pStyle w:val="1"/>
              <w:ind w:left="180" w:firstLine="0"/>
            </w:pPr>
            <w:r w:rsidRPr="001B51D1">
              <w:t># physicians per 1,000 population</w:t>
            </w:r>
          </w:p>
        </w:tc>
        <w:tc>
          <w:tcPr>
            <w:tcW w:w="1227" w:type="dxa"/>
          </w:tcPr>
          <w:p w:rsidR="00CE0D3F" w:rsidRPr="001B51D1" w:rsidRDefault="00CE0D3F" w:rsidP="00DA63A7">
            <w:pPr>
              <w:pStyle w:val="1"/>
              <w:ind w:left="180" w:firstLine="0"/>
            </w:pPr>
            <w:r w:rsidRPr="001B51D1">
              <w:t>0.46</w:t>
            </w:r>
          </w:p>
        </w:tc>
        <w:tc>
          <w:tcPr>
            <w:tcW w:w="886" w:type="dxa"/>
          </w:tcPr>
          <w:p w:rsidR="00CE0D3F" w:rsidRPr="001B51D1" w:rsidRDefault="00CE0D3F" w:rsidP="00DA63A7">
            <w:pPr>
              <w:pStyle w:val="1"/>
              <w:ind w:left="180" w:firstLine="0"/>
            </w:pPr>
            <w:r w:rsidRPr="001B51D1">
              <w:t>2013</w:t>
            </w:r>
          </w:p>
        </w:tc>
        <w:tc>
          <w:tcPr>
            <w:tcW w:w="1689" w:type="dxa"/>
          </w:tcPr>
          <w:p w:rsidR="00CE0D3F" w:rsidRPr="001B51D1" w:rsidRDefault="00CE0D3F" w:rsidP="00DA63A7">
            <w:pPr>
              <w:pStyle w:val="1"/>
              <w:ind w:left="180" w:firstLine="0"/>
            </w:pPr>
            <w:r w:rsidRPr="001B51D1">
              <w:t>MOH</w:t>
            </w:r>
          </w:p>
        </w:tc>
      </w:tr>
      <w:tr w:rsidR="00CE0D3F" w:rsidRPr="001B51D1" w:rsidTr="0004011F">
        <w:tc>
          <w:tcPr>
            <w:tcW w:w="4863" w:type="dxa"/>
          </w:tcPr>
          <w:p w:rsidR="00CE0D3F" w:rsidRPr="001B51D1" w:rsidRDefault="00CE0D3F" w:rsidP="00DA63A7">
            <w:pPr>
              <w:pStyle w:val="1"/>
              <w:ind w:left="180" w:firstLine="0"/>
            </w:pPr>
            <w:r w:rsidRPr="001B51D1">
              <w:t># nurses per 1,000 population</w:t>
            </w:r>
          </w:p>
        </w:tc>
        <w:tc>
          <w:tcPr>
            <w:tcW w:w="1227" w:type="dxa"/>
          </w:tcPr>
          <w:p w:rsidR="00CE0D3F" w:rsidRPr="001B51D1" w:rsidRDefault="00CE0D3F" w:rsidP="00DA63A7">
            <w:pPr>
              <w:pStyle w:val="1"/>
              <w:ind w:left="180" w:firstLine="0"/>
            </w:pPr>
            <w:r w:rsidRPr="001B51D1">
              <w:t>1.2</w:t>
            </w:r>
          </w:p>
        </w:tc>
        <w:tc>
          <w:tcPr>
            <w:tcW w:w="886" w:type="dxa"/>
          </w:tcPr>
          <w:p w:rsidR="00CE0D3F" w:rsidRPr="001B51D1" w:rsidRDefault="00CE0D3F" w:rsidP="00DA63A7">
            <w:pPr>
              <w:pStyle w:val="1"/>
              <w:ind w:left="180" w:firstLine="0"/>
            </w:pPr>
            <w:r w:rsidRPr="001B51D1">
              <w:t>2013</w:t>
            </w:r>
          </w:p>
        </w:tc>
        <w:tc>
          <w:tcPr>
            <w:tcW w:w="1689" w:type="dxa"/>
          </w:tcPr>
          <w:p w:rsidR="00CE0D3F" w:rsidRPr="001B51D1" w:rsidRDefault="00CE0D3F" w:rsidP="00DA63A7">
            <w:pPr>
              <w:pStyle w:val="1"/>
              <w:ind w:left="180" w:firstLine="0"/>
            </w:pPr>
            <w:r w:rsidRPr="001B51D1">
              <w:t>MOH</w:t>
            </w:r>
          </w:p>
        </w:tc>
      </w:tr>
      <w:tr w:rsidR="00CE0D3F" w:rsidRPr="001B51D1" w:rsidTr="0004011F">
        <w:trPr>
          <w:trHeight w:val="260"/>
        </w:trPr>
        <w:tc>
          <w:tcPr>
            <w:tcW w:w="4863" w:type="dxa"/>
          </w:tcPr>
          <w:p w:rsidR="00CE0D3F" w:rsidRPr="001B51D1" w:rsidRDefault="00CE0D3F" w:rsidP="00DA63A7">
            <w:pPr>
              <w:pStyle w:val="1"/>
              <w:ind w:left="180" w:firstLine="0"/>
            </w:pPr>
            <w:r w:rsidRPr="001B51D1">
              <w:t># hospital beds per 1,000 population</w:t>
            </w:r>
          </w:p>
        </w:tc>
        <w:tc>
          <w:tcPr>
            <w:tcW w:w="1227" w:type="dxa"/>
          </w:tcPr>
          <w:p w:rsidR="00CE0D3F" w:rsidRPr="001B51D1" w:rsidRDefault="00CE0D3F" w:rsidP="00DA63A7">
            <w:pPr>
              <w:pStyle w:val="1"/>
              <w:ind w:left="180" w:firstLine="0"/>
            </w:pPr>
            <w:r w:rsidRPr="001B51D1">
              <w:t>1.1</w:t>
            </w:r>
          </w:p>
        </w:tc>
        <w:tc>
          <w:tcPr>
            <w:tcW w:w="886" w:type="dxa"/>
          </w:tcPr>
          <w:p w:rsidR="00CE0D3F" w:rsidRPr="001B51D1" w:rsidRDefault="00CE0D3F" w:rsidP="00DA63A7">
            <w:pPr>
              <w:pStyle w:val="1"/>
              <w:ind w:left="180" w:firstLine="0"/>
            </w:pPr>
            <w:r w:rsidRPr="001B51D1">
              <w:t>2013</w:t>
            </w:r>
          </w:p>
        </w:tc>
        <w:tc>
          <w:tcPr>
            <w:tcW w:w="1689" w:type="dxa"/>
          </w:tcPr>
          <w:p w:rsidR="00CE0D3F" w:rsidRPr="001B51D1" w:rsidRDefault="00CE0D3F" w:rsidP="00DA63A7">
            <w:pPr>
              <w:pStyle w:val="1"/>
              <w:ind w:left="180" w:firstLine="0"/>
            </w:pPr>
            <w:r>
              <w:t xml:space="preserve">RS Online, </w:t>
            </w:r>
            <w:r w:rsidRPr="001B51D1">
              <w:t>MOH</w:t>
            </w:r>
          </w:p>
        </w:tc>
      </w:tr>
    </w:tbl>
    <w:p w:rsidR="00CE0D3F" w:rsidRDefault="00CE0D3F" w:rsidP="00DA63A7">
      <w:pPr>
        <w:ind w:left="180"/>
      </w:pPr>
      <w:r w:rsidRPr="00954217">
        <w:t>Sources: CBS: Indones</w:t>
      </w:r>
      <w:r>
        <w:t>ia Central Bureau of Statistics; Ministry of Health (MOH), Indonesia;</w:t>
      </w:r>
      <w:r w:rsidRPr="00954217">
        <w:t xml:space="preserve"> RS Online (web</w:t>
      </w:r>
      <w:r>
        <w:t>-</w:t>
      </w:r>
      <w:r w:rsidRPr="00954217">
        <w:t xml:space="preserve">based hospital information managed by </w:t>
      </w:r>
      <w:r>
        <w:t xml:space="preserve">the </w:t>
      </w:r>
      <w:r w:rsidRPr="00954217">
        <w:t>MOH)</w:t>
      </w:r>
      <w:r>
        <w:t>.</w:t>
      </w:r>
    </w:p>
    <w:p w:rsidR="00CE0D3F" w:rsidRDefault="00CE0D3F" w:rsidP="00CE0D3F"/>
    <w:p w:rsidR="00CE0D3F" w:rsidRPr="00BF64A5" w:rsidRDefault="00CE0D3F" w:rsidP="00E4173B">
      <w:pPr>
        <w:pStyle w:val="Heading1"/>
      </w:pPr>
      <w:r w:rsidRPr="00BF64A5">
        <w:t>PART I.</w:t>
      </w:r>
      <w:r w:rsidRPr="00BF64A5">
        <w:tab/>
        <w:t xml:space="preserve">Universal Coverage—Status and </w:t>
      </w:r>
      <w:r w:rsidRPr="00E4173B">
        <w:t>Sequencing</w:t>
      </w:r>
    </w:p>
    <w:p w:rsidR="00CE0D3F" w:rsidRPr="001824E3" w:rsidRDefault="00CE0D3F" w:rsidP="00DA63A7">
      <w:pPr>
        <w:pStyle w:val="Heading2"/>
        <w:rPr>
          <w:rFonts w:ascii="Andes" w:hAnsi="Andes"/>
        </w:rPr>
      </w:pPr>
      <w:r w:rsidRPr="001824E3">
        <w:rPr>
          <w:rFonts w:ascii="Andes" w:hAnsi="Andes"/>
        </w:rPr>
        <w:t xml:space="preserve">A. </w:t>
      </w:r>
      <w:r w:rsidRPr="001824E3">
        <w:rPr>
          <w:rFonts w:ascii="Andes" w:hAnsi="Andes"/>
        </w:rPr>
        <w:tab/>
        <w:t>Overview of current status</w:t>
      </w:r>
    </w:p>
    <w:p w:rsidR="00CE0D3F" w:rsidRPr="00BF64A5" w:rsidRDefault="00CE0D3F" w:rsidP="00DA63A7">
      <w:pPr>
        <w:pStyle w:val="Heading3"/>
      </w:pPr>
      <w:r w:rsidRPr="00BF64A5">
        <w:t>1.</w:t>
      </w:r>
      <w:r w:rsidRPr="00BF64A5">
        <w:tab/>
        <w:t xml:space="preserve">Legal and statutory basis </w:t>
      </w:r>
    </w:p>
    <w:p w:rsidR="00CE0D3F" w:rsidRPr="001B51D1" w:rsidRDefault="00CE0D3F" w:rsidP="00E4173B">
      <w:pPr>
        <w:pStyle w:val="BodyText0"/>
        <w:jc w:val="both"/>
        <w:rPr>
          <w:lang w:eastAsia="ja-JP"/>
        </w:rPr>
      </w:pPr>
      <w:r w:rsidRPr="001B51D1">
        <w:rPr>
          <w:lang w:eastAsia="ja-JP"/>
        </w:rPr>
        <w:t xml:space="preserve">The 2004 </w:t>
      </w:r>
      <w:r>
        <w:rPr>
          <w:lang w:eastAsia="ja-JP"/>
        </w:rPr>
        <w:t xml:space="preserve">National </w:t>
      </w:r>
      <w:r w:rsidRPr="001B51D1">
        <w:rPr>
          <w:lang w:eastAsia="ja-JP"/>
        </w:rPr>
        <w:t>Social Security Law (Law No. 40/2004) envis</w:t>
      </w:r>
      <w:r>
        <w:rPr>
          <w:lang w:eastAsia="ja-JP"/>
        </w:rPr>
        <w:t>age</w:t>
      </w:r>
      <w:r w:rsidRPr="001B51D1">
        <w:rPr>
          <w:lang w:eastAsia="ja-JP"/>
        </w:rPr>
        <w:t xml:space="preserve">s coverage of the entire population through JKN, a mandatory program evolving from existing insurance programs. </w:t>
      </w:r>
      <w:r w:rsidR="002A294A">
        <w:rPr>
          <w:lang w:eastAsia="ja-JP"/>
        </w:rPr>
        <w:t xml:space="preserve">Until the end of 2013, </w:t>
      </w:r>
      <w:r w:rsidRPr="001B51D1">
        <w:rPr>
          <w:lang w:eastAsia="ja-JP"/>
        </w:rPr>
        <w:t xml:space="preserve">Indonesia </w:t>
      </w:r>
      <w:r w:rsidR="002A294A">
        <w:rPr>
          <w:lang w:eastAsia="ja-JP"/>
        </w:rPr>
        <w:t>wa</w:t>
      </w:r>
      <w:r w:rsidRPr="001B51D1">
        <w:rPr>
          <w:lang w:eastAsia="ja-JP"/>
        </w:rPr>
        <w:t xml:space="preserve">s supported by three major </w:t>
      </w:r>
      <w:r>
        <w:rPr>
          <w:lang w:eastAsia="ja-JP"/>
        </w:rPr>
        <w:t xml:space="preserve">social </w:t>
      </w:r>
      <w:r w:rsidRPr="001B51D1">
        <w:rPr>
          <w:lang w:eastAsia="ja-JP"/>
        </w:rPr>
        <w:t xml:space="preserve">health insurance programs: </w:t>
      </w:r>
      <w:proofErr w:type="spellStart"/>
      <w:r w:rsidRPr="001B51D1">
        <w:rPr>
          <w:lang w:eastAsia="ja-JP"/>
        </w:rPr>
        <w:t>Jamkesmas</w:t>
      </w:r>
      <w:proofErr w:type="spellEnd"/>
      <w:r w:rsidRPr="001B51D1">
        <w:rPr>
          <w:lang w:eastAsia="ja-JP"/>
        </w:rPr>
        <w:t xml:space="preserve"> (</w:t>
      </w:r>
      <w:proofErr w:type="spellStart"/>
      <w:r w:rsidRPr="001B51D1">
        <w:rPr>
          <w:lang w:eastAsia="ja-JP"/>
        </w:rPr>
        <w:t>Jaminan</w:t>
      </w:r>
      <w:proofErr w:type="spellEnd"/>
      <w:r w:rsidRPr="001B51D1">
        <w:rPr>
          <w:lang w:eastAsia="ja-JP"/>
        </w:rPr>
        <w:t xml:space="preserve"> </w:t>
      </w:r>
      <w:proofErr w:type="spellStart"/>
      <w:r w:rsidRPr="001B51D1">
        <w:rPr>
          <w:lang w:eastAsia="ja-JP"/>
        </w:rPr>
        <w:t>Kesehatan</w:t>
      </w:r>
      <w:proofErr w:type="spellEnd"/>
      <w:r w:rsidRPr="001B51D1">
        <w:rPr>
          <w:lang w:eastAsia="ja-JP"/>
        </w:rPr>
        <w:t xml:space="preserve"> </w:t>
      </w:r>
      <w:proofErr w:type="spellStart"/>
      <w:r w:rsidRPr="001B51D1">
        <w:rPr>
          <w:lang w:eastAsia="ja-JP"/>
        </w:rPr>
        <w:t>Masyarakat</w:t>
      </w:r>
      <w:proofErr w:type="spellEnd"/>
      <w:r w:rsidRPr="001B51D1">
        <w:rPr>
          <w:lang w:eastAsia="ja-JP"/>
        </w:rPr>
        <w:t>/the government</w:t>
      </w:r>
      <w:r>
        <w:rPr>
          <w:lang w:eastAsia="ja-JP"/>
        </w:rPr>
        <w:t>-</w:t>
      </w:r>
      <w:r w:rsidRPr="001B51D1">
        <w:rPr>
          <w:lang w:eastAsia="ja-JP"/>
        </w:rPr>
        <w:t>financed health coverage program for the poor and near-poor)</w:t>
      </w:r>
      <w:r>
        <w:rPr>
          <w:lang w:eastAsia="ja-JP"/>
        </w:rPr>
        <w:t>;</w:t>
      </w:r>
      <w:r w:rsidRPr="001B51D1">
        <w:rPr>
          <w:lang w:eastAsia="ja-JP"/>
        </w:rPr>
        <w:t xml:space="preserve"> </w:t>
      </w:r>
      <w:proofErr w:type="spellStart"/>
      <w:r w:rsidRPr="001B51D1">
        <w:rPr>
          <w:lang w:eastAsia="ja-JP"/>
        </w:rPr>
        <w:t>Jamsostek</w:t>
      </w:r>
      <w:proofErr w:type="spellEnd"/>
      <w:r w:rsidRPr="001B51D1">
        <w:rPr>
          <w:lang w:eastAsia="ja-JP"/>
        </w:rPr>
        <w:t xml:space="preserve"> </w:t>
      </w:r>
      <w:r>
        <w:rPr>
          <w:lang w:eastAsia="ja-JP"/>
        </w:rPr>
        <w:t xml:space="preserve">Health </w:t>
      </w:r>
      <w:r w:rsidRPr="001B51D1">
        <w:rPr>
          <w:lang w:eastAsia="ja-JP"/>
        </w:rPr>
        <w:t>(the social health insurance program for formal sector workers)</w:t>
      </w:r>
      <w:r>
        <w:rPr>
          <w:lang w:eastAsia="ja-JP"/>
        </w:rPr>
        <w:t>;</w:t>
      </w:r>
      <w:r w:rsidRPr="001B51D1">
        <w:rPr>
          <w:lang w:eastAsia="ja-JP"/>
        </w:rPr>
        <w:t xml:space="preserve"> and </w:t>
      </w:r>
      <w:proofErr w:type="spellStart"/>
      <w:r w:rsidRPr="001B51D1">
        <w:rPr>
          <w:lang w:eastAsia="ja-JP"/>
        </w:rPr>
        <w:t>Askes</w:t>
      </w:r>
      <w:proofErr w:type="spellEnd"/>
      <w:r w:rsidRPr="001B51D1">
        <w:rPr>
          <w:lang w:eastAsia="ja-JP"/>
        </w:rPr>
        <w:t xml:space="preserve"> (the social </w:t>
      </w:r>
      <w:r>
        <w:rPr>
          <w:lang w:eastAsia="ja-JP"/>
        </w:rPr>
        <w:t xml:space="preserve">health </w:t>
      </w:r>
      <w:r w:rsidRPr="001B51D1">
        <w:rPr>
          <w:lang w:eastAsia="ja-JP"/>
        </w:rPr>
        <w:t xml:space="preserve">insurance program for civil servants). The </w:t>
      </w:r>
      <w:r w:rsidRPr="001B51D1">
        <w:rPr>
          <w:lang w:eastAsia="ja-JP"/>
        </w:rPr>
        <w:lastRenderedPageBreak/>
        <w:t>2011 BPJS (</w:t>
      </w:r>
      <w:proofErr w:type="spellStart"/>
      <w:r w:rsidRPr="001B51D1">
        <w:rPr>
          <w:lang w:eastAsia="ja-JP"/>
        </w:rPr>
        <w:t>Badan</w:t>
      </w:r>
      <w:proofErr w:type="spellEnd"/>
      <w:r w:rsidRPr="001B51D1">
        <w:rPr>
          <w:lang w:eastAsia="ja-JP"/>
        </w:rPr>
        <w:t xml:space="preserve"> </w:t>
      </w:r>
      <w:proofErr w:type="spellStart"/>
      <w:r w:rsidRPr="001B51D1">
        <w:rPr>
          <w:lang w:eastAsia="ja-JP"/>
        </w:rPr>
        <w:t>Penyelenggara</w:t>
      </w:r>
      <w:proofErr w:type="spellEnd"/>
      <w:r w:rsidRPr="001B51D1">
        <w:rPr>
          <w:lang w:eastAsia="ja-JP"/>
        </w:rPr>
        <w:t xml:space="preserve"> </w:t>
      </w:r>
      <w:proofErr w:type="spellStart"/>
      <w:r w:rsidRPr="001B51D1">
        <w:rPr>
          <w:lang w:eastAsia="ja-JP"/>
        </w:rPr>
        <w:t>Jaminan</w:t>
      </w:r>
      <w:proofErr w:type="spellEnd"/>
      <w:r w:rsidRPr="001B51D1">
        <w:rPr>
          <w:lang w:eastAsia="ja-JP"/>
        </w:rPr>
        <w:t xml:space="preserve"> </w:t>
      </w:r>
      <w:proofErr w:type="spellStart"/>
      <w:r w:rsidRPr="001B51D1">
        <w:rPr>
          <w:lang w:eastAsia="ja-JP"/>
        </w:rPr>
        <w:t>Sosial</w:t>
      </w:r>
      <w:proofErr w:type="spellEnd"/>
      <w:r w:rsidRPr="001B51D1">
        <w:rPr>
          <w:lang w:eastAsia="ja-JP"/>
        </w:rPr>
        <w:t>/Social Security</w:t>
      </w:r>
      <w:r>
        <w:rPr>
          <w:lang w:eastAsia="ja-JP"/>
        </w:rPr>
        <w:t xml:space="preserve"> Administration</w:t>
      </w:r>
      <w:r w:rsidRPr="001B51D1">
        <w:rPr>
          <w:lang w:eastAsia="ja-JP"/>
        </w:rPr>
        <w:t xml:space="preserve">) Law (Law 24/2011) declared the transformation of PT </w:t>
      </w:r>
      <w:proofErr w:type="spellStart"/>
      <w:r w:rsidRPr="001B51D1">
        <w:rPr>
          <w:lang w:eastAsia="ja-JP"/>
        </w:rPr>
        <w:t>Askes</w:t>
      </w:r>
      <w:proofErr w:type="spellEnd"/>
      <w:r w:rsidRPr="001B51D1">
        <w:rPr>
          <w:lang w:eastAsia="ja-JP"/>
        </w:rPr>
        <w:t xml:space="preserve"> into Health BPJS. </w:t>
      </w:r>
    </w:p>
    <w:p w:rsidR="00CE0D3F" w:rsidRPr="001B51D1" w:rsidRDefault="00CE0D3F" w:rsidP="00E4173B">
      <w:pPr>
        <w:pStyle w:val="BodyText0"/>
        <w:jc w:val="both"/>
        <w:rPr>
          <w:lang w:eastAsia="ja-JP"/>
        </w:rPr>
      </w:pPr>
      <w:r w:rsidRPr="001B51D1">
        <w:rPr>
          <w:lang w:eastAsia="ja-JP"/>
        </w:rPr>
        <w:t xml:space="preserve">The Health BPJS </w:t>
      </w:r>
      <w:r>
        <w:rPr>
          <w:lang w:eastAsia="ja-JP"/>
        </w:rPr>
        <w:t>began</w:t>
      </w:r>
      <w:r w:rsidRPr="001B51D1">
        <w:rPr>
          <w:lang w:eastAsia="ja-JP"/>
        </w:rPr>
        <w:t xml:space="preserve"> </w:t>
      </w:r>
      <w:r>
        <w:rPr>
          <w:lang w:eastAsia="ja-JP"/>
        </w:rPr>
        <w:t xml:space="preserve">implementation of the JKN </w:t>
      </w:r>
      <w:r w:rsidRPr="001B51D1">
        <w:rPr>
          <w:lang w:eastAsia="ja-JP"/>
        </w:rPr>
        <w:t xml:space="preserve">officially on January 1, 2014 </w:t>
      </w:r>
      <w:r>
        <w:rPr>
          <w:lang w:eastAsia="ja-JP"/>
        </w:rPr>
        <w:t xml:space="preserve">with </w:t>
      </w:r>
      <w:r w:rsidRPr="001B51D1">
        <w:rPr>
          <w:lang w:eastAsia="ja-JP"/>
        </w:rPr>
        <w:t>121.6 million participants, 96.4 million of whom</w:t>
      </w:r>
      <w:r>
        <w:rPr>
          <w:lang w:eastAsia="ja-JP"/>
        </w:rPr>
        <w:t xml:space="preserve"> are</w:t>
      </w:r>
      <w:r w:rsidRPr="001B51D1">
        <w:rPr>
          <w:lang w:eastAsia="ja-JP"/>
        </w:rPr>
        <w:t xml:space="preserve"> participants </w:t>
      </w:r>
      <w:r>
        <w:rPr>
          <w:lang w:eastAsia="ja-JP"/>
        </w:rPr>
        <w:t xml:space="preserve">(poor and near poor) </w:t>
      </w:r>
      <w:r w:rsidRPr="001B51D1">
        <w:rPr>
          <w:lang w:eastAsia="ja-JP"/>
        </w:rPr>
        <w:t>whose premium is paid by the government (</w:t>
      </w:r>
      <w:r>
        <w:rPr>
          <w:lang w:eastAsia="ja-JP"/>
        </w:rPr>
        <w:t xml:space="preserve">PBI), and the remainder are ex-participants of </w:t>
      </w:r>
      <w:proofErr w:type="spellStart"/>
      <w:r>
        <w:rPr>
          <w:lang w:eastAsia="ja-JP"/>
        </w:rPr>
        <w:t>Askes</w:t>
      </w:r>
      <w:proofErr w:type="spellEnd"/>
      <w:r>
        <w:rPr>
          <w:lang w:eastAsia="ja-JP"/>
        </w:rPr>
        <w:t xml:space="preserve"> and </w:t>
      </w:r>
      <w:proofErr w:type="spellStart"/>
      <w:r>
        <w:rPr>
          <w:lang w:eastAsia="ja-JP"/>
        </w:rPr>
        <w:t>Jamsostek</w:t>
      </w:r>
      <w:proofErr w:type="spellEnd"/>
      <w:r>
        <w:rPr>
          <w:lang w:eastAsia="ja-JP"/>
        </w:rPr>
        <w:t xml:space="preserve"> Health.</w:t>
      </w:r>
    </w:p>
    <w:p w:rsidR="00CE0D3F" w:rsidRPr="00CC7A18" w:rsidRDefault="00CE0D3F" w:rsidP="00DA63A7">
      <w:pPr>
        <w:pStyle w:val="Heading3"/>
      </w:pPr>
      <w:r w:rsidRPr="00CC7A18">
        <w:t>2.</w:t>
      </w:r>
      <w:r w:rsidRPr="00CC7A18">
        <w:tab/>
        <w:t>Current status of coverage along the key dimensions of UHC</w:t>
      </w:r>
    </w:p>
    <w:p w:rsidR="00CE0D3F" w:rsidRPr="00450413" w:rsidRDefault="00CE0D3F" w:rsidP="00DA63A7">
      <w:pPr>
        <w:pStyle w:val="Heading4"/>
        <w:rPr>
          <w:rFonts w:ascii="Andes" w:hAnsi="Andes"/>
        </w:rPr>
      </w:pPr>
      <w:r w:rsidRPr="00450413">
        <w:rPr>
          <w:rFonts w:ascii="Andes" w:hAnsi="Andes"/>
        </w:rPr>
        <w:t>a. Population</w:t>
      </w:r>
    </w:p>
    <w:p w:rsidR="00CE0D3F" w:rsidRDefault="00CE0D3F" w:rsidP="00DA63A7">
      <w:pPr>
        <w:pStyle w:val="BodyText0"/>
        <w:jc w:val="both"/>
      </w:pPr>
      <w:r w:rsidRPr="001B51D1">
        <w:t>All Indonesians are entitled to health services, including through enrollment in one of the major health insurance programs. T</w:t>
      </w:r>
      <w:r w:rsidRPr="001B51D1">
        <w:rPr>
          <w:rFonts w:eastAsia="Calibri"/>
        </w:rPr>
        <w:t>he share of households covered by insurance was around 40</w:t>
      </w:r>
      <w:r w:rsidRPr="001B51D1">
        <w:rPr>
          <w:rFonts w:ascii="Courier New" w:eastAsia="Calibri" w:hAnsi="Courier New" w:cs="Courier New"/>
        </w:rPr>
        <w:t> </w:t>
      </w:r>
      <w:r w:rsidRPr="001B51D1">
        <w:rPr>
          <w:rFonts w:eastAsia="Calibri"/>
        </w:rPr>
        <w:t xml:space="preserve">percent in 2010. The largest program, </w:t>
      </w:r>
      <w:proofErr w:type="spellStart"/>
      <w:r w:rsidRPr="001B51D1">
        <w:rPr>
          <w:rFonts w:eastAsia="Calibri"/>
        </w:rPr>
        <w:t>Jamkesmas</w:t>
      </w:r>
      <w:proofErr w:type="spellEnd"/>
      <w:r w:rsidRPr="001B51D1">
        <w:rPr>
          <w:rFonts w:eastAsia="Calibri"/>
        </w:rPr>
        <w:t>, target</w:t>
      </w:r>
      <w:r w:rsidR="001824E3">
        <w:rPr>
          <w:rFonts w:eastAsia="Calibri"/>
        </w:rPr>
        <w:t>s</w:t>
      </w:r>
      <w:r w:rsidRPr="001B51D1">
        <w:rPr>
          <w:rFonts w:eastAsia="Calibri"/>
        </w:rPr>
        <w:t xml:space="preserve"> </w:t>
      </w:r>
      <w:r w:rsidR="002A294A">
        <w:rPr>
          <w:rFonts w:eastAsia="Calibri"/>
        </w:rPr>
        <w:t>7</w:t>
      </w:r>
      <w:r w:rsidRPr="001B51D1">
        <w:rPr>
          <w:rFonts w:eastAsia="Calibri"/>
        </w:rPr>
        <w:t>6</w:t>
      </w:r>
      <w:r w:rsidRPr="001B51D1">
        <w:t>.4 million poor and near</w:t>
      </w:r>
      <w:r>
        <w:t>-</w:t>
      </w:r>
      <w:r w:rsidRPr="001B51D1">
        <w:t xml:space="preserve">poor, or around one-third of Indonesia’s population, while </w:t>
      </w:r>
      <w:proofErr w:type="spellStart"/>
      <w:r w:rsidRPr="001B51D1">
        <w:t>Askes</w:t>
      </w:r>
      <w:proofErr w:type="spellEnd"/>
      <w:r w:rsidRPr="001B51D1">
        <w:t xml:space="preserve"> and </w:t>
      </w:r>
      <w:proofErr w:type="spellStart"/>
      <w:r w:rsidRPr="001B51D1">
        <w:t>Jamsostek</w:t>
      </w:r>
      <w:proofErr w:type="spellEnd"/>
      <w:r w:rsidRPr="001B51D1">
        <w:t xml:space="preserve"> cover</w:t>
      </w:r>
      <w:r w:rsidR="002A294A">
        <w:t>ed</w:t>
      </w:r>
      <w:r w:rsidRPr="001B51D1">
        <w:t xml:space="preserve"> around 6</w:t>
      </w:r>
      <w:r w:rsidRPr="001B51D1">
        <w:rPr>
          <w:rFonts w:ascii="Courier New" w:hAnsi="Courier New" w:cs="Courier New"/>
        </w:rPr>
        <w:t> </w:t>
      </w:r>
      <w:r w:rsidRPr="001B51D1">
        <w:t>percent and 2.4</w:t>
      </w:r>
      <w:r w:rsidRPr="001B51D1">
        <w:rPr>
          <w:rFonts w:ascii="Courier New" w:hAnsi="Courier New" w:cs="Courier New"/>
        </w:rPr>
        <w:t> </w:t>
      </w:r>
      <w:r w:rsidRPr="001B51D1">
        <w:t xml:space="preserve">percent, respectively. </w:t>
      </w:r>
    </w:p>
    <w:p w:rsidR="00DA63A7" w:rsidRPr="001B51D1" w:rsidRDefault="00DA63A7" w:rsidP="00DA63A7">
      <w:pPr>
        <w:pStyle w:val="BodyText0"/>
        <w:jc w:val="both"/>
      </w:pPr>
    </w:p>
    <w:p w:rsidR="00DA63A7" w:rsidRDefault="00CE0D3F" w:rsidP="00DA63A7">
      <w:pPr>
        <w:pStyle w:val="BodyText0"/>
        <w:jc w:val="both"/>
      </w:pPr>
      <w:r>
        <w:rPr>
          <w:noProof/>
        </w:rPr>
        <mc:AlternateContent>
          <mc:Choice Requires="wps">
            <w:drawing>
              <wp:inline distT="0" distB="0" distL="0" distR="0" wp14:anchorId="7D9C6459" wp14:editId="73C295C7">
                <wp:extent cx="5850467" cy="3522134"/>
                <wp:effectExtent l="0" t="0" r="17145" b="2159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3522134"/>
                        </a:xfrm>
                        <a:prstGeom prst="rect">
                          <a:avLst/>
                        </a:prstGeom>
                        <a:solidFill>
                          <a:srgbClr val="FFFFFF"/>
                        </a:solidFill>
                        <a:ln w="9525">
                          <a:solidFill>
                            <a:srgbClr val="FFFFFF"/>
                          </a:solidFill>
                          <a:miter lim="800000"/>
                          <a:headEnd/>
                          <a:tailEnd/>
                        </a:ln>
                      </wps:spPr>
                      <wps:txbx>
                        <w:txbxContent>
                          <w:p w:rsidR="003F7AE3" w:rsidRPr="00DA63A7" w:rsidRDefault="003F7AE3" w:rsidP="00DA63A7">
                            <w:pPr>
                              <w:pStyle w:val="1"/>
                              <w:ind w:left="90" w:firstLine="0"/>
                              <w:rPr>
                                <w:b/>
                              </w:rPr>
                            </w:pPr>
                            <w:proofErr w:type="gramStart"/>
                            <w:r w:rsidRPr="00DA63A7">
                              <w:rPr>
                                <w:b/>
                              </w:rPr>
                              <w:t>Figure 1.</w:t>
                            </w:r>
                            <w:proofErr w:type="gramEnd"/>
                            <w:r w:rsidRPr="00DA63A7">
                              <w:rPr>
                                <w:b/>
                              </w:rPr>
                              <w:t xml:space="preserve"> Estimated coverage and leakage rates, </w:t>
                            </w:r>
                            <w:proofErr w:type="spellStart"/>
                            <w:r w:rsidRPr="00DA63A7">
                              <w:rPr>
                                <w:b/>
                              </w:rPr>
                              <w:t>Jamkesmas</w:t>
                            </w:r>
                            <w:proofErr w:type="spellEnd"/>
                            <w:r w:rsidRPr="00DA63A7">
                              <w:rPr>
                                <w:b/>
                              </w:rPr>
                              <w:t>, 2011</w:t>
                            </w:r>
                          </w:p>
                          <w:p w:rsidR="003F7AE3" w:rsidRPr="001B51D1" w:rsidRDefault="003F7AE3" w:rsidP="00CE0D3F">
                            <w:pPr>
                              <w:pStyle w:val="1"/>
                            </w:pPr>
                            <w:r>
                              <w:rPr>
                                <w:noProof/>
                                <w:lang w:eastAsia="en-US"/>
                              </w:rPr>
                              <w:drawing>
                                <wp:inline distT="0" distB="0" distL="0" distR="0" wp14:anchorId="60D65DF7" wp14:editId="1ADFBB67">
                                  <wp:extent cx="4284134" cy="3236789"/>
                                  <wp:effectExtent l="0" t="0" r="2540" b="1905"/>
                                  <wp:docPr id="14379" name="Picture 1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9155" cy="3240583"/>
                                          </a:xfrm>
                                          <a:prstGeom prst="rect">
                                            <a:avLst/>
                                          </a:prstGeom>
                                          <a:noFill/>
                                          <a:ln>
                                            <a:noFill/>
                                          </a:ln>
                                        </pic:spPr>
                                      </pic:pic>
                                    </a:graphicData>
                                  </a:graphic>
                                </wp:inline>
                              </w:drawing>
                            </w:r>
                          </w:p>
                          <w:p w:rsidR="003F7AE3" w:rsidRPr="001B51D1" w:rsidRDefault="003F7AE3" w:rsidP="00CE0D3F">
                            <w:pPr>
                              <w:pStyle w:val="1"/>
                              <w:rPr>
                                <w:sz w:val="20"/>
                                <w:szCs w:val="20"/>
                              </w:rPr>
                            </w:pPr>
                          </w:p>
                          <w:p w:rsidR="003F7AE3" w:rsidRPr="001B51D1" w:rsidRDefault="003F7AE3" w:rsidP="00CE0D3F"/>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60.65pt;height:2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" strokecolor="white">
                <v:textbox>
                  <w:txbxContent>
                    <w:p w:rsidR="003F7AE3" w:rsidRPr="00DA63A7" w:rsidRDefault="003F7AE3" w:rsidP="00DA63A7">
                      <w:pPr>
                        <w:pStyle w:val="1"/>
                        <w:ind w:left="90" w:firstLine="0"/>
                        <w:rPr>
                          <w:b/>
                        </w:rPr>
                      </w:pPr>
                      <w:r w:rsidRPr="00DA63A7">
                        <w:rPr>
                          <w:b/>
                        </w:rPr>
                        <w:t>Figure 1. Estimated coverage and leakage rates, Jamkesmas, 2011</w:t>
                      </w:r>
                    </w:p>
                    <w:p w:rsidR="003F7AE3" w:rsidRPr="001B51D1" w:rsidRDefault="003F7AE3" w:rsidP="00CE0D3F">
                      <w:pPr>
                        <w:pStyle w:val="1"/>
                      </w:pPr>
                      <w:r>
                        <w:rPr>
                          <w:noProof/>
                          <w:lang w:eastAsia="en-US"/>
                        </w:rPr>
                        <w:drawing>
                          <wp:inline distT="0" distB="0" distL="0" distR="0" wp14:anchorId="60D65DF7" wp14:editId="1ADFBB67">
                            <wp:extent cx="4284134" cy="3236789"/>
                            <wp:effectExtent l="0" t="0" r="2540" b="1905"/>
                            <wp:docPr id="14379" name="Picture 1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9155" cy="3240583"/>
                                    </a:xfrm>
                                    <a:prstGeom prst="rect">
                                      <a:avLst/>
                                    </a:prstGeom>
                                    <a:noFill/>
                                    <a:ln>
                                      <a:noFill/>
                                    </a:ln>
                                  </pic:spPr>
                                </pic:pic>
                              </a:graphicData>
                            </a:graphic>
                          </wp:inline>
                        </w:drawing>
                      </w:r>
                    </w:p>
                    <w:p w:rsidR="003F7AE3" w:rsidRPr="001B51D1" w:rsidRDefault="003F7AE3" w:rsidP="00CE0D3F">
                      <w:pPr>
                        <w:pStyle w:val="1"/>
                        <w:rPr>
                          <w:sz w:val="20"/>
                          <w:szCs w:val="20"/>
                        </w:rPr>
                      </w:pPr>
                    </w:p>
                    <w:p w:rsidR="003F7AE3" w:rsidRPr="001B51D1" w:rsidRDefault="003F7AE3" w:rsidP="00CE0D3F"/>
                  </w:txbxContent>
                </v:textbox>
                <w10:anchorlock/>
              </v:shape>
            </w:pict>
          </mc:Fallback>
        </mc:AlternateContent>
      </w:r>
    </w:p>
    <w:p w:rsidR="00DA63A7" w:rsidRDefault="00DA63A7" w:rsidP="00DA63A7">
      <w:pPr>
        <w:pStyle w:val="BodyText0"/>
        <w:jc w:val="both"/>
      </w:pPr>
    </w:p>
    <w:p w:rsidR="00CE0D3F" w:rsidRDefault="00CE0D3F" w:rsidP="00DA63A7">
      <w:pPr>
        <w:pStyle w:val="BodyText0"/>
        <w:jc w:val="both"/>
        <w:rPr>
          <w:lang w:eastAsia="ja-JP"/>
        </w:rPr>
      </w:pPr>
      <w:r w:rsidRPr="001B51D1">
        <w:t xml:space="preserve">Analysis of the </w:t>
      </w:r>
      <w:r w:rsidR="00E4173B">
        <w:t>N</w:t>
      </w:r>
      <w:r w:rsidRPr="001B51D1">
        <w:t>ational Socioeconomic Survey (</w:t>
      </w:r>
      <w:proofErr w:type="spellStart"/>
      <w:r w:rsidRPr="001B51D1">
        <w:t>Susenas</w:t>
      </w:r>
      <w:proofErr w:type="spellEnd"/>
      <w:r w:rsidRPr="001B51D1">
        <w:t xml:space="preserve">) 2011 finds </w:t>
      </w:r>
      <w:proofErr w:type="spellStart"/>
      <w:r w:rsidRPr="001B51D1">
        <w:t>Jamkesmas</w:t>
      </w:r>
      <w:proofErr w:type="spellEnd"/>
      <w:r w:rsidRPr="001B51D1">
        <w:t xml:space="preserve"> coverage is only around 33</w:t>
      </w:r>
      <w:r w:rsidRPr="001B51D1">
        <w:rPr>
          <w:rFonts w:ascii="Courier New" w:hAnsi="Courier New" w:cs="Courier New"/>
        </w:rPr>
        <w:t> </w:t>
      </w:r>
      <w:r w:rsidRPr="001B51D1">
        <w:t>percent from target and the leakage to non-eligible beneficiaries is around 53</w:t>
      </w:r>
      <w:r w:rsidRPr="001B51D1">
        <w:rPr>
          <w:rFonts w:ascii="Courier New" w:hAnsi="Courier New" w:cs="Courier New"/>
        </w:rPr>
        <w:t> </w:t>
      </w:r>
      <w:r w:rsidRPr="001B51D1">
        <w:t>percent (Figure 1).</w:t>
      </w:r>
      <w:r w:rsidRPr="001B51D1">
        <w:rPr>
          <w:rStyle w:val="FootnoteReference"/>
          <w:szCs w:val="23"/>
        </w:rPr>
        <w:footnoteReference w:id="1"/>
      </w:r>
      <w:r w:rsidRPr="001B51D1">
        <w:rPr>
          <w:lang w:eastAsia="ja-JP"/>
        </w:rPr>
        <w:t xml:space="preserve"> </w:t>
      </w:r>
      <w:proofErr w:type="spellStart"/>
      <w:r w:rsidRPr="001B51D1">
        <w:rPr>
          <w:lang w:eastAsia="ja-JP"/>
        </w:rPr>
        <w:t>Jamsostek</w:t>
      </w:r>
      <w:proofErr w:type="spellEnd"/>
      <w:r w:rsidRPr="001B51D1">
        <w:rPr>
          <w:lang w:eastAsia="ja-JP"/>
        </w:rPr>
        <w:t xml:space="preserve"> only covers around 15</w:t>
      </w:r>
      <w:r w:rsidRPr="001B51D1">
        <w:rPr>
          <w:rFonts w:ascii="Courier New" w:hAnsi="Courier New" w:cs="Courier New"/>
          <w:lang w:eastAsia="ja-JP"/>
        </w:rPr>
        <w:t> </w:t>
      </w:r>
      <w:r w:rsidRPr="001B51D1">
        <w:rPr>
          <w:lang w:eastAsia="ja-JP"/>
        </w:rPr>
        <w:t xml:space="preserve">percent of formal workers, as a result </w:t>
      </w:r>
      <w:r w:rsidRPr="001B51D1">
        <w:rPr>
          <w:lang w:eastAsia="ja-JP"/>
        </w:rPr>
        <w:lastRenderedPageBreak/>
        <w:t xml:space="preserve">of firm size limitation (only firms with 10 or more employees have to participate) and opt-out provisions for firms providing private voluntary health insurance. Indonesia faces a problem common to many other countries in covering its informal workers—more than 60 million of them. The </w:t>
      </w:r>
      <w:r>
        <w:rPr>
          <w:lang w:eastAsia="ja-JP"/>
        </w:rPr>
        <w:t xml:space="preserve">2012–2019 </w:t>
      </w:r>
      <w:r w:rsidRPr="001B51D1">
        <w:rPr>
          <w:lang w:eastAsia="ja-JP"/>
        </w:rPr>
        <w:t xml:space="preserve">road map of </w:t>
      </w:r>
      <w:r>
        <w:rPr>
          <w:lang w:eastAsia="ja-JP"/>
        </w:rPr>
        <w:t>JKN</w:t>
      </w:r>
      <w:r w:rsidRPr="001B51D1">
        <w:rPr>
          <w:lang w:eastAsia="ja-JP"/>
        </w:rPr>
        <w:t xml:space="preserve"> acknowledged the difficulty of collecting contribution from this sector, and indicated the possibility of government subsidies.</w:t>
      </w:r>
    </w:p>
    <w:p w:rsidR="00CE0D3F" w:rsidRPr="001B51D1" w:rsidRDefault="00CE0D3F" w:rsidP="00DA63A7">
      <w:pPr>
        <w:pStyle w:val="Heading4"/>
      </w:pPr>
      <w:r>
        <w:t xml:space="preserve">b. </w:t>
      </w:r>
      <w:r w:rsidRPr="00BF64A5">
        <w:t>Services</w:t>
      </w:r>
    </w:p>
    <w:p w:rsidR="00CE0D3F" w:rsidRPr="006D21BC" w:rsidRDefault="00CE0D3F" w:rsidP="00DA63A7">
      <w:pPr>
        <w:pStyle w:val="BodyText0"/>
        <w:jc w:val="both"/>
      </w:pPr>
      <w:proofErr w:type="spellStart"/>
      <w:r w:rsidRPr="001B51D1">
        <w:t>Jamkesmas</w:t>
      </w:r>
      <w:proofErr w:type="spellEnd"/>
      <w:r w:rsidRPr="001B51D1">
        <w:t xml:space="preserve"> has a benefit package that is more generous and inclusive than the other social insurance programs. It includes, for example, cancer treatment, cardiac surgery, </w:t>
      </w:r>
      <w:proofErr w:type="spellStart"/>
      <w:r w:rsidRPr="001B51D1">
        <w:t>hemodyalisis</w:t>
      </w:r>
      <w:proofErr w:type="spellEnd"/>
      <w:r w:rsidRPr="001B51D1">
        <w:t xml:space="preserve">, and congenital diseases, all of which </w:t>
      </w:r>
      <w:proofErr w:type="spellStart"/>
      <w:r w:rsidRPr="001B51D1">
        <w:t>Jamsostek</w:t>
      </w:r>
      <w:proofErr w:type="spellEnd"/>
      <w:r w:rsidRPr="001B51D1">
        <w:t xml:space="preserve"> </w:t>
      </w:r>
      <w:r w:rsidRPr="0061370C">
        <w:t>exclude</w:t>
      </w:r>
      <w:r>
        <w:t>s</w:t>
      </w:r>
      <w:r w:rsidRPr="001B51D1">
        <w:t xml:space="preserve">. Table 2 provides a snapshot of the benefits available under the three main programs. </w:t>
      </w:r>
      <w:proofErr w:type="spellStart"/>
      <w:r w:rsidRPr="001B51D1">
        <w:t>Jamkesmas</w:t>
      </w:r>
      <w:proofErr w:type="spellEnd"/>
      <w:r w:rsidRPr="001B51D1">
        <w:t>’ target population can, in principle, use primary care services at all primary health centers (</w:t>
      </w:r>
      <w:proofErr w:type="spellStart"/>
      <w:r w:rsidRPr="001B51D1">
        <w:rPr>
          <w:i/>
        </w:rPr>
        <w:t>puskesmas</w:t>
      </w:r>
      <w:proofErr w:type="spellEnd"/>
      <w:r w:rsidRPr="001B51D1">
        <w:t xml:space="preserve">) as well as inpatient services (in third-class beds) at secondary and tertiary public hospitals and selected private hospitals. </w:t>
      </w:r>
    </w:p>
    <w:p w:rsidR="00CE0D3F" w:rsidRDefault="00CE0D3F" w:rsidP="00DA63A7">
      <w:pPr>
        <w:pStyle w:val="BodyText0"/>
        <w:jc w:val="both"/>
        <w:rPr>
          <w:lang w:eastAsia="ja-JP"/>
        </w:rPr>
      </w:pPr>
      <w:r w:rsidRPr="001B51D1">
        <w:rPr>
          <w:lang w:eastAsia="ja-JP"/>
        </w:rPr>
        <w:t xml:space="preserve">Yet challenges remain. </w:t>
      </w:r>
      <w:r w:rsidRPr="001B51D1">
        <w:t xml:space="preserve">Availability of services to deliver the </w:t>
      </w:r>
      <w:proofErr w:type="spellStart"/>
      <w:r w:rsidRPr="001B51D1">
        <w:t>Jamkesmas</w:t>
      </w:r>
      <w:proofErr w:type="spellEnd"/>
      <w:r w:rsidRPr="001B51D1">
        <w:t xml:space="preserve"> </w:t>
      </w:r>
      <w:r>
        <w:t xml:space="preserve">benefits </w:t>
      </w:r>
      <w:r w:rsidRPr="001B51D1">
        <w:t xml:space="preserve">package is limited, especially in remote and rural areas. </w:t>
      </w:r>
      <w:r w:rsidRPr="001B51D1">
        <w:rPr>
          <w:lang w:eastAsia="ja-JP"/>
        </w:rPr>
        <w:t xml:space="preserve">OOP payments, even among those with coverage, are high. </w:t>
      </w:r>
    </w:p>
    <w:p w:rsidR="00DA63A7" w:rsidRPr="001B51D1" w:rsidRDefault="00DA63A7" w:rsidP="00CE0D3F">
      <w:pPr>
        <w:pStyle w:val="BodyText0"/>
      </w:pPr>
    </w:p>
    <w:p w:rsidR="00CE0D3F" w:rsidRPr="001824E3" w:rsidRDefault="00CE0D3F" w:rsidP="003456C4">
      <w:pPr>
        <w:pStyle w:val="Caption"/>
        <w:rPr>
          <w:rFonts w:ascii="Andes" w:hAnsi="Andes"/>
        </w:rPr>
      </w:pPr>
      <w:proofErr w:type="gramStart"/>
      <w:r w:rsidRPr="001824E3">
        <w:rPr>
          <w:rFonts w:ascii="Andes" w:hAnsi="Andes"/>
        </w:rPr>
        <w:t>Table 2.</w:t>
      </w:r>
      <w:proofErr w:type="gramEnd"/>
      <w:r w:rsidRPr="001824E3">
        <w:rPr>
          <w:rFonts w:ascii="Andes" w:hAnsi="Andes"/>
        </w:rPr>
        <w:t xml:space="preserve"> Comparing the three main social insurance programs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108"/>
        <w:gridCol w:w="2902"/>
        <w:gridCol w:w="3246"/>
      </w:tblGrid>
      <w:tr w:rsidR="00CE0D3F" w:rsidRPr="001B51D1" w:rsidTr="00361839">
        <w:trPr>
          <w:cantSplit/>
          <w:tblHeader/>
          <w:jc w:val="center"/>
        </w:trPr>
        <w:tc>
          <w:tcPr>
            <w:tcW w:w="0" w:type="auto"/>
            <w:tcBorders>
              <w:top w:val="double" w:sz="4" w:space="0" w:color="auto"/>
              <w:left w:val="nil"/>
              <w:bottom w:val="double" w:sz="4" w:space="0" w:color="auto"/>
              <w:right w:val="nil"/>
            </w:tcBorders>
            <w:shd w:val="clear" w:color="auto" w:fill="DBE5F1" w:themeFill="accent1" w:themeFillTint="33"/>
          </w:tcPr>
          <w:p w:rsidR="00CE0D3F" w:rsidRPr="001B51D1" w:rsidRDefault="00CE0D3F" w:rsidP="0004011F">
            <w:pPr>
              <w:rPr>
                <w:lang w:bidi="en-US"/>
              </w:rPr>
            </w:pPr>
          </w:p>
        </w:tc>
        <w:tc>
          <w:tcPr>
            <w:tcW w:w="0" w:type="auto"/>
            <w:tcBorders>
              <w:top w:val="double" w:sz="4" w:space="0" w:color="auto"/>
              <w:left w:val="nil"/>
              <w:bottom w:val="double" w:sz="4" w:space="0" w:color="auto"/>
              <w:right w:val="nil"/>
            </w:tcBorders>
            <w:shd w:val="clear" w:color="auto" w:fill="DBE5F1" w:themeFill="accent1" w:themeFillTint="33"/>
          </w:tcPr>
          <w:p w:rsidR="00CE0D3F" w:rsidRPr="00DA63A7" w:rsidRDefault="00CE0D3F" w:rsidP="0004011F">
            <w:pPr>
              <w:rPr>
                <w:b/>
                <w:lang w:bidi="en-US"/>
              </w:rPr>
            </w:pPr>
            <w:proofErr w:type="spellStart"/>
            <w:r w:rsidRPr="00DA63A7">
              <w:rPr>
                <w:b/>
                <w:lang w:bidi="en-US"/>
              </w:rPr>
              <w:t>Jamkesmas</w:t>
            </w:r>
            <w:proofErr w:type="spellEnd"/>
            <w:r w:rsidRPr="00DA63A7">
              <w:rPr>
                <w:rStyle w:val="FootnoteReference"/>
                <w:b/>
                <w:lang w:bidi="en-US"/>
              </w:rPr>
              <w:footnoteReference w:id="2"/>
            </w:r>
            <w:r w:rsidRPr="00DA63A7">
              <w:rPr>
                <w:b/>
                <w:lang w:bidi="en-US"/>
              </w:rPr>
              <w:t xml:space="preserve"> (established 2005)</w:t>
            </w:r>
          </w:p>
        </w:tc>
        <w:tc>
          <w:tcPr>
            <w:tcW w:w="2902" w:type="dxa"/>
            <w:tcBorders>
              <w:top w:val="double" w:sz="4" w:space="0" w:color="auto"/>
              <w:left w:val="nil"/>
              <w:bottom w:val="double" w:sz="4" w:space="0" w:color="auto"/>
              <w:right w:val="nil"/>
            </w:tcBorders>
            <w:shd w:val="clear" w:color="auto" w:fill="DBE5F1" w:themeFill="accent1" w:themeFillTint="33"/>
          </w:tcPr>
          <w:p w:rsidR="00CE0D3F" w:rsidRPr="00DA63A7" w:rsidRDefault="00CE0D3F" w:rsidP="0004011F">
            <w:pPr>
              <w:rPr>
                <w:b/>
                <w:lang w:bidi="en-US"/>
              </w:rPr>
            </w:pPr>
            <w:proofErr w:type="spellStart"/>
            <w:r w:rsidRPr="00DA63A7">
              <w:rPr>
                <w:b/>
                <w:lang w:bidi="en-US"/>
              </w:rPr>
              <w:t>Askes</w:t>
            </w:r>
            <w:proofErr w:type="spellEnd"/>
            <w:r w:rsidRPr="00DA63A7">
              <w:rPr>
                <w:b/>
                <w:lang w:bidi="en-US"/>
              </w:rPr>
              <w:t xml:space="preserve"> (established 1960)</w:t>
            </w:r>
          </w:p>
        </w:tc>
        <w:tc>
          <w:tcPr>
            <w:tcW w:w="3246" w:type="dxa"/>
            <w:tcBorders>
              <w:top w:val="double" w:sz="4" w:space="0" w:color="auto"/>
              <w:left w:val="nil"/>
              <w:bottom w:val="double" w:sz="4" w:space="0" w:color="auto"/>
              <w:right w:val="nil"/>
            </w:tcBorders>
            <w:shd w:val="clear" w:color="auto" w:fill="DBE5F1" w:themeFill="accent1" w:themeFillTint="33"/>
          </w:tcPr>
          <w:p w:rsidR="00CE0D3F" w:rsidRPr="00DA63A7" w:rsidRDefault="00CE0D3F" w:rsidP="0004011F">
            <w:pPr>
              <w:rPr>
                <w:b/>
                <w:lang w:bidi="en-US"/>
              </w:rPr>
            </w:pPr>
            <w:proofErr w:type="spellStart"/>
            <w:r w:rsidRPr="00DA63A7">
              <w:rPr>
                <w:b/>
                <w:lang w:bidi="en-US"/>
              </w:rPr>
              <w:t>Jamsostek</w:t>
            </w:r>
            <w:proofErr w:type="spellEnd"/>
            <w:r w:rsidRPr="00DA63A7">
              <w:rPr>
                <w:b/>
                <w:lang w:bidi="en-US"/>
              </w:rPr>
              <w:t xml:space="preserve"> (established 1992)</w:t>
            </w:r>
          </w:p>
        </w:tc>
      </w:tr>
      <w:tr w:rsidR="00CE0D3F" w:rsidRPr="001B51D1" w:rsidTr="00361839">
        <w:trPr>
          <w:cantSplit/>
          <w:jc w:val="center"/>
        </w:trPr>
        <w:tc>
          <w:tcPr>
            <w:tcW w:w="0" w:type="auto"/>
            <w:tcBorders>
              <w:top w:val="double" w:sz="4" w:space="0" w:color="auto"/>
              <w:left w:val="nil"/>
              <w:bottom w:val="single" w:sz="4" w:space="0" w:color="auto"/>
              <w:right w:val="nil"/>
            </w:tcBorders>
          </w:tcPr>
          <w:p w:rsidR="00CE0D3F" w:rsidRPr="001B51D1" w:rsidRDefault="00CE0D3F" w:rsidP="0004011F">
            <w:pPr>
              <w:rPr>
                <w:lang w:bidi="en-US"/>
              </w:rPr>
            </w:pPr>
            <w:r w:rsidRPr="001B51D1">
              <w:rPr>
                <w:lang w:bidi="en-US"/>
              </w:rPr>
              <w:t>Groups mandated</w:t>
            </w:r>
          </w:p>
        </w:tc>
        <w:tc>
          <w:tcPr>
            <w:tcW w:w="0" w:type="auto"/>
            <w:tcBorders>
              <w:top w:val="double" w:sz="4" w:space="0" w:color="auto"/>
              <w:left w:val="nil"/>
              <w:bottom w:val="single" w:sz="4" w:space="0" w:color="auto"/>
              <w:right w:val="nil"/>
            </w:tcBorders>
          </w:tcPr>
          <w:p w:rsidR="00CE0D3F" w:rsidRPr="001B51D1" w:rsidRDefault="00CE0D3F" w:rsidP="0004011F">
            <w:pPr>
              <w:rPr>
                <w:lang w:bidi="en-US"/>
              </w:rPr>
            </w:pPr>
            <w:r w:rsidRPr="001B51D1">
              <w:rPr>
                <w:lang w:bidi="en-US"/>
              </w:rPr>
              <w:t>Poor and the near</w:t>
            </w:r>
            <w:r>
              <w:rPr>
                <w:lang w:bidi="en-US"/>
              </w:rPr>
              <w:t>-</w:t>
            </w:r>
            <w:r w:rsidRPr="001B51D1">
              <w:rPr>
                <w:lang w:bidi="en-US"/>
              </w:rPr>
              <w:t xml:space="preserve">poor </w:t>
            </w:r>
          </w:p>
        </w:tc>
        <w:tc>
          <w:tcPr>
            <w:tcW w:w="2902" w:type="dxa"/>
            <w:tcBorders>
              <w:top w:val="double" w:sz="4" w:space="0" w:color="auto"/>
              <w:left w:val="nil"/>
              <w:bottom w:val="single" w:sz="4" w:space="0" w:color="auto"/>
              <w:right w:val="nil"/>
            </w:tcBorders>
          </w:tcPr>
          <w:p w:rsidR="00CE0D3F" w:rsidRPr="001B51D1" w:rsidRDefault="00CE0D3F" w:rsidP="0004011F">
            <w:pPr>
              <w:rPr>
                <w:lang w:bidi="en-US"/>
              </w:rPr>
            </w:pPr>
            <w:r w:rsidRPr="001B51D1">
              <w:rPr>
                <w:lang w:bidi="en-US"/>
              </w:rPr>
              <w:t>Civil servants; retired civil servants; retired military personnel and veterans</w:t>
            </w:r>
          </w:p>
        </w:tc>
        <w:tc>
          <w:tcPr>
            <w:tcW w:w="3246" w:type="dxa"/>
            <w:tcBorders>
              <w:top w:val="double" w:sz="4" w:space="0" w:color="auto"/>
              <w:left w:val="nil"/>
              <w:bottom w:val="single" w:sz="4" w:space="0" w:color="auto"/>
              <w:right w:val="nil"/>
            </w:tcBorders>
          </w:tcPr>
          <w:p w:rsidR="00CE0D3F" w:rsidRPr="001B51D1" w:rsidRDefault="00CE0D3F" w:rsidP="0004011F">
            <w:pPr>
              <w:rPr>
                <w:lang w:bidi="en-US"/>
              </w:rPr>
            </w:pPr>
            <w:r w:rsidRPr="001B51D1">
              <w:rPr>
                <w:lang w:bidi="en-US"/>
              </w:rPr>
              <w:t>Private employers with &gt;10 employees or pay salary &gt;</w:t>
            </w:r>
            <w:proofErr w:type="spellStart"/>
            <w:r w:rsidRPr="001B51D1">
              <w:rPr>
                <w:lang w:bidi="en-US"/>
              </w:rPr>
              <w:t>Rp</w:t>
            </w:r>
            <w:proofErr w:type="spellEnd"/>
            <w:r w:rsidRPr="001B51D1">
              <w:rPr>
                <w:lang w:bidi="en-US"/>
              </w:rPr>
              <w:t xml:space="preserve"> 1 million a month</w:t>
            </w:r>
          </w:p>
        </w:tc>
      </w:tr>
      <w:tr w:rsidR="00CE0D3F" w:rsidRPr="001B51D1" w:rsidTr="00361839">
        <w:trPr>
          <w:cantSplit/>
          <w:jc w:val="center"/>
        </w:trPr>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Number enrolled</w:t>
            </w:r>
          </w:p>
        </w:tc>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76.4 million</w:t>
            </w:r>
          </w:p>
        </w:tc>
        <w:tc>
          <w:tcPr>
            <w:tcW w:w="2902"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16.6 million</w:t>
            </w:r>
          </w:p>
        </w:tc>
        <w:tc>
          <w:tcPr>
            <w:tcW w:w="3246"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5.0 million</w:t>
            </w:r>
          </w:p>
        </w:tc>
      </w:tr>
      <w:tr w:rsidR="00CE0D3F" w:rsidRPr="001B51D1" w:rsidTr="00361839">
        <w:trPr>
          <w:cantSplit/>
          <w:jc w:val="center"/>
        </w:trPr>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Premium</w:t>
            </w:r>
            <w:r>
              <w:rPr>
                <w:rStyle w:val="FootnoteReference"/>
                <w:b/>
                <w:lang w:bidi="en-US"/>
              </w:rPr>
              <w:footnoteReference w:id="3"/>
            </w:r>
          </w:p>
        </w:tc>
        <w:tc>
          <w:tcPr>
            <w:tcW w:w="0" w:type="auto"/>
            <w:tcBorders>
              <w:top w:val="single" w:sz="4" w:space="0" w:color="auto"/>
              <w:left w:val="nil"/>
              <w:bottom w:val="single" w:sz="4" w:space="0" w:color="auto"/>
              <w:right w:val="nil"/>
            </w:tcBorders>
          </w:tcPr>
          <w:p w:rsidR="00CE0D3F" w:rsidRPr="001B51D1" w:rsidRDefault="00CE0D3F" w:rsidP="0004011F">
            <w:pPr>
              <w:rPr>
                <w:lang w:val="it-IT" w:bidi="en-US"/>
              </w:rPr>
            </w:pPr>
            <w:r>
              <w:rPr>
                <w:lang w:val="it-IT" w:bidi="en-US"/>
              </w:rPr>
              <w:t>Rp</w:t>
            </w:r>
            <w:r>
              <w:rPr>
                <w:rFonts w:ascii="Courier New" w:hAnsi="Courier New" w:cs="Courier New"/>
                <w:lang w:val="it-IT" w:bidi="en-US"/>
              </w:rPr>
              <w:t> </w:t>
            </w:r>
            <w:r w:rsidRPr="001B51D1">
              <w:rPr>
                <w:lang w:val="it-IT" w:bidi="en-US"/>
              </w:rPr>
              <w:t>6,500 ($ 0.67) per capita per month</w:t>
            </w:r>
          </w:p>
        </w:tc>
        <w:tc>
          <w:tcPr>
            <w:tcW w:w="2902"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2% of basic + 1% government; No ceiling</w:t>
            </w:r>
          </w:p>
        </w:tc>
        <w:tc>
          <w:tcPr>
            <w:tcW w:w="3246"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3% of salary for bachelors;</w:t>
            </w:r>
          </w:p>
          <w:p w:rsidR="00CE0D3F" w:rsidRPr="001B51D1" w:rsidRDefault="00CE0D3F" w:rsidP="0004011F">
            <w:pPr>
              <w:rPr>
                <w:lang w:bidi="en-US"/>
              </w:rPr>
            </w:pPr>
            <w:r w:rsidRPr="001B51D1">
              <w:rPr>
                <w:lang w:bidi="en-US"/>
              </w:rPr>
              <w:t xml:space="preserve">6% of salary for married employees; Ceiling </w:t>
            </w:r>
            <w:proofErr w:type="spellStart"/>
            <w:r w:rsidRPr="001B51D1">
              <w:rPr>
                <w:lang w:bidi="en-US"/>
              </w:rPr>
              <w:t>Rp</w:t>
            </w:r>
            <w:proofErr w:type="spellEnd"/>
            <w:r w:rsidRPr="001B51D1">
              <w:rPr>
                <w:lang w:bidi="en-US"/>
              </w:rPr>
              <w:t xml:space="preserve"> 1 million per month (not changed since 1993)</w:t>
            </w:r>
          </w:p>
        </w:tc>
      </w:tr>
      <w:tr w:rsidR="00CE0D3F" w:rsidRPr="001B51D1" w:rsidTr="00361839">
        <w:trPr>
          <w:cantSplit/>
          <w:jc w:val="center"/>
        </w:trPr>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lastRenderedPageBreak/>
              <w:t xml:space="preserve">Contributor </w:t>
            </w:r>
          </w:p>
        </w:tc>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Government 100%</w:t>
            </w:r>
          </w:p>
        </w:tc>
        <w:tc>
          <w:tcPr>
            <w:tcW w:w="2902"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 xml:space="preserve">Employees 66%; employer 34% </w:t>
            </w:r>
          </w:p>
        </w:tc>
        <w:tc>
          <w:tcPr>
            <w:tcW w:w="3246"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Employers 100%</w:t>
            </w:r>
          </w:p>
        </w:tc>
      </w:tr>
      <w:tr w:rsidR="00CE0D3F" w:rsidRPr="001B51D1" w:rsidTr="00361839">
        <w:trPr>
          <w:cantSplit/>
          <w:jc w:val="center"/>
        </w:trPr>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Carrier</w:t>
            </w:r>
          </w:p>
        </w:tc>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Ministry of Health</w:t>
            </w:r>
          </w:p>
        </w:tc>
        <w:tc>
          <w:tcPr>
            <w:tcW w:w="2902"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 xml:space="preserve">PT </w:t>
            </w:r>
            <w:proofErr w:type="spellStart"/>
            <w:r w:rsidRPr="001B51D1">
              <w:rPr>
                <w:lang w:bidi="en-US"/>
              </w:rPr>
              <w:t>Askes</w:t>
            </w:r>
            <w:proofErr w:type="spellEnd"/>
            <w:r w:rsidRPr="001B51D1">
              <w:rPr>
                <w:lang w:bidi="en-US"/>
              </w:rPr>
              <w:t xml:space="preserve"> (for profit)</w:t>
            </w:r>
          </w:p>
        </w:tc>
        <w:tc>
          <w:tcPr>
            <w:tcW w:w="3246"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 xml:space="preserve">PT </w:t>
            </w:r>
            <w:proofErr w:type="spellStart"/>
            <w:r w:rsidRPr="001B51D1">
              <w:rPr>
                <w:lang w:bidi="en-US"/>
              </w:rPr>
              <w:t>Jamsostek</w:t>
            </w:r>
            <w:proofErr w:type="spellEnd"/>
            <w:r w:rsidRPr="001B51D1">
              <w:rPr>
                <w:lang w:bidi="en-US"/>
              </w:rPr>
              <w:t xml:space="preserve"> (for profit)</w:t>
            </w:r>
          </w:p>
        </w:tc>
      </w:tr>
      <w:tr w:rsidR="00CE0D3F" w:rsidRPr="001B51D1" w:rsidTr="00361839">
        <w:trPr>
          <w:cantSplit/>
          <w:jc w:val="center"/>
        </w:trPr>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Benefits</w:t>
            </w:r>
          </w:p>
        </w:tc>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Comprehensive; Drugs are covered if prescribed within formulary; No cost-sharing</w:t>
            </w:r>
          </w:p>
          <w:p w:rsidR="00CE0D3F" w:rsidRPr="001B51D1" w:rsidRDefault="00CE0D3F" w:rsidP="0004011F">
            <w:pPr>
              <w:rPr>
                <w:lang w:bidi="en-US"/>
              </w:rPr>
            </w:pPr>
          </w:p>
        </w:tc>
        <w:tc>
          <w:tcPr>
            <w:tcW w:w="2902"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 xml:space="preserve">Comprehensive, no specific exclusion; Drugs are covered if prescribed within formulary; </w:t>
            </w:r>
          </w:p>
          <w:p w:rsidR="00CE0D3F" w:rsidRPr="001B51D1" w:rsidRDefault="00CE0D3F" w:rsidP="0004011F">
            <w:pPr>
              <w:rPr>
                <w:lang w:bidi="en-US"/>
              </w:rPr>
            </w:pPr>
            <w:r w:rsidRPr="001B51D1">
              <w:rPr>
                <w:lang w:bidi="en-US"/>
              </w:rPr>
              <w:t>Cost-sharing available when services fall outside basic benefit package</w:t>
            </w:r>
          </w:p>
        </w:tc>
        <w:tc>
          <w:tcPr>
            <w:tcW w:w="3246"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Comprehensive; cancer treatment, cardiac surgery, hemodialysis, and congenital diseases are excluded;</w:t>
            </w:r>
            <w:r w:rsidRPr="001B51D1">
              <w:rPr>
                <w:rStyle w:val="FootnoteReference"/>
                <w:lang w:bidi="en-US"/>
              </w:rPr>
              <w:footnoteReference w:id="4"/>
            </w:r>
            <w:r w:rsidRPr="001B51D1">
              <w:rPr>
                <w:lang w:bidi="en-US"/>
              </w:rPr>
              <w:t xml:space="preserve"> drugs are covered if prescribed within formulary;</w:t>
            </w:r>
          </w:p>
          <w:p w:rsidR="00CE0D3F" w:rsidRPr="001B51D1" w:rsidRDefault="00CE0D3F" w:rsidP="0004011F">
            <w:pPr>
              <w:rPr>
                <w:lang w:bidi="en-US"/>
              </w:rPr>
            </w:pPr>
            <w:r w:rsidRPr="001B51D1">
              <w:rPr>
                <w:lang w:bidi="en-US"/>
              </w:rPr>
              <w:t>no cost-sharing</w:t>
            </w:r>
          </w:p>
        </w:tc>
      </w:tr>
      <w:tr w:rsidR="00CE0D3F" w:rsidRPr="001B51D1" w:rsidTr="00361839">
        <w:trPr>
          <w:cantSplit/>
          <w:jc w:val="center"/>
        </w:trPr>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 xml:space="preserve">Dependents </w:t>
            </w:r>
          </w:p>
        </w:tc>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All family members</w:t>
            </w:r>
          </w:p>
        </w:tc>
        <w:tc>
          <w:tcPr>
            <w:tcW w:w="2902"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Spouse + 2 children under 21 years who are not working and not married</w:t>
            </w:r>
          </w:p>
        </w:tc>
        <w:tc>
          <w:tcPr>
            <w:tcW w:w="3246"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Spouse + 3 children under 21 years who are not working and not married</w:t>
            </w:r>
          </w:p>
        </w:tc>
      </w:tr>
      <w:tr w:rsidR="00CE0D3F" w:rsidRPr="001B51D1" w:rsidTr="00361839">
        <w:trPr>
          <w:cantSplit/>
          <w:jc w:val="center"/>
        </w:trPr>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 xml:space="preserve">Providers </w:t>
            </w:r>
          </w:p>
        </w:tc>
        <w:tc>
          <w:tcPr>
            <w:tcW w:w="0" w:type="auto"/>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 xml:space="preserve">All </w:t>
            </w:r>
            <w:proofErr w:type="spellStart"/>
            <w:r w:rsidRPr="001B51D1">
              <w:rPr>
                <w:i/>
                <w:lang w:bidi="en-US"/>
              </w:rPr>
              <w:t>puske</w:t>
            </w:r>
            <w:r>
              <w:rPr>
                <w:i/>
                <w:lang w:bidi="en-US"/>
              </w:rPr>
              <w:t>s</w:t>
            </w:r>
            <w:r w:rsidRPr="001B51D1">
              <w:rPr>
                <w:i/>
                <w:lang w:bidi="en-US"/>
              </w:rPr>
              <w:t>mas</w:t>
            </w:r>
            <w:proofErr w:type="spellEnd"/>
            <w:r w:rsidRPr="001B51D1">
              <w:rPr>
                <w:lang w:bidi="en-US"/>
              </w:rPr>
              <w:t xml:space="preserve"> and public hospitals and selected empanelled private hospitals</w:t>
            </w:r>
          </w:p>
        </w:tc>
        <w:tc>
          <w:tcPr>
            <w:tcW w:w="2902"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 xml:space="preserve">Mostly contracted public health centers and public hospitals </w:t>
            </w:r>
          </w:p>
        </w:tc>
        <w:tc>
          <w:tcPr>
            <w:tcW w:w="3246" w:type="dxa"/>
            <w:tcBorders>
              <w:top w:val="single" w:sz="4" w:space="0" w:color="auto"/>
              <w:left w:val="nil"/>
              <w:bottom w:val="single" w:sz="4" w:space="0" w:color="auto"/>
              <w:right w:val="nil"/>
            </w:tcBorders>
          </w:tcPr>
          <w:p w:rsidR="00CE0D3F" w:rsidRPr="001B51D1" w:rsidRDefault="00CE0D3F" w:rsidP="0004011F">
            <w:pPr>
              <w:rPr>
                <w:lang w:bidi="en-US"/>
              </w:rPr>
            </w:pPr>
            <w:r w:rsidRPr="001B51D1">
              <w:rPr>
                <w:lang w:bidi="en-US"/>
              </w:rPr>
              <w:t>Mixed: public and private providers</w:t>
            </w:r>
          </w:p>
        </w:tc>
      </w:tr>
      <w:tr w:rsidR="00CE0D3F" w:rsidRPr="001B51D1" w:rsidTr="00361839">
        <w:trPr>
          <w:cantSplit/>
          <w:trHeight w:val="746"/>
          <w:jc w:val="center"/>
        </w:trPr>
        <w:tc>
          <w:tcPr>
            <w:tcW w:w="0" w:type="auto"/>
            <w:tcBorders>
              <w:top w:val="single" w:sz="4" w:space="0" w:color="auto"/>
              <w:left w:val="nil"/>
              <w:right w:val="nil"/>
            </w:tcBorders>
          </w:tcPr>
          <w:p w:rsidR="00CE0D3F" w:rsidRPr="001B51D1" w:rsidRDefault="00CE0D3F" w:rsidP="0004011F">
            <w:pPr>
              <w:rPr>
                <w:lang w:bidi="en-US"/>
              </w:rPr>
            </w:pPr>
            <w:r w:rsidRPr="001B51D1">
              <w:rPr>
                <w:lang w:bidi="en-US"/>
              </w:rPr>
              <w:t>Provider payment mechanisms</w:t>
            </w:r>
          </w:p>
        </w:tc>
        <w:tc>
          <w:tcPr>
            <w:tcW w:w="0" w:type="auto"/>
            <w:tcBorders>
              <w:top w:val="single" w:sz="4" w:space="0" w:color="auto"/>
              <w:left w:val="nil"/>
              <w:right w:val="nil"/>
            </w:tcBorders>
          </w:tcPr>
          <w:p w:rsidR="00CE0D3F" w:rsidRPr="001B51D1" w:rsidRDefault="00CE0D3F" w:rsidP="0004011F">
            <w:pPr>
              <w:rPr>
                <w:lang w:bidi="en-US"/>
              </w:rPr>
            </w:pPr>
            <w:r w:rsidRPr="001B51D1">
              <w:rPr>
                <w:lang w:bidi="en-US"/>
              </w:rPr>
              <w:t>Fee</w:t>
            </w:r>
            <w:r>
              <w:rPr>
                <w:lang w:bidi="en-US"/>
              </w:rPr>
              <w:t xml:space="preserve"> </w:t>
            </w:r>
            <w:r w:rsidRPr="001B51D1">
              <w:rPr>
                <w:lang w:bidi="en-US"/>
              </w:rPr>
              <w:t>for</w:t>
            </w:r>
            <w:r>
              <w:rPr>
                <w:lang w:bidi="en-US"/>
              </w:rPr>
              <w:t xml:space="preserve"> </w:t>
            </w:r>
            <w:r w:rsidRPr="001B51D1">
              <w:rPr>
                <w:lang w:bidi="en-US"/>
              </w:rPr>
              <w:t xml:space="preserve">service at </w:t>
            </w:r>
            <w:proofErr w:type="spellStart"/>
            <w:r w:rsidRPr="001B51D1">
              <w:rPr>
                <w:i/>
                <w:lang w:bidi="en-US"/>
              </w:rPr>
              <w:t>puskesmas</w:t>
            </w:r>
            <w:proofErr w:type="spellEnd"/>
            <w:r w:rsidRPr="001B51D1">
              <w:rPr>
                <w:lang w:bidi="en-US"/>
              </w:rPr>
              <w:t>; DRG for hospitals</w:t>
            </w:r>
          </w:p>
        </w:tc>
        <w:tc>
          <w:tcPr>
            <w:tcW w:w="2902" w:type="dxa"/>
            <w:tcBorders>
              <w:top w:val="single" w:sz="4" w:space="0" w:color="auto"/>
              <w:left w:val="nil"/>
              <w:right w:val="nil"/>
            </w:tcBorders>
          </w:tcPr>
          <w:p w:rsidR="00CE0D3F" w:rsidRPr="001B51D1" w:rsidRDefault="00CE0D3F" w:rsidP="0004011F">
            <w:pPr>
              <w:rPr>
                <w:lang w:bidi="en-US"/>
              </w:rPr>
            </w:pPr>
            <w:r w:rsidRPr="001B51D1">
              <w:rPr>
                <w:lang w:bidi="en-US"/>
              </w:rPr>
              <w:t>Special fee schedules for civil servants; extra billing depending on negotiated fees</w:t>
            </w:r>
          </w:p>
        </w:tc>
        <w:tc>
          <w:tcPr>
            <w:tcW w:w="3246" w:type="dxa"/>
            <w:tcBorders>
              <w:top w:val="single" w:sz="4" w:space="0" w:color="auto"/>
              <w:left w:val="nil"/>
              <w:right w:val="nil"/>
            </w:tcBorders>
          </w:tcPr>
          <w:p w:rsidR="00CE0D3F" w:rsidRPr="001B51D1" w:rsidRDefault="00CE0D3F" w:rsidP="0004011F">
            <w:pPr>
              <w:rPr>
                <w:lang w:bidi="en-US"/>
              </w:rPr>
            </w:pPr>
            <w:r w:rsidRPr="001B51D1">
              <w:rPr>
                <w:lang w:bidi="en-US"/>
              </w:rPr>
              <w:t>Fees are negotiated; extra billing depending on negotiated fees</w:t>
            </w:r>
          </w:p>
          <w:p w:rsidR="00CE0D3F" w:rsidRPr="001B51D1" w:rsidRDefault="00CE0D3F" w:rsidP="0004011F">
            <w:pPr>
              <w:rPr>
                <w:lang w:bidi="en-US"/>
              </w:rPr>
            </w:pPr>
          </w:p>
        </w:tc>
      </w:tr>
    </w:tbl>
    <w:p w:rsidR="00CE0D3F" w:rsidRPr="001B51D1" w:rsidRDefault="00CE0D3F" w:rsidP="00CE0D3F">
      <w:pPr>
        <w:pStyle w:val="1"/>
      </w:pPr>
    </w:p>
    <w:p w:rsidR="00CE0D3F" w:rsidRPr="001B51D1" w:rsidRDefault="00CE0D3F" w:rsidP="00DA63A7">
      <w:pPr>
        <w:pStyle w:val="Heading4"/>
      </w:pPr>
      <w:r>
        <w:t xml:space="preserve">c. </w:t>
      </w:r>
      <w:r w:rsidRPr="001B51D1">
        <w:t>Financial protection</w:t>
      </w:r>
    </w:p>
    <w:p w:rsidR="00CE0D3F" w:rsidRPr="001B51D1" w:rsidRDefault="00CE0D3F" w:rsidP="00DA63A7">
      <w:pPr>
        <w:pStyle w:val="BodyText0"/>
        <w:jc w:val="both"/>
        <w:rPr>
          <w:b/>
          <w:lang w:bidi="en-US"/>
        </w:rPr>
      </w:pPr>
      <w:r w:rsidRPr="001B51D1">
        <w:t>In 2011, public spending accounted for around 38</w:t>
      </w:r>
      <w:r w:rsidRPr="001B51D1">
        <w:rPr>
          <w:rFonts w:ascii="Courier New" w:hAnsi="Courier New" w:cs="Courier New"/>
        </w:rPr>
        <w:t> </w:t>
      </w:r>
      <w:r w:rsidRPr="001B51D1">
        <w:t xml:space="preserve">percent of total health spending, and almost half public spending was at district level, where district governments are responsible for service delivery and therefore account for the greatest share of government health </w:t>
      </w:r>
      <w:r w:rsidRPr="00394CBB">
        <w:t>spending</w:t>
      </w:r>
      <w:r w:rsidRPr="001B51D1">
        <w:t xml:space="preserve">. Public health </w:t>
      </w:r>
      <w:r w:rsidRPr="00394CBB">
        <w:t xml:space="preserve">spending </w:t>
      </w:r>
      <w:r w:rsidRPr="001B51D1">
        <w:t>tends to be inequitably distributed across provinces and income quintiles. OOP spending, even among those with insurance coverage, remains high at around 47</w:t>
      </w:r>
      <w:r w:rsidRPr="001B51D1">
        <w:rPr>
          <w:rFonts w:ascii="Courier New" w:hAnsi="Courier New" w:cs="Courier New"/>
        </w:rPr>
        <w:t> </w:t>
      </w:r>
      <w:r w:rsidRPr="001B51D1">
        <w:t xml:space="preserve">percent of total health spending. Much of the OOP spending is borne by the rich, as the top three </w:t>
      </w:r>
      <w:proofErr w:type="spellStart"/>
      <w:r w:rsidRPr="001B51D1">
        <w:t>deciles</w:t>
      </w:r>
      <w:proofErr w:type="spellEnd"/>
      <w:r w:rsidRPr="001B51D1">
        <w:t xml:space="preserve"> accounted for more than 50</w:t>
      </w:r>
      <w:r w:rsidRPr="001B51D1">
        <w:rPr>
          <w:rFonts w:ascii="Courier New" w:hAnsi="Courier New" w:cs="Courier New"/>
        </w:rPr>
        <w:t> </w:t>
      </w:r>
      <w:r w:rsidRPr="001B51D1">
        <w:t>percent of all OOP</w:t>
      </w:r>
      <w:r>
        <w:t>—</w:t>
      </w:r>
      <w:r w:rsidRPr="001B51D1">
        <w:t xml:space="preserve">the bottom three </w:t>
      </w:r>
      <w:proofErr w:type="spellStart"/>
      <w:r w:rsidRPr="001B51D1">
        <w:t>deciles</w:t>
      </w:r>
      <w:proofErr w:type="spellEnd"/>
      <w:r w:rsidRPr="001B51D1">
        <w:t xml:space="preserve"> less than 15</w:t>
      </w:r>
      <w:r w:rsidRPr="001B51D1">
        <w:rPr>
          <w:rFonts w:ascii="Courier New" w:hAnsi="Courier New" w:cs="Courier New"/>
        </w:rPr>
        <w:t> </w:t>
      </w:r>
      <w:r w:rsidRPr="001B51D1">
        <w:t>percent. However, a</w:t>
      </w:r>
      <w:r w:rsidRPr="001B51D1">
        <w:rPr>
          <w:lang w:bidi="en-US"/>
        </w:rPr>
        <w:t xml:space="preserve">lthough OOP health spending per capita among </w:t>
      </w:r>
      <w:proofErr w:type="spellStart"/>
      <w:r w:rsidRPr="00692CBC">
        <w:t>Jamkesmas</w:t>
      </w:r>
      <w:proofErr w:type="spellEnd"/>
      <w:r w:rsidRPr="001B51D1">
        <w:rPr>
          <w:lang w:bidi="en-US"/>
        </w:rPr>
        <w:t xml:space="preserve"> beneficiaries was lower than that among </w:t>
      </w:r>
      <w:proofErr w:type="spellStart"/>
      <w:r w:rsidRPr="00692CBC">
        <w:t>Askes</w:t>
      </w:r>
      <w:proofErr w:type="spellEnd"/>
      <w:r w:rsidRPr="00692CBC">
        <w:t xml:space="preserve">, </w:t>
      </w:r>
      <w:proofErr w:type="spellStart"/>
      <w:r w:rsidRPr="00692CBC">
        <w:t>Jamsostek</w:t>
      </w:r>
      <w:proofErr w:type="spellEnd"/>
      <w:r w:rsidRPr="001B51D1">
        <w:rPr>
          <w:lang w:bidi="en-US"/>
        </w:rPr>
        <w:t xml:space="preserve">, or those without insurance, OOP health spending as a share </w:t>
      </w:r>
      <w:r w:rsidRPr="001B51D1">
        <w:rPr>
          <w:lang w:bidi="en-US"/>
        </w:rPr>
        <w:lastRenderedPageBreak/>
        <w:t xml:space="preserve">of total household consumption in </w:t>
      </w:r>
      <w:proofErr w:type="spellStart"/>
      <w:r w:rsidRPr="00692CBC">
        <w:t>Jamkesmas</w:t>
      </w:r>
      <w:proofErr w:type="spellEnd"/>
      <w:r w:rsidRPr="001B51D1">
        <w:rPr>
          <w:lang w:bidi="en-US"/>
        </w:rPr>
        <w:t xml:space="preserve"> households was no different from those without insurance. There is some evidence that the incidence of catastrophic expenditure is lower among </w:t>
      </w:r>
      <w:proofErr w:type="spellStart"/>
      <w:r w:rsidRPr="00692CBC">
        <w:t>Jamkesmas</w:t>
      </w:r>
      <w:proofErr w:type="spellEnd"/>
      <w:r w:rsidRPr="001B51D1">
        <w:rPr>
          <w:lang w:bidi="en-US"/>
        </w:rPr>
        <w:t xml:space="preserve"> users than among other groups</w:t>
      </w:r>
      <w:r>
        <w:rPr>
          <w:lang w:bidi="en-US"/>
        </w:rPr>
        <w:t xml:space="preserve"> (</w:t>
      </w:r>
      <w:proofErr w:type="spellStart"/>
      <w:r>
        <w:rPr>
          <w:lang w:bidi="en-US"/>
        </w:rPr>
        <w:t>Bredenkamp</w:t>
      </w:r>
      <w:proofErr w:type="spellEnd"/>
      <w:r>
        <w:rPr>
          <w:lang w:bidi="en-US"/>
        </w:rPr>
        <w:t xml:space="preserve"> et al. 2011)</w:t>
      </w:r>
      <w:r w:rsidRPr="001B51D1">
        <w:rPr>
          <w:lang w:bidi="en-US"/>
        </w:rPr>
        <w:t xml:space="preserve">. Indonesia has a relatively low level of catastrophic spending for the region. </w:t>
      </w:r>
      <w:r w:rsidRPr="001B51D1">
        <w:t>There is no copayment, coinsurance, extra</w:t>
      </w:r>
      <w:r>
        <w:t xml:space="preserve"> </w:t>
      </w:r>
      <w:r w:rsidRPr="001B51D1">
        <w:t>billing</w:t>
      </w:r>
      <w:r>
        <w:t>,</w:t>
      </w:r>
      <w:r w:rsidRPr="001B51D1">
        <w:t xml:space="preserve"> or balance billing allowed under </w:t>
      </w:r>
      <w:proofErr w:type="spellStart"/>
      <w:r w:rsidRPr="00692CBC">
        <w:t>Jamkesmas</w:t>
      </w:r>
      <w:proofErr w:type="spellEnd"/>
      <w:r w:rsidRPr="00692CBC">
        <w:t xml:space="preserve">, </w:t>
      </w:r>
      <w:r w:rsidRPr="001B51D1">
        <w:t>which</w:t>
      </w:r>
      <w:r w:rsidRPr="00692CBC">
        <w:t xml:space="preserve"> </w:t>
      </w:r>
      <w:r w:rsidRPr="001B51D1">
        <w:t xml:space="preserve">is different from the benefits afforded to </w:t>
      </w:r>
      <w:proofErr w:type="spellStart"/>
      <w:r w:rsidRPr="00692CBC">
        <w:t>Askes</w:t>
      </w:r>
      <w:proofErr w:type="spellEnd"/>
      <w:r w:rsidRPr="001B51D1">
        <w:t xml:space="preserve"> or </w:t>
      </w:r>
      <w:proofErr w:type="spellStart"/>
      <w:r w:rsidRPr="00692CBC">
        <w:t>Jamsostek</w:t>
      </w:r>
      <w:proofErr w:type="spellEnd"/>
      <w:r w:rsidRPr="001B51D1">
        <w:t xml:space="preserve"> beneficiaries (see Table 2).</w:t>
      </w:r>
    </w:p>
    <w:p w:rsidR="00CE0D3F" w:rsidRPr="00BF64A5" w:rsidRDefault="00CE0D3F" w:rsidP="00DA63A7">
      <w:pPr>
        <w:pStyle w:val="Heading3"/>
      </w:pPr>
      <w:r w:rsidRPr="00BF64A5">
        <w:t>3.</w:t>
      </w:r>
      <w:r w:rsidRPr="00BF64A5">
        <w:tab/>
        <w:t>Governance structure</w:t>
      </w:r>
    </w:p>
    <w:p w:rsidR="00CE0D3F" w:rsidRPr="001B51D1" w:rsidRDefault="00CE0D3F" w:rsidP="00DA63A7">
      <w:pPr>
        <w:pStyle w:val="Heading4"/>
      </w:pPr>
      <w:r>
        <w:t xml:space="preserve">a. </w:t>
      </w:r>
      <w:r w:rsidRPr="001B51D1">
        <w:t>Goal setting</w:t>
      </w:r>
    </w:p>
    <w:p w:rsidR="00CE0D3F" w:rsidRPr="001B51D1" w:rsidRDefault="00CE0D3F" w:rsidP="00DA63A7">
      <w:pPr>
        <w:pStyle w:val="BodyText0"/>
        <w:jc w:val="both"/>
        <w:rPr>
          <w:rFonts w:eastAsia="Calibri"/>
          <w:lang w:bidi="en-US"/>
        </w:rPr>
      </w:pPr>
      <w:r w:rsidRPr="001B51D1">
        <w:t xml:space="preserve">The objectives of </w:t>
      </w:r>
      <w:proofErr w:type="spellStart"/>
      <w:r w:rsidRPr="00692CBC">
        <w:t>Jamkesmas</w:t>
      </w:r>
      <w:proofErr w:type="spellEnd"/>
      <w:r w:rsidRPr="000D7640">
        <w:t xml:space="preserve"> </w:t>
      </w:r>
      <w:r w:rsidRPr="001B51D1">
        <w:t>are to increase access to and quality of health services for the poor and near</w:t>
      </w:r>
      <w:r>
        <w:t>-</w:t>
      </w:r>
      <w:r w:rsidRPr="001B51D1">
        <w:t xml:space="preserve">poor. The program is fully financed out of central government revenues and is administered by the </w:t>
      </w:r>
      <w:r>
        <w:t>MOH</w:t>
      </w:r>
      <w:r w:rsidRPr="001B51D1">
        <w:t xml:space="preserve">. Every year, the </w:t>
      </w:r>
      <w:r>
        <w:t>MOH</w:t>
      </w:r>
      <w:r w:rsidRPr="001B51D1">
        <w:t xml:space="preserve"> releases a ministerial regulation to guide program implementation. It also reviews utilization and claims reports, although the review only focuses on analyzing information related to budgetary allocations and aggregate utilization rates, and does not explicitly monitor or target health or financial protection outcomes among beneficiaries. Information on utilization rates has been used to increase premiums and improve provider payment mechanisms, but not to improve health care delivery mechanisms or ensure improvement in health outcomes.</w:t>
      </w:r>
    </w:p>
    <w:p w:rsidR="00CE0D3F" w:rsidRPr="001B51D1" w:rsidRDefault="00CE0D3F" w:rsidP="00DA63A7">
      <w:pPr>
        <w:pStyle w:val="Heading4"/>
      </w:pPr>
      <w:r>
        <w:t xml:space="preserve">b. </w:t>
      </w:r>
      <w:r w:rsidRPr="001B51D1">
        <w:t>Governance structure</w:t>
      </w:r>
    </w:p>
    <w:p w:rsidR="00CE0D3F" w:rsidRPr="001824E3" w:rsidRDefault="00CE0D3F" w:rsidP="00DA63A7">
      <w:pPr>
        <w:pStyle w:val="BodyText0"/>
        <w:jc w:val="both"/>
      </w:pPr>
      <w:r w:rsidRPr="001B51D1">
        <w:t xml:space="preserve">Five main actors are involved in the overall implementation of </w:t>
      </w:r>
      <w:proofErr w:type="spellStart"/>
      <w:r w:rsidRPr="001B51D1">
        <w:t>Jamkesmas</w:t>
      </w:r>
      <w:proofErr w:type="spellEnd"/>
      <w:r w:rsidRPr="001B51D1">
        <w:t>:</w:t>
      </w:r>
      <w:r w:rsidRPr="001B51D1">
        <w:rPr>
          <w:b/>
        </w:rPr>
        <w:t xml:space="preserve"> </w:t>
      </w:r>
      <w:r w:rsidRPr="001B51D1">
        <w:t xml:space="preserve">the National Task Force for Acceleration of Poverty Alleviation (TNP2K); national government ministries, including the Ministry of Finance, </w:t>
      </w:r>
      <w:r>
        <w:t>MOH</w:t>
      </w:r>
      <w:r w:rsidRPr="001B51D1">
        <w:t>, and the Ministry of National Development Planning (</w:t>
      </w:r>
      <w:proofErr w:type="spellStart"/>
      <w:r w:rsidRPr="001B51D1">
        <w:t>Bappenas</w:t>
      </w:r>
      <w:proofErr w:type="spellEnd"/>
      <w:r w:rsidRPr="001B51D1">
        <w:t>); provincial and district governments; public and enlisted private health care providers; and the insurer/third-party administrator (Table</w:t>
      </w:r>
      <w:r w:rsidRPr="001B51D1">
        <w:rPr>
          <w:rFonts w:ascii="Courier New" w:hAnsi="Courier New" w:cs="Courier New"/>
        </w:rPr>
        <w:t> </w:t>
      </w:r>
      <w:r w:rsidRPr="001B51D1">
        <w:t>3). One additional actor (not in the table) is the Vice President</w:t>
      </w:r>
      <w:r w:rsidRPr="001B51D1">
        <w:rPr>
          <w:rFonts w:cs="Andes"/>
        </w:rPr>
        <w:t>’</w:t>
      </w:r>
      <w:r w:rsidRPr="001B51D1">
        <w:t xml:space="preserve">s Office, which has the mandate to improve implementation of various social assistance programs, including </w:t>
      </w:r>
      <w:proofErr w:type="spellStart"/>
      <w:r w:rsidRPr="001B51D1">
        <w:t>Jamkesmas</w:t>
      </w:r>
      <w:proofErr w:type="spellEnd"/>
      <w:r w:rsidRPr="001B51D1">
        <w:t>.</w:t>
      </w:r>
    </w:p>
    <w:p w:rsidR="00CE0D3F" w:rsidRPr="001824E3" w:rsidRDefault="00CE0D3F" w:rsidP="003456C4">
      <w:pPr>
        <w:pStyle w:val="Caption"/>
        <w:rPr>
          <w:rFonts w:ascii="Andes" w:hAnsi="Andes"/>
        </w:rPr>
      </w:pPr>
      <w:proofErr w:type="gramStart"/>
      <w:r w:rsidRPr="001824E3">
        <w:rPr>
          <w:rFonts w:ascii="Andes" w:hAnsi="Andes"/>
        </w:rPr>
        <w:t>Table 3.</w:t>
      </w:r>
      <w:proofErr w:type="gramEnd"/>
      <w:r w:rsidRPr="001824E3">
        <w:rPr>
          <w:rFonts w:ascii="Andes" w:hAnsi="Andes"/>
        </w:rPr>
        <w:t xml:space="preserve"> Roles and responsibilities under </w:t>
      </w:r>
      <w:proofErr w:type="spellStart"/>
      <w:r w:rsidRPr="001824E3">
        <w:rPr>
          <w:rFonts w:ascii="Andes" w:hAnsi="Andes"/>
        </w:rPr>
        <w:t>Jamkesmas</w:t>
      </w:r>
      <w:proofErr w:type="spellEnd"/>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743"/>
        <w:gridCol w:w="810"/>
        <w:gridCol w:w="1260"/>
        <w:gridCol w:w="1350"/>
        <w:gridCol w:w="1440"/>
        <w:gridCol w:w="1350"/>
      </w:tblGrid>
      <w:tr w:rsidR="007B72F1" w:rsidRPr="00FB58DC" w:rsidTr="007B72F1">
        <w:trPr>
          <w:cantSplit/>
          <w:trHeight w:val="1034"/>
          <w:tblHeader/>
        </w:trPr>
        <w:tc>
          <w:tcPr>
            <w:tcW w:w="2743" w:type="dxa"/>
            <w:shd w:val="clear" w:color="auto" w:fill="DBE5F1" w:themeFill="accent1" w:themeFillTint="33"/>
          </w:tcPr>
          <w:p w:rsidR="00CE0D3F" w:rsidRPr="00FB58DC" w:rsidRDefault="00CE0D3F" w:rsidP="0004011F">
            <w:pPr>
              <w:rPr>
                <w:sz w:val="20"/>
                <w:szCs w:val="20"/>
              </w:rPr>
            </w:pPr>
          </w:p>
        </w:tc>
        <w:tc>
          <w:tcPr>
            <w:tcW w:w="810" w:type="dxa"/>
            <w:shd w:val="clear" w:color="auto" w:fill="DBE5F1" w:themeFill="accent1" w:themeFillTint="33"/>
          </w:tcPr>
          <w:p w:rsidR="00CE0D3F" w:rsidRPr="00FB58DC" w:rsidRDefault="00CE0D3F" w:rsidP="0004011F">
            <w:pPr>
              <w:rPr>
                <w:sz w:val="20"/>
                <w:szCs w:val="20"/>
              </w:rPr>
            </w:pPr>
            <w:r w:rsidRPr="00FB58DC">
              <w:rPr>
                <w:sz w:val="20"/>
                <w:szCs w:val="20"/>
              </w:rPr>
              <w:t>TNP2K</w:t>
            </w:r>
          </w:p>
        </w:tc>
        <w:tc>
          <w:tcPr>
            <w:tcW w:w="1260" w:type="dxa"/>
            <w:shd w:val="clear" w:color="auto" w:fill="DBE5F1" w:themeFill="accent1" w:themeFillTint="33"/>
          </w:tcPr>
          <w:p w:rsidR="00CE0D3F" w:rsidRPr="00FB58DC" w:rsidRDefault="00CE0D3F" w:rsidP="0004011F">
            <w:pPr>
              <w:rPr>
                <w:sz w:val="20"/>
                <w:szCs w:val="20"/>
              </w:rPr>
            </w:pPr>
            <w:r w:rsidRPr="00FB58DC">
              <w:rPr>
                <w:sz w:val="20"/>
                <w:szCs w:val="20"/>
              </w:rPr>
              <w:t xml:space="preserve">MOF/MOH/ </w:t>
            </w:r>
            <w:proofErr w:type="spellStart"/>
            <w:r w:rsidRPr="00FB58DC">
              <w:rPr>
                <w:sz w:val="20"/>
                <w:szCs w:val="20"/>
              </w:rPr>
              <w:t>Bappenas</w:t>
            </w:r>
            <w:proofErr w:type="spellEnd"/>
          </w:p>
        </w:tc>
        <w:tc>
          <w:tcPr>
            <w:tcW w:w="1350" w:type="dxa"/>
            <w:shd w:val="clear" w:color="auto" w:fill="DBE5F1" w:themeFill="accent1" w:themeFillTint="33"/>
          </w:tcPr>
          <w:p w:rsidR="00CE0D3F" w:rsidRPr="00FB58DC" w:rsidRDefault="00CE0D3F" w:rsidP="00FB58DC">
            <w:pPr>
              <w:rPr>
                <w:sz w:val="20"/>
                <w:szCs w:val="20"/>
              </w:rPr>
            </w:pPr>
            <w:r w:rsidRPr="00FB58DC">
              <w:rPr>
                <w:sz w:val="20"/>
                <w:szCs w:val="20"/>
              </w:rPr>
              <w:t>Provinci</w:t>
            </w:r>
            <w:r w:rsidR="00FB58DC">
              <w:rPr>
                <w:sz w:val="20"/>
                <w:szCs w:val="20"/>
              </w:rPr>
              <w:t xml:space="preserve">al/ district </w:t>
            </w:r>
            <w:r w:rsidRPr="00FB58DC">
              <w:rPr>
                <w:sz w:val="20"/>
                <w:szCs w:val="20"/>
              </w:rPr>
              <w:t>governments</w:t>
            </w:r>
          </w:p>
        </w:tc>
        <w:tc>
          <w:tcPr>
            <w:tcW w:w="1440" w:type="dxa"/>
            <w:shd w:val="clear" w:color="auto" w:fill="DBE5F1" w:themeFill="accent1" w:themeFillTint="33"/>
          </w:tcPr>
          <w:p w:rsidR="00CE0D3F" w:rsidRPr="00FB58DC" w:rsidRDefault="00CE0D3F" w:rsidP="0004011F">
            <w:pPr>
              <w:rPr>
                <w:sz w:val="20"/>
                <w:szCs w:val="20"/>
              </w:rPr>
            </w:pPr>
            <w:r w:rsidRPr="00FB58DC">
              <w:rPr>
                <w:sz w:val="20"/>
                <w:szCs w:val="20"/>
              </w:rPr>
              <w:t>Public and empanelled private providers</w:t>
            </w:r>
          </w:p>
        </w:tc>
        <w:tc>
          <w:tcPr>
            <w:tcW w:w="1350" w:type="dxa"/>
            <w:shd w:val="clear" w:color="auto" w:fill="DBE5F1" w:themeFill="accent1" w:themeFillTint="33"/>
          </w:tcPr>
          <w:p w:rsidR="00CE0D3F" w:rsidRPr="00FB58DC" w:rsidRDefault="00CE0D3F" w:rsidP="007B72F1">
            <w:pPr>
              <w:rPr>
                <w:sz w:val="20"/>
                <w:szCs w:val="20"/>
              </w:rPr>
            </w:pPr>
            <w:r w:rsidRPr="00FB58DC">
              <w:rPr>
                <w:sz w:val="20"/>
                <w:szCs w:val="20"/>
              </w:rPr>
              <w:t xml:space="preserve">Insurer/third-party </w:t>
            </w:r>
            <w:r w:rsidR="007B72F1">
              <w:rPr>
                <w:sz w:val="20"/>
                <w:szCs w:val="20"/>
              </w:rPr>
              <w:t xml:space="preserve"> </w:t>
            </w:r>
            <w:r w:rsidRPr="00FB58DC">
              <w:rPr>
                <w:sz w:val="20"/>
                <w:szCs w:val="20"/>
              </w:rPr>
              <w:t>admin</w:t>
            </w:r>
            <w:r w:rsidR="007B72F1">
              <w:rPr>
                <w:sz w:val="20"/>
                <w:szCs w:val="20"/>
              </w:rPr>
              <w:t>-</w:t>
            </w:r>
            <w:proofErr w:type="spellStart"/>
            <w:r w:rsidRPr="00FB58DC">
              <w:rPr>
                <w:sz w:val="20"/>
                <w:szCs w:val="20"/>
              </w:rPr>
              <w:t>istrator</w:t>
            </w:r>
            <w:proofErr w:type="spellEnd"/>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Oversight scheme</w:t>
            </w:r>
          </w:p>
        </w:tc>
        <w:tc>
          <w:tcPr>
            <w:tcW w:w="810" w:type="dxa"/>
            <w:shd w:val="clear" w:color="auto" w:fill="auto"/>
          </w:tcPr>
          <w:p w:rsidR="00CE0D3F" w:rsidRPr="00FB58DC" w:rsidRDefault="00CE0D3F" w:rsidP="00DA63A7">
            <w:pPr>
              <w:jc w:val="center"/>
              <w:rPr>
                <w:sz w:val="20"/>
                <w:szCs w:val="20"/>
              </w:rPr>
            </w:pPr>
            <w:r w:rsidRPr="00FB58DC">
              <w:rPr>
                <w:sz w:val="20"/>
                <w:szCs w:val="20"/>
              </w:rPr>
              <w:t>X</w:t>
            </w: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Financing of scheme</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Benefits package determination</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F6D01">
            <w:pPr>
              <w:rPr>
                <w:b/>
                <w:sz w:val="20"/>
                <w:szCs w:val="20"/>
              </w:rPr>
            </w:pPr>
            <w:r w:rsidRPr="00FB58DC">
              <w:rPr>
                <w:sz w:val="20"/>
                <w:szCs w:val="20"/>
              </w:rPr>
              <w:t>Accreditation/empanelment of providers</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r w:rsidRPr="00FB58DC">
              <w:rPr>
                <w:sz w:val="20"/>
                <w:szCs w:val="20"/>
              </w:rPr>
              <w:t>X</w:t>
            </w: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Enrollment</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r w:rsidRPr="00FB58DC">
              <w:rPr>
                <w:sz w:val="20"/>
                <w:szCs w:val="20"/>
              </w:rPr>
              <w:t>X</w:t>
            </w: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r w:rsidRPr="00FB58DC">
              <w:rPr>
                <w:sz w:val="20"/>
                <w:szCs w:val="20"/>
              </w:rPr>
              <w:t>X</w:t>
            </w:r>
          </w:p>
        </w:tc>
      </w:tr>
      <w:tr w:rsidR="007B72F1" w:rsidRPr="00FB58DC" w:rsidTr="007B72F1">
        <w:tc>
          <w:tcPr>
            <w:tcW w:w="2743" w:type="dxa"/>
            <w:shd w:val="clear" w:color="auto" w:fill="auto"/>
          </w:tcPr>
          <w:p w:rsidR="00CE0D3F" w:rsidRPr="00FB58DC" w:rsidRDefault="00CE0D3F" w:rsidP="000F6D01">
            <w:pPr>
              <w:rPr>
                <w:b/>
                <w:sz w:val="20"/>
                <w:szCs w:val="20"/>
              </w:rPr>
            </w:pPr>
            <w:r w:rsidRPr="00FB58DC">
              <w:rPr>
                <w:sz w:val="20"/>
                <w:szCs w:val="20"/>
              </w:rPr>
              <w:t>Financial management/</w:t>
            </w:r>
            <w:r w:rsidR="000F6D01">
              <w:rPr>
                <w:sz w:val="20"/>
                <w:szCs w:val="20"/>
              </w:rPr>
              <w:t xml:space="preserve"> </w:t>
            </w:r>
            <w:r w:rsidRPr="00FB58DC">
              <w:rPr>
                <w:sz w:val="20"/>
                <w:szCs w:val="20"/>
              </w:rPr>
              <w:t>planning</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CE0D3F">
            <w:pPr>
              <w:pStyle w:val="Source"/>
            </w:pPr>
            <w:r w:rsidRPr="00FB58DC">
              <w:lastRenderedPageBreak/>
              <w:t>Actuarial analysis</w:t>
            </w:r>
          </w:p>
        </w:tc>
        <w:tc>
          <w:tcPr>
            <w:tcW w:w="810" w:type="dxa"/>
            <w:shd w:val="clear" w:color="auto" w:fill="auto"/>
          </w:tcPr>
          <w:p w:rsidR="00CE0D3F" w:rsidRPr="00FB58DC" w:rsidRDefault="00CE0D3F" w:rsidP="00DA63A7">
            <w:pPr>
              <w:jc w:val="center"/>
              <w:rPr>
                <w:sz w:val="20"/>
                <w:szCs w:val="20"/>
              </w:rPr>
            </w:pPr>
            <w:r w:rsidRPr="00FB58DC">
              <w:rPr>
                <w:sz w:val="20"/>
                <w:szCs w:val="20"/>
              </w:rPr>
              <w:t>X</w:t>
            </w:r>
          </w:p>
        </w:tc>
        <w:tc>
          <w:tcPr>
            <w:tcW w:w="126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Setting reimbursement rates</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Claims processing/ payment</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r w:rsidRPr="00FB58DC">
              <w:rPr>
                <w:sz w:val="20"/>
                <w:szCs w:val="20"/>
              </w:rPr>
              <w:t>X</w:t>
            </w: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Outreach/social marketing</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r w:rsidRPr="00FB58DC">
              <w:rPr>
                <w:sz w:val="20"/>
                <w:szCs w:val="20"/>
              </w:rPr>
              <w:t>X</w:t>
            </w: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Service delivery</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c>
          <w:tcPr>
            <w:tcW w:w="144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Clinical information system</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 xml:space="preserve">Monitoring local utilization </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r w:rsidRPr="00FB58DC">
              <w:rPr>
                <w:sz w:val="20"/>
                <w:szCs w:val="20"/>
              </w:rPr>
              <w:t>X</w:t>
            </w: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Monitoring national utilization</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p>
        </w:tc>
        <w:tc>
          <w:tcPr>
            <w:tcW w:w="1440" w:type="dxa"/>
            <w:shd w:val="clear" w:color="auto" w:fill="auto"/>
          </w:tcPr>
          <w:p w:rsidR="00CE0D3F" w:rsidRPr="00FB58DC" w:rsidRDefault="00CE0D3F" w:rsidP="00DA63A7">
            <w:pPr>
              <w:jc w:val="center"/>
              <w:rPr>
                <w:sz w:val="20"/>
                <w:szCs w:val="20"/>
              </w:rPr>
            </w:pPr>
          </w:p>
        </w:tc>
        <w:tc>
          <w:tcPr>
            <w:tcW w:w="1350" w:type="dxa"/>
            <w:shd w:val="clear" w:color="auto" w:fill="auto"/>
          </w:tcPr>
          <w:p w:rsidR="00CE0D3F" w:rsidRPr="00FB58DC" w:rsidRDefault="00CE0D3F" w:rsidP="00DA63A7">
            <w:pPr>
              <w:jc w:val="center"/>
              <w:rPr>
                <w:sz w:val="20"/>
                <w:szCs w:val="20"/>
              </w:rPr>
            </w:pPr>
          </w:p>
        </w:tc>
      </w:tr>
      <w:tr w:rsidR="007B72F1" w:rsidRPr="00FB58DC" w:rsidTr="007B72F1">
        <w:tc>
          <w:tcPr>
            <w:tcW w:w="2743" w:type="dxa"/>
            <w:shd w:val="clear" w:color="auto" w:fill="auto"/>
          </w:tcPr>
          <w:p w:rsidR="00CE0D3F" w:rsidRPr="00FB58DC" w:rsidRDefault="00CE0D3F" w:rsidP="0004011F">
            <w:pPr>
              <w:rPr>
                <w:b/>
                <w:sz w:val="20"/>
                <w:szCs w:val="20"/>
              </w:rPr>
            </w:pPr>
            <w:r w:rsidRPr="00FB58DC">
              <w:rPr>
                <w:sz w:val="20"/>
                <w:szCs w:val="20"/>
              </w:rPr>
              <w:t>Customer service</w:t>
            </w:r>
          </w:p>
        </w:tc>
        <w:tc>
          <w:tcPr>
            <w:tcW w:w="810" w:type="dxa"/>
            <w:shd w:val="clear" w:color="auto" w:fill="auto"/>
          </w:tcPr>
          <w:p w:rsidR="00CE0D3F" w:rsidRPr="00FB58DC" w:rsidRDefault="00CE0D3F" w:rsidP="00DA63A7">
            <w:pPr>
              <w:jc w:val="center"/>
              <w:rPr>
                <w:sz w:val="20"/>
                <w:szCs w:val="20"/>
              </w:rPr>
            </w:pPr>
          </w:p>
        </w:tc>
        <w:tc>
          <w:tcPr>
            <w:tcW w:w="126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r w:rsidRPr="00FB58DC">
              <w:rPr>
                <w:sz w:val="20"/>
                <w:szCs w:val="20"/>
              </w:rPr>
              <w:t>X</w:t>
            </w:r>
          </w:p>
        </w:tc>
        <w:tc>
          <w:tcPr>
            <w:tcW w:w="1440" w:type="dxa"/>
            <w:shd w:val="clear" w:color="auto" w:fill="auto"/>
          </w:tcPr>
          <w:p w:rsidR="00CE0D3F" w:rsidRPr="00FB58DC" w:rsidRDefault="00CE0D3F" w:rsidP="00DA63A7">
            <w:pPr>
              <w:jc w:val="center"/>
              <w:rPr>
                <w:sz w:val="20"/>
                <w:szCs w:val="20"/>
              </w:rPr>
            </w:pPr>
            <w:r w:rsidRPr="00FB58DC">
              <w:rPr>
                <w:sz w:val="20"/>
                <w:szCs w:val="20"/>
              </w:rPr>
              <w:t>X</w:t>
            </w:r>
          </w:p>
        </w:tc>
        <w:tc>
          <w:tcPr>
            <w:tcW w:w="1350" w:type="dxa"/>
            <w:shd w:val="clear" w:color="auto" w:fill="auto"/>
          </w:tcPr>
          <w:p w:rsidR="00CE0D3F" w:rsidRPr="00FB58DC" w:rsidRDefault="00CE0D3F" w:rsidP="00DA63A7">
            <w:pPr>
              <w:jc w:val="center"/>
              <w:rPr>
                <w:sz w:val="20"/>
                <w:szCs w:val="20"/>
              </w:rPr>
            </w:pPr>
          </w:p>
        </w:tc>
      </w:tr>
    </w:tbl>
    <w:p w:rsidR="00CE0D3F" w:rsidRPr="00FB58DC" w:rsidRDefault="00CE0D3F" w:rsidP="00CE0D3F">
      <w:pPr>
        <w:pStyle w:val="Source"/>
      </w:pPr>
      <w:r w:rsidRPr="00FB58DC">
        <w:t xml:space="preserve">Source: Modified from </w:t>
      </w:r>
      <w:proofErr w:type="gramStart"/>
      <w:r w:rsidRPr="00FB58DC">
        <w:t xml:space="preserve">JLN  </w:t>
      </w:r>
      <w:r w:rsidR="00361839">
        <w:t>2012</w:t>
      </w:r>
      <w:proofErr w:type="gramEnd"/>
      <w:r w:rsidR="00361839">
        <w:t>.</w:t>
      </w:r>
    </w:p>
    <w:p w:rsidR="00CE0D3F" w:rsidRPr="001B51D1" w:rsidRDefault="00CE0D3F" w:rsidP="00CE0D3F">
      <w:pPr>
        <w:pStyle w:val="1"/>
      </w:pPr>
    </w:p>
    <w:p w:rsidR="00CE0D3F" w:rsidRPr="00BF64A5" w:rsidRDefault="00CE0D3F" w:rsidP="00361839">
      <w:pPr>
        <w:pStyle w:val="Heading4"/>
      </w:pPr>
      <w:r w:rsidRPr="00BF64A5">
        <w:t xml:space="preserve">c. Service delivery </w:t>
      </w:r>
    </w:p>
    <w:p w:rsidR="00CE0D3F" w:rsidRPr="001B51D1" w:rsidRDefault="00CE0D3F" w:rsidP="00DA63A7">
      <w:pPr>
        <w:pStyle w:val="BodyText0"/>
        <w:jc w:val="both"/>
      </w:pPr>
      <w:r w:rsidRPr="001B51D1">
        <w:rPr>
          <w:lang w:eastAsia="ja-JP"/>
        </w:rPr>
        <w:t>Indonesia’s system is characterized by a mix of public</w:t>
      </w:r>
      <w:r>
        <w:rPr>
          <w:lang w:eastAsia="ja-JP"/>
        </w:rPr>
        <w:t>–</w:t>
      </w:r>
      <w:r w:rsidRPr="001B51D1">
        <w:rPr>
          <w:lang w:eastAsia="ja-JP"/>
        </w:rPr>
        <w:t xml:space="preserve">private provision of services, with the public sector taking the dominant role, especially in rural areas and for secondary levels of care. However, private provision is increasing. </w:t>
      </w:r>
      <w:r w:rsidRPr="001B51D1">
        <w:t>Health service utilization rates are generally low nationally. About 14</w:t>
      </w:r>
      <w:r w:rsidRPr="001B51D1">
        <w:rPr>
          <w:rFonts w:ascii="Courier New" w:hAnsi="Courier New" w:cs="Courier New"/>
        </w:rPr>
        <w:t> </w:t>
      </w:r>
      <w:r w:rsidRPr="001B51D1">
        <w:t xml:space="preserve">percent of the population used outpatient care in the month before the </w:t>
      </w:r>
      <w:r w:rsidRPr="005A39AB">
        <w:t xml:space="preserve">2010 </w:t>
      </w:r>
      <w:proofErr w:type="spellStart"/>
      <w:r w:rsidRPr="005A39AB">
        <w:t>Susenas</w:t>
      </w:r>
      <w:proofErr w:type="spellEnd"/>
      <w:r w:rsidRPr="005A39AB">
        <w:t xml:space="preserve"> </w:t>
      </w:r>
      <w:r w:rsidRPr="001B51D1">
        <w:t>survey. Around 60</w:t>
      </w:r>
      <w:r w:rsidRPr="001B51D1">
        <w:rPr>
          <w:rFonts w:ascii="Courier New" w:hAnsi="Courier New" w:cs="Courier New"/>
        </w:rPr>
        <w:t> </w:t>
      </w:r>
      <w:r w:rsidRPr="001B51D1">
        <w:t xml:space="preserve">percent of outpatient visits occurred at private facilities (typically clinics/midwives and nurses) and the rest at public facilities, mostly at primary care level. </w:t>
      </w:r>
      <w:proofErr w:type="spellStart"/>
      <w:r w:rsidRPr="001B51D1">
        <w:t>Susenas</w:t>
      </w:r>
      <w:proofErr w:type="spellEnd"/>
      <w:r w:rsidRPr="001B51D1">
        <w:t xml:space="preserve"> data also show that the better-off used private facilities for ambulatory services: 69.5</w:t>
      </w:r>
      <w:r w:rsidRPr="001B51D1">
        <w:rPr>
          <w:rFonts w:ascii="Courier New" w:hAnsi="Courier New" w:cs="Courier New"/>
        </w:rPr>
        <w:t> </w:t>
      </w:r>
      <w:r w:rsidRPr="001B51D1">
        <w:t>percent compared to 51.6</w:t>
      </w:r>
      <w:r w:rsidRPr="001B51D1">
        <w:rPr>
          <w:rFonts w:ascii="Courier New" w:hAnsi="Courier New" w:cs="Courier New"/>
        </w:rPr>
        <w:t> </w:t>
      </w:r>
      <w:r w:rsidRPr="001B51D1">
        <w:t xml:space="preserve">percent among the bottom three </w:t>
      </w:r>
      <w:proofErr w:type="spellStart"/>
      <w:r w:rsidRPr="001B51D1">
        <w:t>deciles</w:t>
      </w:r>
      <w:proofErr w:type="spellEnd"/>
      <w:r w:rsidRPr="001B51D1">
        <w:t xml:space="preserve">. Public facilities continue to dominate inpatient care, except for the top three </w:t>
      </w:r>
      <w:proofErr w:type="spellStart"/>
      <w:r w:rsidRPr="001B51D1">
        <w:t>deciles</w:t>
      </w:r>
      <w:proofErr w:type="spellEnd"/>
      <w:r w:rsidRPr="001B51D1">
        <w:t>, a larger proportion of which use private facilities for inpatient care.</w:t>
      </w:r>
    </w:p>
    <w:p w:rsidR="00CE0D3F" w:rsidRPr="001B51D1" w:rsidRDefault="00CE0D3F" w:rsidP="00DA63A7">
      <w:pPr>
        <w:pStyle w:val="BodyText0"/>
        <w:jc w:val="both"/>
      </w:pPr>
      <w:r w:rsidRPr="001B51D1">
        <w:t xml:space="preserve">Basic primary health care is provided by the public sector via the </w:t>
      </w:r>
      <w:proofErr w:type="spellStart"/>
      <w:r w:rsidRPr="001B51D1">
        <w:rPr>
          <w:i/>
        </w:rPr>
        <w:t>puskesmas</w:t>
      </w:r>
      <w:proofErr w:type="spellEnd"/>
      <w:r w:rsidRPr="001B51D1">
        <w:t xml:space="preserve">, each serving a catchment area at the </w:t>
      </w:r>
      <w:proofErr w:type="spellStart"/>
      <w:r w:rsidRPr="001B51D1">
        <w:t>subdistrict</w:t>
      </w:r>
      <w:proofErr w:type="spellEnd"/>
      <w:r w:rsidRPr="001B51D1">
        <w:t xml:space="preserve"> level of about 25,000–30,000 individuals. Indonesia has over 9,500 </w:t>
      </w:r>
      <w:proofErr w:type="spellStart"/>
      <w:r w:rsidRPr="001B51D1">
        <w:rPr>
          <w:i/>
        </w:rPr>
        <w:t>puskesmas</w:t>
      </w:r>
      <w:proofErr w:type="spellEnd"/>
      <w:r w:rsidRPr="001B51D1">
        <w:t xml:space="preserve">, and each is </w:t>
      </w:r>
      <w:r>
        <w:t xml:space="preserve">required </w:t>
      </w:r>
      <w:r w:rsidRPr="001B51D1">
        <w:t xml:space="preserve">to have at least one medical doctor on staff. About a third of all </w:t>
      </w:r>
      <w:proofErr w:type="spellStart"/>
      <w:r w:rsidRPr="001B51D1">
        <w:rPr>
          <w:i/>
        </w:rPr>
        <w:t>puske</w:t>
      </w:r>
      <w:r>
        <w:rPr>
          <w:i/>
        </w:rPr>
        <w:t>s</w:t>
      </w:r>
      <w:r w:rsidRPr="001B51D1">
        <w:rPr>
          <w:i/>
        </w:rPr>
        <w:t>mas</w:t>
      </w:r>
      <w:proofErr w:type="spellEnd"/>
      <w:r w:rsidRPr="001B51D1">
        <w:t xml:space="preserve"> also provide inpatient services. Primary care is also provided by private doctors, including by 70</w:t>
      </w:r>
      <w:r w:rsidRPr="001B51D1">
        <w:rPr>
          <w:rFonts w:ascii="Courier New" w:hAnsi="Courier New" w:cs="Courier New"/>
        </w:rPr>
        <w:t> </w:t>
      </w:r>
      <w:r w:rsidRPr="001B51D1">
        <w:t xml:space="preserve">percent of doctors working at </w:t>
      </w:r>
      <w:proofErr w:type="spellStart"/>
      <w:r w:rsidRPr="001B51D1">
        <w:rPr>
          <w:i/>
        </w:rPr>
        <w:t>puskesmas</w:t>
      </w:r>
      <w:proofErr w:type="spellEnd"/>
      <w:r w:rsidRPr="001B51D1">
        <w:t xml:space="preserve"> who practice privately after hours. In principle, </w:t>
      </w:r>
      <w:proofErr w:type="spellStart"/>
      <w:r w:rsidRPr="001B51D1">
        <w:rPr>
          <w:i/>
        </w:rPr>
        <w:t>puskesmas</w:t>
      </w:r>
      <w:proofErr w:type="spellEnd"/>
      <w:r w:rsidRPr="001B51D1">
        <w:t xml:space="preserve"> are meant to provide referrals to secondary and tertiary public hospitals, although in practice the gate-keeping and referral functions of </w:t>
      </w:r>
      <w:proofErr w:type="spellStart"/>
      <w:r w:rsidRPr="001B51D1">
        <w:rPr>
          <w:i/>
        </w:rPr>
        <w:t>puskesmas</w:t>
      </w:r>
      <w:proofErr w:type="spellEnd"/>
      <w:r w:rsidRPr="001B51D1">
        <w:t xml:space="preserve"> are not strong. There are no penalties for self-referring to higher facility levels: patients can go directly to secondary/tertiary hospitals and obtain services without </w:t>
      </w:r>
      <w:proofErr w:type="spellStart"/>
      <w:r w:rsidRPr="001B51D1">
        <w:rPr>
          <w:i/>
        </w:rPr>
        <w:t>puskesmas</w:t>
      </w:r>
      <w:proofErr w:type="spellEnd"/>
      <w:r w:rsidRPr="001B51D1">
        <w:rPr>
          <w:i/>
        </w:rPr>
        <w:t xml:space="preserve"> </w:t>
      </w:r>
      <w:r w:rsidRPr="001B51D1">
        <w:t xml:space="preserve">referrals (or simply obtain a referral letter from the </w:t>
      </w:r>
      <w:proofErr w:type="spellStart"/>
      <w:r w:rsidRPr="001B51D1">
        <w:rPr>
          <w:i/>
        </w:rPr>
        <w:t>puske</w:t>
      </w:r>
      <w:r>
        <w:rPr>
          <w:i/>
        </w:rPr>
        <w:t>s</w:t>
      </w:r>
      <w:r w:rsidRPr="001B51D1">
        <w:rPr>
          <w:i/>
        </w:rPr>
        <w:t>mas</w:t>
      </w:r>
      <w:proofErr w:type="spellEnd"/>
      <w:r w:rsidRPr="001B51D1">
        <w:t xml:space="preserve"> without first seeking care at the </w:t>
      </w:r>
      <w:proofErr w:type="spellStart"/>
      <w:r w:rsidRPr="001B51D1">
        <w:rPr>
          <w:i/>
        </w:rPr>
        <w:t>puskesmas</w:t>
      </w:r>
      <w:proofErr w:type="spellEnd"/>
      <w:r w:rsidRPr="001B51D1">
        <w:t xml:space="preserve">). </w:t>
      </w:r>
    </w:p>
    <w:p w:rsidR="00CE0D3F" w:rsidRPr="001B51D1" w:rsidRDefault="00CE0D3F" w:rsidP="00DA63A7">
      <w:pPr>
        <w:pStyle w:val="BodyText0"/>
        <w:jc w:val="both"/>
      </w:pPr>
      <w:r w:rsidRPr="001B51D1">
        <w:t xml:space="preserve">Indonesia has around 2,200 hospitals, of which around </w:t>
      </w:r>
      <w:r>
        <w:t xml:space="preserve">62 percent </w:t>
      </w:r>
      <w:r w:rsidRPr="001B51D1">
        <w:t>are private.</w:t>
      </w:r>
      <w:r w:rsidRPr="001B51D1">
        <w:rPr>
          <w:rStyle w:val="FootnoteReference"/>
          <w:szCs w:val="23"/>
        </w:rPr>
        <w:footnoteReference w:id="5"/>
      </w:r>
      <w:r w:rsidRPr="001B51D1">
        <w:t xml:space="preserve"> There are an estimated 270,000 hospital beds, implying about 1.1 beds per 1,000 </w:t>
      </w:r>
      <w:proofErr w:type="gramStart"/>
      <w:r w:rsidRPr="001B51D1">
        <w:t>population</w:t>
      </w:r>
      <w:proofErr w:type="gramEnd"/>
      <w:r w:rsidRPr="001B51D1">
        <w:t xml:space="preserve">, much lower than </w:t>
      </w:r>
      <w:r w:rsidRPr="001B51D1">
        <w:lastRenderedPageBreak/>
        <w:t xml:space="preserve">the global benchmark of 3. About </w:t>
      </w:r>
      <w:r>
        <w:t>45</w:t>
      </w:r>
      <w:r w:rsidRPr="001B51D1">
        <w:rPr>
          <w:rFonts w:ascii="Courier New" w:hAnsi="Courier New" w:cs="Courier New"/>
        </w:rPr>
        <w:t> </w:t>
      </w:r>
      <w:r w:rsidRPr="001B51D1">
        <w:t>percent of beds are at private hospitals. The ownership of tertiary hospitals is mainly public. The nation has about 376 tertiary hospitals, some of which are centers of excellence (about 300 of the 376 total tertiary hospitals are public).</w:t>
      </w:r>
      <w:r>
        <w:t xml:space="preserve"> </w:t>
      </w:r>
      <w:proofErr w:type="spellStart"/>
      <w:r w:rsidRPr="001B51D1">
        <w:t>Jamkesmas</w:t>
      </w:r>
      <w:proofErr w:type="spellEnd"/>
      <w:r w:rsidRPr="001B51D1">
        <w:t xml:space="preserve"> cardholders can, in principle, use primary care services at all </w:t>
      </w:r>
      <w:proofErr w:type="spellStart"/>
      <w:r w:rsidRPr="001B51D1">
        <w:rPr>
          <w:i/>
        </w:rPr>
        <w:t>puskesmas</w:t>
      </w:r>
      <w:proofErr w:type="spellEnd"/>
      <w:r w:rsidRPr="001B51D1">
        <w:t xml:space="preserve"> and inpatient services (for third-class beds) at secondary and tertiary public hospitals and empanelled private hospitals. </w:t>
      </w:r>
    </w:p>
    <w:p w:rsidR="00CE0D3F" w:rsidRPr="001B51D1" w:rsidRDefault="00CE0D3F" w:rsidP="00DA63A7">
      <w:pPr>
        <w:pStyle w:val="BodyText0"/>
        <w:jc w:val="both"/>
        <w:rPr>
          <w:lang w:bidi="en-US"/>
        </w:rPr>
      </w:pPr>
      <w:r w:rsidRPr="001B51D1">
        <w:t xml:space="preserve">One of the key supply challenges in Indonesia is the provision of health services in rural and remote areas in a dispersed archipelago of over 17,000 islands. The government is </w:t>
      </w:r>
      <w:r w:rsidRPr="001B51D1">
        <w:rPr>
          <w:lang w:bidi="en-US"/>
        </w:rPr>
        <w:t xml:space="preserve">upgrading </w:t>
      </w:r>
      <w:proofErr w:type="spellStart"/>
      <w:r w:rsidRPr="001B51D1">
        <w:rPr>
          <w:i/>
          <w:lang w:bidi="en-US"/>
        </w:rPr>
        <w:t>puskesmas</w:t>
      </w:r>
      <w:proofErr w:type="spellEnd"/>
      <w:r w:rsidRPr="001B51D1">
        <w:rPr>
          <w:lang w:bidi="en-US"/>
        </w:rPr>
        <w:t xml:space="preserve"> with inpatient facilities, especially in secondary towns and rural locations. The government has allocated funds to expand inpatient facilities specifically for maternal emergency-ready facilities. </w:t>
      </w:r>
      <w:r>
        <w:rPr>
          <w:lang w:bidi="en-US"/>
        </w:rPr>
        <w:t xml:space="preserve">The </w:t>
      </w:r>
      <w:r w:rsidRPr="001B51D1">
        <w:rPr>
          <w:lang w:bidi="en-US"/>
        </w:rPr>
        <w:t xml:space="preserve">MOH contracts doctors and midwives under the </w:t>
      </w:r>
      <w:proofErr w:type="spellStart"/>
      <w:r w:rsidRPr="001B51D1">
        <w:rPr>
          <w:lang w:bidi="en-US"/>
        </w:rPr>
        <w:t>Pegawai</w:t>
      </w:r>
      <w:proofErr w:type="spellEnd"/>
      <w:r w:rsidRPr="001B51D1">
        <w:rPr>
          <w:lang w:bidi="en-US"/>
        </w:rPr>
        <w:t xml:space="preserve"> </w:t>
      </w:r>
      <w:proofErr w:type="spellStart"/>
      <w:r w:rsidRPr="001B51D1">
        <w:rPr>
          <w:lang w:bidi="en-US"/>
        </w:rPr>
        <w:t>Tidak</w:t>
      </w:r>
      <w:proofErr w:type="spellEnd"/>
      <w:r w:rsidRPr="001B51D1">
        <w:rPr>
          <w:lang w:bidi="en-US"/>
        </w:rPr>
        <w:t xml:space="preserve"> </w:t>
      </w:r>
      <w:proofErr w:type="spellStart"/>
      <w:r w:rsidRPr="001B51D1">
        <w:rPr>
          <w:lang w:bidi="en-US"/>
        </w:rPr>
        <w:t>Tetap</w:t>
      </w:r>
      <w:proofErr w:type="spellEnd"/>
      <w:r w:rsidRPr="001B51D1">
        <w:rPr>
          <w:lang w:bidi="en-US"/>
        </w:rPr>
        <w:t xml:space="preserve"> (PTT) policy for distribution throughout the country. The program offers shorter contracts and higher remuneration for rural and remote posting</w:t>
      </w:r>
      <w:r>
        <w:rPr>
          <w:lang w:bidi="en-US"/>
        </w:rPr>
        <w:t>s</w:t>
      </w:r>
      <w:r w:rsidRPr="001B51D1">
        <w:rPr>
          <w:lang w:bidi="en-US"/>
        </w:rPr>
        <w:t xml:space="preserve">. </w:t>
      </w:r>
    </w:p>
    <w:p w:rsidR="00CE0D3F" w:rsidRPr="00450413" w:rsidRDefault="00CE0D3F" w:rsidP="00361839">
      <w:pPr>
        <w:pStyle w:val="Heading2"/>
        <w:rPr>
          <w:rFonts w:ascii="Andes" w:hAnsi="Andes"/>
          <w:lang w:bidi="en-US"/>
        </w:rPr>
      </w:pPr>
      <w:r w:rsidRPr="001B51D1">
        <w:rPr>
          <w:lang w:bidi="en-US"/>
        </w:rPr>
        <w:t>B.</w:t>
      </w:r>
      <w:r w:rsidRPr="001B51D1">
        <w:rPr>
          <w:lang w:bidi="en-US"/>
        </w:rPr>
        <w:tab/>
      </w:r>
      <w:r w:rsidRPr="00450413">
        <w:rPr>
          <w:rFonts w:ascii="Andes" w:hAnsi="Andes"/>
          <w:lang w:bidi="en-US"/>
        </w:rPr>
        <w:t>Current status of health financing</w:t>
      </w:r>
    </w:p>
    <w:p w:rsidR="00CE0D3F" w:rsidRPr="001B51D1" w:rsidRDefault="00CE0D3F" w:rsidP="00FB58DC">
      <w:pPr>
        <w:pStyle w:val="Heading3"/>
      </w:pPr>
      <w:r w:rsidRPr="001B51D1">
        <w:t>1.</w:t>
      </w:r>
      <w:r w:rsidRPr="001B51D1">
        <w:tab/>
        <w:t>Sustainability of current coverage</w:t>
      </w:r>
    </w:p>
    <w:p w:rsidR="00CE0D3F" w:rsidRPr="00450413" w:rsidRDefault="00CE0D3F" w:rsidP="00FB58DC">
      <w:pPr>
        <w:pStyle w:val="Heading4"/>
        <w:rPr>
          <w:rFonts w:ascii="Andes" w:hAnsi="Andes"/>
        </w:rPr>
      </w:pPr>
      <w:r w:rsidRPr="00450413">
        <w:rPr>
          <w:rFonts w:ascii="Andes" w:hAnsi="Andes"/>
        </w:rPr>
        <w:t>a. Fiscal space</w:t>
      </w:r>
    </w:p>
    <w:p w:rsidR="00CE0D3F" w:rsidRPr="001824E3" w:rsidRDefault="00CE0D3F" w:rsidP="00CE0D3F">
      <w:pPr>
        <w:jc w:val="both"/>
        <w:rPr>
          <w:b/>
        </w:rPr>
      </w:pPr>
      <w:r w:rsidRPr="001824E3">
        <w:rPr>
          <w:b/>
        </w:rPr>
        <w:t>Has fiscal space been adequate to achieve UHC or at least enable an expansion of the breadth and depth of coverage over time?</w:t>
      </w:r>
    </w:p>
    <w:p w:rsidR="00CE0D3F" w:rsidRDefault="00CE0D3F" w:rsidP="00CE0D3F">
      <w:pPr>
        <w:pStyle w:val="BodyText0"/>
        <w:jc w:val="both"/>
      </w:pPr>
      <w:r>
        <w:rPr>
          <w:noProof/>
        </w:rPr>
        <mc:AlternateContent>
          <mc:Choice Requires="wps">
            <w:drawing>
              <wp:inline distT="0" distB="0" distL="0" distR="0" wp14:anchorId="17B5C9F3" wp14:editId="34111BF0">
                <wp:extent cx="5189220" cy="3291840"/>
                <wp:effectExtent l="0" t="0" r="0" b="381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329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AE3" w:rsidRPr="001824E3" w:rsidRDefault="003F7AE3" w:rsidP="003456C4">
                            <w:pPr>
                              <w:pStyle w:val="Caption"/>
                              <w:rPr>
                                <w:rFonts w:ascii="Andes" w:hAnsi="Andes"/>
                              </w:rPr>
                            </w:pPr>
                            <w:proofErr w:type="gramStart"/>
                            <w:r w:rsidRPr="001824E3">
                              <w:rPr>
                                <w:rFonts w:ascii="Andes" w:hAnsi="Andes"/>
                              </w:rPr>
                              <w:t>Figure 2.</w:t>
                            </w:r>
                            <w:proofErr w:type="gramEnd"/>
                            <w:r w:rsidRPr="001824E3">
                              <w:rPr>
                                <w:rFonts w:ascii="Andes" w:hAnsi="Andes"/>
                              </w:rPr>
                              <w:t xml:space="preserve"> National-level public expenditure on health in Indonesia, 1995-2011</w:t>
                            </w:r>
                          </w:p>
                          <w:p w:rsidR="003F7AE3" w:rsidRDefault="003F7AE3" w:rsidP="00CE0D3F">
                            <w:r>
                              <w:rPr>
                                <w:noProof/>
                              </w:rPr>
                              <w:drawing>
                                <wp:inline distT="0" distB="0" distL="0" distR="0" wp14:anchorId="6434826C" wp14:editId="4D7C5F79">
                                  <wp:extent cx="4290060" cy="3059232"/>
                                  <wp:effectExtent l="0" t="0" r="0" b="8255"/>
                                  <wp:docPr id="143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0060" cy="30592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_x0000_s1030" type="#_x0000_t202" style="width:408.6pt;height:2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nOhgIAABc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" stroked="f">
                <v:textbox>
                  <w:txbxContent>
                    <w:p w:rsidR="003F7AE3" w:rsidRPr="001824E3" w:rsidRDefault="003F7AE3" w:rsidP="003456C4">
                      <w:pPr>
                        <w:pStyle w:val="Caption"/>
                        <w:rPr>
                          <w:rFonts w:ascii="Andes" w:hAnsi="Andes"/>
                        </w:rPr>
                      </w:pPr>
                      <w:r w:rsidRPr="001824E3">
                        <w:rPr>
                          <w:rFonts w:ascii="Andes" w:hAnsi="Andes"/>
                        </w:rPr>
                        <w:t>Figure 2. National-level public expenditure on health in Indonesia, 1995-2011</w:t>
                      </w:r>
                    </w:p>
                    <w:p w:rsidR="003F7AE3" w:rsidRDefault="003F7AE3" w:rsidP="00CE0D3F">
                      <w:r>
                        <w:rPr>
                          <w:noProof/>
                        </w:rPr>
                        <w:drawing>
                          <wp:inline distT="0" distB="0" distL="0" distR="0" wp14:anchorId="6434826C" wp14:editId="4D7C5F79">
                            <wp:extent cx="4290060" cy="3059232"/>
                            <wp:effectExtent l="0" t="0" r="0" b="8255"/>
                            <wp:docPr id="143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060" cy="3059232"/>
                                    </a:xfrm>
                                    <a:prstGeom prst="rect">
                                      <a:avLst/>
                                    </a:prstGeom>
                                    <a:noFill/>
                                    <a:ln>
                                      <a:noFill/>
                                    </a:ln>
                                  </pic:spPr>
                                </pic:pic>
                              </a:graphicData>
                            </a:graphic>
                          </wp:inline>
                        </w:drawing>
                      </w:r>
                    </w:p>
                  </w:txbxContent>
                </v:textbox>
                <w10:anchorlock/>
              </v:shape>
            </w:pict>
          </mc:Fallback>
        </mc:AlternateContent>
      </w:r>
    </w:p>
    <w:p w:rsidR="00905496" w:rsidRDefault="00905496" w:rsidP="00905496">
      <w:pPr>
        <w:pStyle w:val="Source"/>
      </w:pPr>
      <w:r w:rsidRPr="001E6DA3">
        <w:t xml:space="preserve">Source: </w:t>
      </w:r>
      <w:r>
        <w:t>WHO</w:t>
      </w:r>
      <w:r w:rsidRPr="001E6DA3">
        <w:t xml:space="preserve"> (various years)</w:t>
      </w:r>
    </w:p>
    <w:p w:rsidR="00CE0D3F" w:rsidRDefault="00CE0D3F" w:rsidP="00CE0D3F">
      <w:pPr>
        <w:pStyle w:val="BodyText0"/>
        <w:jc w:val="both"/>
      </w:pPr>
    </w:p>
    <w:p w:rsidR="00CE0D3F" w:rsidRPr="001B51D1" w:rsidRDefault="00AC6089" w:rsidP="00CE0D3F">
      <w:pPr>
        <w:pStyle w:val="BodyText0"/>
        <w:jc w:val="both"/>
      </w:pPr>
      <w:r>
        <w:lastRenderedPageBreak/>
        <w:t>Indonesia’s N</w:t>
      </w:r>
      <w:r w:rsidR="00CE0D3F" w:rsidRPr="00F35243">
        <w:t xml:space="preserve">ational </w:t>
      </w:r>
      <w:r>
        <w:t>H</w:t>
      </w:r>
      <w:r w:rsidR="00CE0D3F" w:rsidRPr="00F35243">
        <w:t xml:space="preserve">ealth </w:t>
      </w:r>
      <w:r>
        <w:t>A</w:t>
      </w:r>
      <w:r w:rsidR="00CE0D3F" w:rsidRPr="00F35243">
        <w:t>ccount</w:t>
      </w:r>
      <w:r w:rsidR="00CE0D3F">
        <w:t>s</w:t>
      </w:r>
      <w:r w:rsidR="00CE0D3F" w:rsidRPr="00F35243">
        <w:t xml:space="preserve"> </w:t>
      </w:r>
      <w:r w:rsidR="00CE0D3F" w:rsidRPr="001B51D1">
        <w:t xml:space="preserve">data estimates indicate that national-level government expenditure on health was almost </w:t>
      </w:r>
      <w:proofErr w:type="spellStart"/>
      <w:r w:rsidR="00CE0D3F">
        <w:t>Rp</w:t>
      </w:r>
      <w:proofErr w:type="spellEnd"/>
      <w:r w:rsidR="00CE0D3F">
        <w:rPr>
          <w:rFonts w:ascii="Courier New" w:hAnsi="Courier New" w:cs="Courier New"/>
        </w:rPr>
        <w:t> </w:t>
      </w:r>
      <w:r w:rsidR="00CE0D3F" w:rsidRPr="001B51D1">
        <w:t>70 trillion in 2011, about 1</w:t>
      </w:r>
      <w:r w:rsidR="00CE0D3F" w:rsidRPr="001B51D1">
        <w:rPr>
          <w:rFonts w:ascii="Courier New" w:hAnsi="Courier New" w:cs="Courier New"/>
        </w:rPr>
        <w:t> </w:t>
      </w:r>
      <w:r w:rsidR="00CE0D3F" w:rsidRPr="001B51D1">
        <w:t>percent of GDP and over 5</w:t>
      </w:r>
      <w:r w:rsidR="00CE0D3F" w:rsidRPr="001B51D1">
        <w:rPr>
          <w:rFonts w:ascii="Courier New" w:hAnsi="Courier New" w:cs="Courier New"/>
        </w:rPr>
        <w:t> </w:t>
      </w:r>
      <w:r w:rsidR="00CE0D3F" w:rsidRPr="001B51D1">
        <w:t>percent of aggregate government expenditure.</w:t>
      </w:r>
      <w:r w:rsidR="00CE0D3F" w:rsidRPr="001B51D1">
        <w:rPr>
          <w:rStyle w:val="FootnoteReference"/>
          <w:szCs w:val="23"/>
        </w:rPr>
        <w:footnoteReference w:id="6"/>
      </w:r>
      <w:r w:rsidR="00CE0D3F" w:rsidRPr="001B51D1">
        <w:t xml:space="preserve"> Government health expenditure has more than tripled in nominal terms since 2005. A large part of the increase in government health expenditure is due to the </w:t>
      </w:r>
      <w:r w:rsidR="00CE0D3F">
        <w:t>rise</w:t>
      </w:r>
      <w:r w:rsidR="00CE0D3F" w:rsidRPr="001B51D1">
        <w:t xml:space="preserve"> in social health insurance expenditures following the introduction of </w:t>
      </w:r>
      <w:proofErr w:type="spellStart"/>
      <w:r w:rsidR="00CE0D3F" w:rsidRPr="001B51D1">
        <w:t>Askes</w:t>
      </w:r>
      <w:r w:rsidR="00CE0D3F">
        <w:t>kin</w:t>
      </w:r>
      <w:proofErr w:type="spellEnd"/>
      <w:r w:rsidR="00CE0D3F" w:rsidRPr="001B51D1">
        <w:t xml:space="preserve"> in 2005 (expanded and renamed </w:t>
      </w:r>
      <w:proofErr w:type="spellStart"/>
      <w:r w:rsidR="00CE0D3F" w:rsidRPr="001B51D1">
        <w:t>Jamkesmas</w:t>
      </w:r>
      <w:proofErr w:type="spellEnd"/>
      <w:r w:rsidR="00CE0D3F" w:rsidRPr="001B51D1">
        <w:t xml:space="preserve"> in 2007) (Figure </w:t>
      </w:r>
      <w:r w:rsidR="00CE0D3F">
        <w:t>2 left panel</w:t>
      </w:r>
      <w:r w:rsidR="00CE0D3F" w:rsidRPr="001B51D1">
        <w:t>). There has generally been an upward trend in health’s share of aggregate government expenditure and an increase in government health spending’s share of GDP over 1995–2011 (Figure 2</w:t>
      </w:r>
      <w:r w:rsidR="00CE0D3F">
        <w:t xml:space="preserve"> right panel</w:t>
      </w:r>
      <w:r w:rsidR="00CE0D3F" w:rsidRPr="001B51D1">
        <w:t xml:space="preserve">). </w:t>
      </w:r>
    </w:p>
    <w:p w:rsidR="00CE0D3F" w:rsidRDefault="00CE0D3F" w:rsidP="00CE0D3F">
      <w:pPr>
        <w:pStyle w:val="BodyText0"/>
        <w:jc w:val="both"/>
      </w:pPr>
      <w:r w:rsidRPr="001B51D1">
        <w:t>About half of all government health expenditures are made at district level, about 15</w:t>
      </w:r>
      <w:r w:rsidRPr="001B51D1">
        <w:rPr>
          <w:rFonts w:ascii="Courier New" w:hAnsi="Courier New" w:cs="Courier New"/>
        </w:rPr>
        <w:t> </w:t>
      </w:r>
      <w:r w:rsidRPr="001B51D1">
        <w:t xml:space="preserve">percent at </w:t>
      </w:r>
      <w:r w:rsidRPr="005D544F">
        <w:t xml:space="preserve">provincial </w:t>
      </w:r>
      <w:r>
        <w:t xml:space="preserve">level </w:t>
      </w:r>
      <w:r w:rsidRPr="001B51D1">
        <w:t>and about 35</w:t>
      </w:r>
      <w:r w:rsidRPr="001B51D1">
        <w:rPr>
          <w:rFonts w:ascii="Courier New" w:hAnsi="Courier New" w:cs="Courier New"/>
        </w:rPr>
        <w:t> </w:t>
      </w:r>
      <w:r w:rsidRPr="001B51D1">
        <w:t xml:space="preserve">percent at </w:t>
      </w:r>
      <w:r>
        <w:t xml:space="preserve">central </w:t>
      </w:r>
      <w:r w:rsidRPr="005D544F">
        <w:t>level</w:t>
      </w:r>
      <w:r w:rsidRPr="001B51D1">
        <w:t xml:space="preserve">. </w:t>
      </w:r>
      <w:proofErr w:type="spellStart"/>
      <w:r w:rsidRPr="001B51D1">
        <w:t>Jamkesmas</w:t>
      </w:r>
      <w:proofErr w:type="spellEnd"/>
      <w:r w:rsidRPr="001B51D1">
        <w:t xml:space="preserve"> is entirely financed by the central government: with allocations currently determined based on a “premium” rate of </w:t>
      </w:r>
      <w:proofErr w:type="spellStart"/>
      <w:r>
        <w:t>Rp</w:t>
      </w:r>
      <w:proofErr w:type="spellEnd"/>
      <w:r>
        <w:rPr>
          <w:rFonts w:ascii="Courier New" w:hAnsi="Courier New" w:cs="Courier New"/>
        </w:rPr>
        <w:t> </w:t>
      </w:r>
      <w:r w:rsidRPr="001B51D1">
        <w:t xml:space="preserve">6,500 per person per month (about $8 per person per year) the program accounts for about a quarter of the central government’s health budget. </w:t>
      </w:r>
      <w:proofErr w:type="spellStart"/>
      <w:r w:rsidRPr="001B51D1">
        <w:t>Jamkesmas</w:t>
      </w:r>
      <w:proofErr w:type="spellEnd"/>
      <w:r w:rsidRPr="001B51D1">
        <w:t xml:space="preserve"> premiums and expenditures do not reflect the full cost of provision of </w:t>
      </w:r>
      <w:proofErr w:type="gramStart"/>
      <w:r w:rsidRPr="001B51D1">
        <w:t>care,</w:t>
      </w:r>
      <w:proofErr w:type="gramEnd"/>
      <w:r w:rsidRPr="001B51D1">
        <w:t xml:space="preserve"> from both a unit cost as well as from an aggregate utilization perspective (inpatient utilization rates remain relatively low for </w:t>
      </w:r>
      <w:proofErr w:type="spellStart"/>
      <w:r w:rsidRPr="001B51D1">
        <w:t>Jamkesmas</w:t>
      </w:r>
      <w:proofErr w:type="spellEnd"/>
      <w:r w:rsidRPr="001B51D1">
        <w:t xml:space="preserve"> members). An estimated two-thirds of the cost of care for </w:t>
      </w:r>
      <w:proofErr w:type="spellStart"/>
      <w:r w:rsidRPr="001B51D1">
        <w:t>Jamkesmas</w:t>
      </w:r>
      <w:proofErr w:type="spellEnd"/>
      <w:r w:rsidRPr="001B51D1">
        <w:t xml:space="preserve"> continues to be subsidized by supply-side government health spending on salaries and infrastructure. Actuarial studies estimate the true cost to be at least three to four times higher than current premium rates, even with existing levels of supply-side constraints</w:t>
      </w:r>
      <w:r>
        <w:t xml:space="preserve"> (</w:t>
      </w:r>
      <w:proofErr w:type="spellStart"/>
      <w:r>
        <w:t>Guerard</w:t>
      </w:r>
      <w:proofErr w:type="spellEnd"/>
      <w:r>
        <w:t xml:space="preserve"> et al. 2011)</w:t>
      </w:r>
      <w:r w:rsidRPr="001B51D1">
        <w:t xml:space="preserve">. </w:t>
      </w:r>
    </w:p>
    <w:p w:rsidR="00CE0D3F" w:rsidRPr="0004011F" w:rsidRDefault="00CE0D3F" w:rsidP="00CE0D3F">
      <w:pPr>
        <w:jc w:val="both"/>
        <w:rPr>
          <w:b/>
        </w:rPr>
      </w:pPr>
      <w:r w:rsidRPr="0004011F">
        <w:rPr>
          <w:b/>
        </w:rPr>
        <w:t>Are the revenues and expenditures balanced? What mechanisms are in place to ensure fiscal sustainability?</w:t>
      </w:r>
    </w:p>
    <w:p w:rsidR="00CE0D3F" w:rsidRPr="001B51D1" w:rsidRDefault="00CE0D3F" w:rsidP="00DA63A7">
      <w:pPr>
        <w:pStyle w:val="BodyText0"/>
        <w:jc w:val="both"/>
        <w:rPr>
          <w:b/>
          <w:lang w:bidi="en-US"/>
        </w:rPr>
      </w:pPr>
      <w:r w:rsidRPr="001B51D1">
        <w:t>In 2006–11, allocations and expenditures were largely in balance, with incremental adjustments made to the estimated premium over the years (</w:t>
      </w:r>
      <w:r>
        <w:t>Table 4</w:t>
      </w:r>
      <w:r w:rsidRPr="001B51D1">
        <w:t xml:space="preserve">). </w:t>
      </w:r>
      <w:r w:rsidRPr="001B51D1">
        <w:rPr>
          <w:lang w:bidi="en-US"/>
        </w:rPr>
        <w:t xml:space="preserve">The 2006 budget for </w:t>
      </w:r>
      <w:proofErr w:type="spellStart"/>
      <w:r w:rsidRPr="001B51D1">
        <w:rPr>
          <w:lang w:bidi="en-US"/>
        </w:rPr>
        <w:t>Jamkesmas</w:t>
      </w:r>
      <w:proofErr w:type="spellEnd"/>
      <w:r w:rsidRPr="001B51D1">
        <w:rPr>
          <w:lang w:bidi="en-US"/>
        </w:rPr>
        <w:t xml:space="preserve"> was based on a cost per person per month of </w:t>
      </w:r>
      <w:proofErr w:type="spellStart"/>
      <w:r>
        <w:rPr>
          <w:lang w:bidi="en-US"/>
        </w:rPr>
        <w:t>Rp</w:t>
      </w:r>
      <w:proofErr w:type="spellEnd"/>
      <w:r>
        <w:rPr>
          <w:rFonts w:ascii="Courier New" w:hAnsi="Courier New" w:cs="Courier New"/>
          <w:lang w:bidi="en-US"/>
        </w:rPr>
        <w:t> </w:t>
      </w:r>
      <w:r w:rsidRPr="001B51D1">
        <w:rPr>
          <w:lang w:bidi="en-US"/>
        </w:rPr>
        <w:t xml:space="preserve">5,000, derived from preliminary actuarial estimates and the experience of the civil servant insurance scheme, </w:t>
      </w:r>
      <w:proofErr w:type="spellStart"/>
      <w:r w:rsidRPr="001B51D1">
        <w:rPr>
          <w:lang w:bidi="en-US"/>
        </w:rPr>
        <w:t>Askes</w:t>
      </w:r>
      <w:proofErr w:type="spellEnd"/>
      <w:r w:rsidRPr="001B51D1">
        <w:rPr>
          <w:lang w:bidi="en-US"/>
        </w:rPr>
        <w:t>. In the following years, allocation adjustments were made based on expenditures of previous years.</w:t>
      </w:r>
    </w:p>
    <w:p w:rsidR="00CE0D3F" w:rsidRPr="001824E3" w:rsidRDefault="00CE0D3F" w:rsidP="003456C4">
      <w:pPr>
        <w:pStyle w:val="Caption"/>
        <w:rPr>
          <w:rFonts w:ascii="Andes" w:hAnsi="Andes"/>
        </w:rPr>
      </w:pPr>
      <w:proofErr w:type="gramStart"/>
      <w:r w:rsidRPr="001824E3">
        <w:rPr>
          <w:rFonts w:ascii="Andes" w:hAnsi="Andes"/>
        </w:rPr>
        <w:t>Table 4.</w:t>
      </w:r>
      <w:proofErr w:type="gramEnd"/>
      <w:r w:rsidRPr="001824E3">
        <w:rPr>
          <w:rFonts w:ascii="Andes" w:hAnsi="Andes"/>
        </w:rPr>
        <w:t xml:space="preserve"> </w:t>
      </w:r>
      <w:proofErr w:type="spellStart"/>
      <w:r w:rsidRPr="001824E3">
        <w:rPr>
          <w:rFonts w:ascii="Andes" w:hAnsi="Andes"/>
        </w:rPr>
        <w:t>Jamkesmas</w:t>
      </w:r>
      <w:proofErr w:type="spellEnd"/>
      <w:r w:rsidRPr="001824E3">
        <w:rPr>
          <w:rFonts w:ascii="Andes" w:hAnsi="Andes"/>
        </w:rPr>
        <w:t xml:space="preserve"> target membership, premiums, allocations, and expenditures, 2005–12</w:t>
      </w:r>
    </w:p>
    <w:tbl>
      <w:tblPr>
        <w:tblW w:w="9429" w:type="dxa"/>
        <w:tblInd w:w="93" w:type="dxa"/>
        <w:tblLayout w:type="fixed"/>
        <w:tblLook w:val="04A0" w:firstRow="1" w:lastRow="0" w:firstColumn="1" w:lastColumn="0" w:noHBand="0" w:noVBand="1"/>
      </w:tblPr>
      <w:tblGrid>
        <w:gridCol w:w="1995"/>
        <w:gridCol w:w="929"/>
        <w:gridCol w:w="929"/>
        <w:gridCol w:w="929"/>
        <w:gridCol w:w="930"/>
        <w:gridCol w:w="929"/>
        <w:gridCol w:w="929"/>
        <w:gridCol w:w="929"/>
        <w:gridCol w:w="930"/>
      </w:tblGrid>
      <w:tr w:rsidR="00CE0D3F" w:rsidRPr="001B51D1" w:rsidTr="001001B4">
        <w:trPr>
          <w:trHeight w:val="305"/>
        </w:trPr>
        <w:tc>
          <w:tcPr>
            <w:tcW w:w="1995" w:type="dxa"/>
            <w:tcBorders>
              <w:top w:val="double" w:sz="6" w:space="0" w:color="auto"/>
              <w:left w:val="nil"/>
              <w:bottom w:val="double" w:sz="6" w:space="0" w:color="auto"/>
              <w:right w:val="nil"/>
            </w:tcBorders>
            <w:shd w:val="clear" w:color="auto" w:fill="DBE5F1" w:themeFill="accent1" w:themeFillTint="33"/>
            <w:vAlign w:val="center"/>
            <w:hideMark/>
          </w:tcPr>
          <w:p w:rsidR="00CE0D3F" w:rsidRPr="001001B4" w:rsidRDefault="00CE0D3F" w:rsidP="0004011F">
            <w:pPr>
              <w:rPr>
                <w:b/>
              </w:rPr>
            </w:pPr>
            <w:r w:rsidRPr="001001B4">
              <w:rPr>
                <w:b/>
              </w:rPr>
              <w:t>Year</w:t>
            </w:r>
          </w:p>
        </w:tc>
        <w:tc>
          <w:tcPr>
            <w:tcW w:w="929" w:type="dxa"/>
            <w:tcBorders>
              <w:top w:val="double" w:sz="6" w:space="0" w:color="auto"/>
              <w:left w:val="nil"/>
              <w:bottom w:val="double" w:sz="6" w:space="0" w:color="auto"/>
              <w:right w:val="nil"/>
            </w:tcBorders>
            <w:shd w:val="clear" w:color="auto" w:fill="DBE5F1" w:themeFill="accent1" w:themeFillTint="33"/>
            <w:vAlign w:val="center"/>
            <w:hideMark/>
          </w:tcPr>
          <w:p w:rsidR="00CE0D3F" w:rsidRPr="001001B4" w:rsidRDefault="00CE0D3F" w:rsidP="0004011F">
            <w:pPr>
              <w:rPr>
                <w:b/>
              </w:rPr>
            </w:pPr>
            <w:r w:rsidRPr="001001B4">
              <w:rPr>
                <w:b/>
              </w:rPr>
              <w:t>2005</w:t>
            </w:r>
          </w:p>
        </w:tc>
        <w:tc>
          <w:tcPr>
            <w:tcW w:w="929" w:type="dxa"/>
            <w:tcBorders>
              <w:top w:val="double" w:sz="6" w:space="0" w:color="auto"/>
              <w:left w:val="nil"/>
              <w:bottom w:val="double" w:sz="6" w:space="0" w:color="auto"/>
              <w:right w:val="nil"/>
            </w:tcBorders>
            <w:shd w:val="clear" w:color="auto" w:fill="DBE5F1" w:themeFill="accent1" w:themeFillTint="33"/>
            <w:vAlign w:val="center"/>
            <w:hideMark/>
          </w:tcPr>
          <w:p w:rsidR="00CE0D3F" w:rsidRPr="001001B4" w:rsidRDefault="00CE0D3F" w:rsidP="0004011F">
            <w:pPr>
              <w:rPr>
                <w:b/>
              </w:rPr>
            </w:pPr>
            <w:r w:rsidRPr="001001B4">
              <w:rPr>
                <w:b/>
              </w:rPr>
              <w:t>2006</w:t>
            </w:r>
          </w:p>
        </w:tc>
        <w:tc>
          <w:tcPr>
            <w:tcW w:w="929" w:type="dxa"/>
            <w:tcBorders>
              <w:top w:val="double" w:sz="6" w:space="0" w:color="auto"/>
              <w:left w:val="nil"/>
              <w:bottom w:val="double" w:sz="6" w:space="0" w:color="auto"/>
              <w:right w:val="nil"/>
            </w:tcBorders>
            <w:shd w:val="clear" w:color="auto" w:fill="DBE5F1" w:themeFill="accent1" w:themeFillTint="33"/>
            <w:vAlign w:val="center"/>
            <w:hideMark/>
          </w:tcPr>
          <w:p w:rsidR="00CE0D3F" w:rsidRPr="001001B4" w:rsidRDefault="00CE0D3F" w:rsidP="0004011F">
            <w:pPr>
              <w:rPr>
                <w:b/>
              </w:rPr>
            </w:pPr>
            <w:r w:rsidRPr="001001B4">
              <w:rPr>
                <w:b/>
              </w:rPr>
              <w:t>2007</w:t>
            </w:r>
          </w:p>
        </w:tc>
        <w:tc>
          <w:tcPr>
            <w:tcW w:w="930" w:type="dxa"/>
            <w:tcBorders>
              <w:top w:val="double" w:sz="6" w:space="0" w:color="auto"/>
              <w:left w:val="nil"/>
              <w:bottom w:val="double" w:sz="6" w:space="0" w:color="auto"/>
              <w:right w:val="nil"/>
            </w:tcBorders>
            <w:shd w:val="clear" w:color="auto" w:fill="DBE5F1" w:themeFill="accent1" w:themeFillTint="33"/>
            <w:vAlign w:val="center"/>
            <w:hideMark/>
          </w:tcPr>
          <w:p w:rsidR="00CE0D3F" w:rsidRPr="001001B4" w:rsidRDefault="00CE0D3F" w:rsidP="0004011F">
            <w:pPr>
              <w:rPr>
                <w:b/>
              </w:rPr>
            </w:pPr>
            <w:r w:rsidRPr="001001B4">
              <w:rPr>
                <w:b/>
              </w:rPr>
              <w:t>2008</w:t>
            </w:r>
          </w:p>
        </w:tc>
        <w:tc>
          <w:tcPr>
            <w:tcW w:w="929" w:type="dxa"/>
            <w:tcBorders>
              <w:top w:val="double" w:sz="6" w:space="0" w:color="auto"/>
              <w:left w:val="nil"/>
              <w:bottom w:val="double" w:sz="6" w:space="0" w:color="auto"/>
              <w:right w:val="nil"/>
            </w:tcBorders>
            <w:shd w:val="clear" w:color="auto" w:fill="DBE5F1" w:themeFill="accent1" w:themeFillTint="33"/>
            <w:vAlign w:val="center"/>
            <w:hideMark/>
          </w:tcPr>
          <w:p w:rsidR="00CE0D3F" w:rsidRPr="001001B4" w:rsidRDefault="00CE0D3F" w:rsidP="0004011F">
            <w:pPr>
              <w:rPr>
                <w:b/>
              </w:rPr>
            </w:pPr>
            <w:r w:rsidRPr="001001B4">
              <w:rPr>
                <w:b/>
              </w:rPr>
              <w:t>2009</w:t>
            </w:r>
          </w:p>
        </w:tc>
        <w:tc>
          <w:tcPr>
            <w:tcW w:w="929" w:type="dxa"/>
            <w:tcBorders>
              <w:top w:val="double" w:sz="6" w:space="0" w:color="auto"/>
              <w:left w:val="nil"/>
              <w:bottom w:val="double" w:sz="6" w:space="0" w:color="auto"/>
              <w:right w:val="nil"/>
            </w:tcBorders>
            <w:shd w:val="clear" w:color="auto" w:fill="DBE5F1" w:themeFill="accent1" w:themeFillTint="33"/>
            <w:vAlign w:val="center"/>
            <w:hideMark/>
          </w:tcPr>
          <w:p w:rsidR="00CE0D3F" w:rsidRPr="001001B4" w:rsidRDefault="00CE0D3F" w:rsidP="0004011F">
            <w:pPr>
              <w:rPr>
                <w:b/>
              </w:rPr>
            </w:pPr>
            <w:r w:rsidRPr="001001B4">
              <w:rPr>
                <w:b/>
              </w:rPr>
              <w:t>2010</w:t>
            </w:r>
          </w:p>
        </w:tc>
        <w:tc>
          <w:tcPr>
            <w:tcW w:w="929" w:type="dxa"/>
            <w:tcBorders>
              <w:top w:val="double" w:sz="6" w:space="0" w:color="auto"/>
              <w:left w:val="nil"/>
              <w:bottom w:val="double" w:sz="6" w:space="0" w:color="auto"/>
              <w:right w:val="nil"/>
            </w:tcBorders>
            <w:shd w:val="clear" w:color="auto" w:fill="DBE5F1" w:themeFill="accent1" w:themeFillTint="33"/>
            <w:vAlign w:val="center"/>
            <w:hideMark/>
          </w:tcPr>
          <w:p w:rsidR="00CE0D3F" w:rsidRPr="001001B4" w:rsidRDefault="00CE0D3F" w:rsidP="0004011F">
            <w:pPr>
              <w:rPr>
                <w:b/>
              </w:rPr>
            </w:pPr>
            <w:r w:rsidRPr="001001B4">
              <w:rPr>
                <w:b/>
              </w:rPr>
              <w:t>2011</w:t>
            </w:r>
          </w:p>
        </w:tc>
        <w:tc>
          <w:tcPr>
            <w:tcW w:w="930" w:type="dxa"/>
            <w:tcBorders>
              <w:top w:val="double" w:sz="6" w:space="0" w:color="auto"/>
              <w:left w:val="nil"/>
              <w:bottom w:val="double" w:sz="6" w:space="0" w:color="auto"/>
              <w:right w:val="nil"/>
            </w:tcBorders>
            <w:shd w:val="clear" w:color="auto" w:fill="DBE5F1" w:themeFill="accent1" w:themeFillTint="33"/>
            <w:vAlign w:val="center"/>
            <w:hideMark/>
          </w:tcPr>
          <w:p w:rsidR="00CE0D3F" w:rsidRPr="001001B4" w:rsidRDefault="00CE0D3F" w:rsidP="0004011F">
            <w:pPr>
              <w:rPr>
                <w:b/>
              </w:rPr>
            </w:pPr>
            <w:r w:rsidRPr="001001B4">
              <w:rPr>
                <w:b/>
              </w:rPr>
              <w:t>2012</w:t>
            </w:r>
          </w:p>
        </w:tc>
      </w:tr>
      <w:tr w:rsidR="00CE0D3F" w:rsidRPr="001B51D1" w:rsidTr="0004011F">
        <w:trPr>
          <w:trHeight w:val="20"/>
        </w:trPr>
        <w:tc>
          <w:tcPr>
            <w:tcW w:w="1995" w:type="dxa"/>
            <w:vMerge w:val="restart"/>
            <w:tcBorders>
              <w:top w:val="nil"/>
              <w:left w:val="nil"/>
              <w:bottom w:val="single" w:sz="8" w:space="0" w:color="000000"/>
              <w:right w:val="nil"/>
            </w:tcBorders>
            <w:shd w:val="clear" w:color="auto" w:fill="auto"/>
            <w:hideMark/>
          </w:tcPr>
          <w:p w:rsidR="00CE0D3F" w:rsidRPr="001B51D1" w:rsidRDefault="00CE0D3F" w:rsidP="0004011F">
            <w:r w:rsidRPr="001B51D1">
              <w:t>Target membership (million)</w:t>
            </w:r>
          </w:p>
        </w:tc>
        <w:tc>
          <w:tcPr>
            <w:tcW w:w="929" w:type="dxa"/>
            <w:tcBorders>
              <w:top w:val="nil"/>
              <w:left w:val="nil"/>
              <w:bottom w:val="nil"/>
              <w:right w:val="nil"/>
            </w:tcBorders>
            <w:shd w:val="clear" w:color="auto" w:fill="auto"/>
            <w:hideMark/>
          </w:tcPr>
          <w:p w:rsidR="00CE0D3F" w:rsidRPr="001B51D1" w:rsidRDefault="00CE0D3F" w:rsidP="0004011F">
            <w:r w:rsidRPr="001B51D1">
              <w:t>60</w:t>
            </w:r>
          </w:p>
        </w:tc>
        <w:tc>
          <w:tcPr>
            <w:tcW w:w="929" w:type="dxa"/>
            <w:tcBorders>
              <w:top w:val="nil"/>
              <w:left w:val="nil"/>
              <w:bottom w:val="nil"/>
              <w:right w:val="nil"/>
            </w:tcBorders>
            <w:shd w:val="clear" w:color="auto" w:fill="auto"/>
            <w:hideMark/>
          </w:tcPr>
          <w:p w:rsidR="00CE0D3F" w:rsidRPr="001B51D1" w:rsidRDefault="00CE0D3F" w:rsidP="0004011F">
            <w:r w:rsidRPr="001B51D1">
              <w:t>60</w:t>
            </w:r>
          </w:p>
        </w:tc>
        <w:tc>
          <w:tcPr>
            <w:tcW w:w="929" w:type="dxa"/>
            <w:tcBorders>
              <w:top w:val="nil"/>
              <w:left w:val="nil"/>
              <w:bottom w:val="nil"/>
              <w:right w:val="nil"/>
            </w:tcBorders>
            <w:shd w:val="clear" w:color="auto" w:fill="auto"/>
            <w:hideMark/>
          </w:tcPr>
          <w:p w:rsidR="00CE0D3F" w:rsidRPr="001B51D1" w:rsidRDefault="00CE0D3F" w:rsidP="0004011F">
            <w:r w:rsidRPr="001B51D1">
              <w:t>76.4</w:t>
            </w:r>
          </w:p>
        </w:tc>
        <w:tc>
          <w:tcPr>
            <w:tcW w:w="930" w:type="dxa"/>
            <w:tcBorders>
              <w:top w:val="nil"/>
              <w:left w:val="nil"/>
              <w:bottom w:val="nil"/>
              <w:right w:val="nil"/>
            </w:tcBorders>
            <w:shd w:val="clear" w:color="auto" w:fill="auto"/>
            <w:hideMark/>
          </w:tcPr>
          <w:p w:rsidR="00CE0D3F" w:rsidRPr="001B51D1" w:rsidRDefault="00CE0D3F" w:rsidP="0004011F">
            <w:r w:rsidRPr="001B51D1">
              <w:t>76.4</w:t>
            </w:r>
          </w:p>
        </w:tc>
        <w:tc>
          <w:tcPr>
            <w:tcW w:w="929" w:type="dxa"/>
            <w:tcBorders>
              <w:top w:val="nil"/>
              <w:left w:val="nil"/>
              <w:bottom w:val="nil"/>
              <w:right w:val="nil"/>
            </w:tcBorders>
            <w:shd w:val="clear" w:color="auto" w:fill="auto"/>
            <w:hideMark/>
          </w:tcPr>
          <w:p w:rsidR="00CE0D3F" w:rsidRPr="001B51D1" w:rsidRDefault="00CE0D3F" w:rsidP="0004011F">
            <w:r w:rsidRPr="001B51D1">
              <w:t>76.4</w:t>
            </w:r>
          </w:p>
        </w:tc>
        <w:tc>
          <w:tcPr>
            <w:tcW w:w="929" w:type="dxa"/>
            <w:tcBorders>
              <w:top w:val="nil"/>
              <w:left w:val="nil"/>
              <w:bottom w:val="nil"/>
              <w:right w:val="nil"/>
            </w:tcBorders>
            <w:shd w:val="clear" w:color="auto" w:fill="auto"/>
            <w:hideMark/>
          </w:tcPr>
          <w:p w:rsidR="00CE0D3F" w:rsidRPr="001B51D1" w:rsidRDefault="00CE0D3F" w:rsidP="0004011F">
            <w:r w:rsidRPr="001B51D1">
              <w:t>76.4</w:t>
            </w:r>
          </w:p>
        </w:tc>
        <w:tc>
          <w:tcPr>
            <w:tcW w:w="929" w:type="dxa"/>
            <w:tcBorders>
              <w:top w:val="nil"/>
              <w:left w:val="nil"/>
              <w:bottom w:val="nil"/>
              <w:right w:val="nil"/>
            </w:tcBorders>
            <w:shd w:val="clear" w:color="auto" w:fill="auto"/>
            <w:hideMark/>
          </w:tcPr>
          <w:p w:rsidR="00CE0D3F" w:rsidRPr="001B51D1" w:rsidRDefault="00CE0D3F" w:rsidP="0004011F">
            <w:r w:rsidRPr="001B51D1">
              <w:t>76.4</w:t>
            </w:r>
          </w:p>
        </w:tc>
        <w:tc>
          <w:tcPr>
            <w:tcW w:w="930" w:type="dxa"/>
            <w:tcBorders>
              <w:top w:val="nil"/>
              <w:left w:val="nil"/>
              <w:bottom w:val="nil"/>
              <w:right w:val="nil"/>
            </w:tcBorders>
            <w:shd w:val="clear" w:color="auto" w:fill="auto"/>
            <w:hideMark/>
          </w:tcPr>
          <w:p w:rsidR="00CE0D3F" w:rsidRPr="001B51D1" w:rsidRDefault="00CE0D3F" w:rsidP="0004011F">
            <w:r w:rsidRPr="001B51D1">
              <w:t>76.4</w:t>
            </w:r>
          </w:p>
        </w:tc>
      </w:tr>
      <w:tr w:rsidR="00CE0D3F" w:rsidRPr="001B51D1" w:rsidTr="0004011F">
        <w:trPr>
          <w:trHeight w:val="20"/>
        </w:trPr>
        <w:tc>
          <w:tcPr>
            <w:tcW w:w="1995" w:type="dxa"/>
            <w:vMerge/>
            <w:tcBorders>
              <w:top w:val="nil"/>
              <w:left w:val="nil"/>
              <w:bottom w:val="single" w:sz="8" w:space="0" w:color="000000"/>
              <w:right w:val="nil"/>
            </w:tcBorders>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30"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30" w:type="dxa"/>
            <w:tcBorders>
              <w:top w:val="nil"/>
              <w:left w:val="nil"/>
              <w:bottom w:val="single" w:sz="8" w:space="0" w:color="auto"/>
              <w:right w:val="nil"/>
            </w:tcBorders>
            <w:shd w:val="clear" w:color="auto" w:fill="auto"/>
            <w:hideMark/>
          </w:tcPr>
          <w:p w:rsidR="00CE0D3F" w:rsidRPr="001B51D1" w:rsidRDefault="00CE0D3F" w:rsidP="0004011F"/>
        </w:tc>
      </w:tr>
      <w:tr w:rsidR="00CE0D3F" w:rsidRPr="001B51D1" w:rsidTr="0004011F">
        <w:trPr>
          <w:trHeight w:val="20"/>
        </w:trPr>
        <w:tc>
          <w:tcPr>
            <w:tcW w:w="1995" w:type="dxa"/>
            <w:tcBorders>
              <w:top w:val="nil"/>
              <w:left w:val="nil"/>
              <w:bottom w:val="single" w:sz="8" w:space="0" w:color="auto"/>
              <w:right w:val="nil"/>
            </w:tcBorders>
            <w:shd w:val="clear" w:color="auto" w:fill="auto"/>
            <w:hideMark/>
          </w:tcPr>
          <w:p w:rsidR="00CE0D3F" w:rsidRPr="001B51D1" w:rsidRDefault="00CE0D3F" w:rsidP="0004011F">
            <w:r w:rsidRPr="001B51D1">
              <w:t>Premium per member per month (</w:t>
            </w:r>
            <w:proofErr w:type="spellStart"/>
            <w:r w:rsidRPr="001B51D1">
              <w:t>Rp</w:t>
            </w:r>
            <w:proofErr w:type="spellEnd"/>
            <w:r w:rsidRPr="001B51D1">
              <w:t>)</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5,000</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5,000</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5,000</w:t>
            </w:r>
          </w:p>
        </w:tc>
        <w:tc>
          <w:tcPr>
            <w:tcW w:w="930" w:type="dxa"/>
            <w:tcBorders>
              <w:top w:val="nil"/>
              <w:left w:val="nil"/>
              <w:bottom w:val="single" w:sz="8" w:space="0" w:color="auto"/>
              <w:right w:val="nil"/>
            </w:tcBorders>
            <w:shd w:val="clear" w:color="auto" w:fill="auto"/>
            <w:hideMark/>
          </w:tcPr>
          <w:p w:rsidR="00CE0D3F" w:rsidRPr="001B51D1" w:rsidRDefault="00CE0D3F" w:rsidP="0004011F">
            <w:r w:rsidRPr="001B51D1">
              <w:t>5,000</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6,250</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6,500</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6,500</w:t>
            </w:r>
          </w:p>
        </w:tc>
        <w:tc>
          <w:tcPr>
            <w:tcW w:w="930" w:type="dxa"/>
            <w:tcBorders>
              <w:top w:val="nil"/>
              <w:left w:val="nil"/>
              <w:bottom w:val="single" w:sz="8" w:space="0" w:color="auto"/>
              <w:right w:val="nil"/>
            </w:tcBorders>
            <w:shd w:val="clear" w:color="auto" w:fill="auto"/>
            <w:hideMark/>
          </w:tcPr>
          <w:p w:rsidR="00CE0D3F" w:rsidRPr="001B51D1" w:rsidRDefault="00CE0D3F" w:rsidP="0004011F">
            <w:r w:rsidRPr="001B51D1">
              <w:t>6,500</w:t>
            </w:r>
          </w:p>
        </w:tc>
      </w:tr>
      <w:tr w:rsidR="00CE0D3F" w:rsidRPr="001B51D1" w:rsidTr="0004011F">
        <w:trPr>
          <w:trHeight w:val="20"/>
        </w:trPr>
        <w:tc>
          <w:tcPr>
            <w:tcW w:w="1995" w:type="dxa"/>
            <w:vMerge w:val="restart"/>
            <w:tcBorders>
              <w:top w:val="nil"/>
              <w:left w:val="nil"/>
              <w:bottom w:val="single" w:sz="8" w:space="0" w:color="000000"/>
              <w:right w:val="nil"/>
            </w:tcBorders>
            <w:shd w:val="clear" w:color="auto" w:fill="auto"/>
            <w:hideMark/>
          </w:tcPr>
          <w:p w:rsidR="00CE0D3F" w:rsidRPr="001B51D1" w:rsidRDefault="00CE0D3F" w:rsidP="0004011F">
            <w:r w:rsidRPr="001B51D1">
              <w:t>Total allocations (</w:t>
            </w:r>
            <w:proofErr w:type="spellStart"/>
            <w:r w:rsidRPr="001B51D1">
              <w:t>Rp</w:t>
            </w:r>
            <w:proofErr w:type="spellEnd"/>
            <w:r w:rsidRPr="001B51D1">
              <w:rPr>
                <w:rFonts w:ascii="Courier New" w:hAnsi="Courier New" w:cs="Courier New"/>
              </w:rPr>
              <w:t> </w:t>
            </w:r>
            <w:r w:rsidRPr="001B51D1">
              <w:t>trillion)</w:t>
            </w:r>
          </w:p>
        </w:tc>
        <w:tc>
          <w:tcPr>
            <w:tcW w:w="929" w:type="dxa"/>
            <w:tcBorders>
              <w:top w:val="nil"/>
              <w:left w:val="nil"/>
              <w:bottom w:val="nil"/>
              <w:right w:val="nil"/>
            </w:tcBorders>
            <w:shd w:val="clear" w:color="auto" w:fill="auto"/>
            <w:hideMark/>
          </w:tcPr>
          <w:p w:rsidR="00CE0D3F" w:rsidRPr="001B51D1" w:rsidRDefault="00CE0D3F" w:rsidP="0004011F">
            <w:r w:rsidRPr="001B51D1">
              <w:t>2.3</w:t>
            </w:r>
          </w:p>
        </w:tc>
        <w:tc>
          <w:tcPr>
            <w:tcW w:w="929" w:type="dxa"/>
            <w:tcBorders>
              <w:top w:val="nil"/>
              <w:left w:val="nil"/>
              <w:bottom w:val="nil"/>
              <w:right w:val="nil"/>
            </w:tcBorders>
            <w:shd w:val="clear" w:color="auto" w:fill="auto"/>
            <w:hideMark/>
          </w:tcPr>
          <w:p w:rsidR="00CE0D3F" w:rsidRPr="001B51D1" w:rsidRDefault="00CE0D3F" w:rsidP="0004011F">
            <w:r w:rsidRPr="001B51D1">
              <w:t>3.6</w:t>
            </w:r>
          </w:p>
        </w:tc>
        <w:tc>
          <w:tcPr>
            <w:tcW w:w="929" w:type="dxa"/>
            <w:tcBorders>
              <w:top w:val="nil"/>
              <w:left w:val="nil"/>
              <w:bottom w:val="nil"/>
              <w:right w:val="nil"/>
            </w:tcBorders>
            <w:shd w:val="clear" w:color="auto" w:fill="auto"/>
            <w:hideMark/>
          </w:tcPr>
          <w:p w:rsidR="00CE0D3F" w:rsidRPr="001B51D1" w:rsidRDefault="00CE0D3F" w:rsidP="0004011F">
            <w:r w:rsidRPr="001B51D1">
              <w:t>3.5</w:t>
            </w:r>
          </w:p>
        </w:tc>
        <w:tc>
          <w:tcPr>
            <w:tcW w:w="930" w:type="dxa"/>
            <w:tcBorders>
              <w:top w:val="nil"/>
              <w:left w:val="nil"/>
              <w:bottom w:val="nil"/>
              <w:right w:val="nil"/>
            </w:tcBorders>
            <w:shd w:val="clear" w:color="auto" w:fill="auto"/>
            <w:hideMark/>
          </w:tcPr>
          <w:p w:rsidR="00CE0D3F" w:rsidRPr="001B51D1" w:rsidRDefault="00CE0D3F" w:rsidP="0004011F">
            <w:r w:rsidRPr="001B51D1">
              <w:t>4.6</w:t>
            </w:r>
          </w:p>
        </w:tc>
        <w:tc>
          <w:tcPr>
            <w:tcW w:w="929" w:type="dxa"/>
            <w:tcBorders>
              <w:top w:val="nil"/>
              <w:left w:val="nil"/>
              <w:bottom w:val="nil"/>
              <w:right w:val="nil"/>
            </w:tcBorders>
            <w:shd w:val="clear" w:color="auto" w:fill="auto"/>
            <w:hideMark/>
          </w:tcPr>
          <w:p w:rsidR="00CE0D3F" w:rsidRPr="001B51D1" w:rsidRDefault="00CE0D3F" w:rsidP="0004011F">
            <w:r w:rsidRPr="001B51D1">
              <w:t>4.6</w:t>
            </w:r>
          </w:p>
        </w:tc>
        <w:tc>
          <w:tcPr>
            <w:tcW w:w="929" w:type="dxa"/>
            <w:tcBorders>
              <w:top w:val="nil"/>
              <w:left w:val="nil"/>
              <w:bottom w:val="nil"/>
              <w:right w:val="nil"/>
            </w:tcBorders>
            <w:shd w:val="clear" w:color="auto" w:fill="auto"/>
            <w:hideMark/>
          </w:tcPr>
          <w:p w:rsidR="00CE0D3F" w:rsidRPr="001B51D1" w:rsidRDefault="00CE0D3F" w:rsidP="0004011F">
            <w:r w:rsidRPr="001B51D1">
              <w:t>5.3</w:t>
            </w:r>
          </w:p>
        </w:tc>
        <w:tc>
          <w:tcPr>
            <w:tcW w:w="929" w:type="dxa"/>
            <w:tcBorders>
              <w:top w:val="nil"/>
              <w:left w:val="nil"/>
              <w:bottom w:val="nil"/>
              <w:right w:val="nil"/>
            </w:tcBorders>
            <w:shd w:val="clear" w:color="auto" w:fill="auto"/>
            <w:hideMark/>
          </w:tcPr>
          <w:p w:rsidR="00CE0D3F" w:rsidRPr="001B51D1" w:rsidRDefault="00CE0D3F" w:rsidP="0004011F">
            <w:r w:rsidRPr="001B51D1">
              <w:t>6.3</w:t>
            </w:r>
          </w:p>
        </w:tc>
        <w:tc>
          <w:tcPr>
            <w:tcW w:w="930" w:type="dxa"/>
            <w:tcBorders>
              <w:top w:val="nil"/>
              <w:left w:val="nil"/>
              <w:bottom w:val="nil"/>
              <w:right w:val="nil"/>
            </w:tcBorders>
            <w:shd w:val="clear" w:color="auto" w:fill="auto"/>
            <w:hideMark/>
          </w:tcPr>
          <w:p w:rsidR="00CE0D3F" w:rsidRPr="001B51D1" w:rsidRDefault="00CE0D3F" w:rsidP="0004011F">
            <w:r w:rsidRPr="001B51D1">
              <w:t>7.2</w:t>
            </w:r>
          </w:p>
        </w:tc>
      </w:tr>
      <w:tr w:rsidR="00CE0D3F" w:rsidRPr="001B51D1" w:rsidTr="0004011F">
        <w:trPr>
          <w:trHeight w:val="20"/>
        </w:trPr>
        <w:tc>
          <w:tcPr>
            <w:tcW w:w="1995" w:type="dxa"/>
            <w:vMerge/>
            <w:tcBorders>
              <w:top w:val="nil"/>
              <w:left w:val="nil"/>
              <w:bottom w:val="single" w:sz="8" w:space="0" w:color="000000"/>
              <w:right w:val="nil"/>
            </w:tcBorders>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30"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30" w:type="dxa"/>
            <w:tcBorders>
              <w:top w:val="nil"/>
              <w:left w:val="nil"/>
              <w:bottom w:val="single" w:sz="8" w:space="0" w:color="auto"/>
              <w:right w:val="nil"/>
            </w:tcBorders>
            <w:shd w:val="clear" w:color="auto" w:fill="auto"/>
            <w:hideMark/>
          </w:tcPr>
          <w:p w:rsidR="00CE0D3F" w:rsidRPr="001B51D1" w:rsidRDefault="00CE0D3F" w:rsidP="0004011F"/>
        </w:tc>
      </w:tr>
      <w:tr w:rsidR="00CE0D3F" w:rsidRPr="001B51D1" w:rsidTr="0004011F">
        <w:trPr>
          <w:trHeight w:val="20"/>
        </w:trPr>
        <w:tc>
          <w:tcPr>
            <w:tcW w:w="1995" w:type="dxa"/>
            <w:vMerge w:val="restart"/>
            <w:tcBorders>
              <w:top w:val="nil"/>
              <w:left w:val="nil"/>
              <w:bottom w:val="single" w:sz="8" w:space="0" w:color="000000"/>
              <w:right w:val="nil"/>
            </w:tcBorders>
            <w:shd w:val="clear" w:color="auto" w:fill="auto"/>
            <w:hideMark/>
          </w:tcPr>
          <w:p w:rsidR="00CE0D3F" w:rsidRPr="001B51D1" w:rsidRDefault="00CE0D3F" w:rsidP="0004011F">
            <w:r w:rsidRPr="001B51D1">
              <w:t>Total expenditures (</w:t>
            </w:r>
            <w:proofErr w:type="spellStart"/>
            <w:r w:rsidRPr="001B51D1">
              <w:t>Rp</w:t>
            </w:r>
            <w:proofErr w:type="spellEnd"/>
            <w:r w:rsidRPr="001B51D1">
              <w:t xml:space="preserve"> </w:t>
            </w:r>
            <w:r w:rsidRPr="001B51D1">
              <w:lastRenderedPageBreak/>
              <w:t>trillion)</w:t>
            </w:r>
            <w:r w:rsidRPr="001B51D1">
              <w:rPr>
                <w:vertAlign w:val="superscript"/>
              </w:rPr>
              <w:t>a</w:t>
            </w:r>
          </w:p>
        </w:tc>
        <w:tc>
          <w:tcPr>
            <w:tcW w:w="929" w:type="dxa"/>
            <w:tcBorders>
              <w:top w:val="nil"/>
              <w:left w:val="nil"/>
              <w:bottom w:val="nil"/>
              <w:right w:val="nil"/>
            </w:tcBorders>
            <w:shd w:val="clear" w:color="auto" w:fill="auto"/>
            <w:hideMark/>
          </w:tcPr>
          <w:p w:rsidR="00CE0D3F" w:rsidRPr="001B51D1" w:rsidRDefault="00CE0D3F" w:rsidP="0004011F">
            <w:r w:rsidRPr="001B51D1">
              <w:lastRenderedPageBreak/>
              <w:t>1.3</w:t>
            </w:r>
          </w:p>
        </w:tc>
        <w:tc>
          <w:tcPr>
            <w:tcW w:w="929" w:type="dxa"/>
            <w:tcBorders>
              <w:top w:val="nil"/>
              <w:left w:val="nil"/>
              <w:bottom w:val="nil"/>
              <w:right w:val="nil"/>
            </w:tcBorders>
            <w:shd w:val="clear" w:color="auto" w:fill="auto"/>
            <w:hideMark/>
          </w:tcPr>
          <w:p w:rsidR="00CE0D3F" w:rsidRPr="001B51D1" w:rsidRDefault="00CE0D3F" w:rsidP="0004011F">
            <w:r w:rsidRPr="001B51D1">
              <w:t>3.5</w:t>
            </w:r>
          </w:p>
        </w:tc>
        <w:tc>
          <w:tcPr>
            <w:tcW w:w="929" w:type="dxa"/>
            <w:tcBorders>
              <w:top w:val="nil"/>
              <w:left w:val="nil"/>
              <w:bottom w:val="nil"/>
              <w:right w:val="nil"/>
            </w:tcBorders>
            <w:shd w:val="clear" w:color="auto" w:fill="auto"/>
            <w:hideMark/>
          </w:tcPr>
          <w:p w:rsidR="00CE0D3F" w:rsidRPr="001B51D1" w:rsidRDefault="00CE0D3F" w:rsidP="0004011F">
            <w:r w:rsidRPr="001B51D1">
              <w:t>3.4</w:t>
            </w:r>
          </w:p>
        </w:tc>
        <w:tc>
          <w:tcPr>
            <w:tcW w:w="930" w:type="dxa"/>
            <w:tcBorders>
              <w:top w:val="nil"/>
              <w:left w:val="nil"/>
              <w:bottom w:val="nil"/>
              <w:right w:val="nil"/>
            </w:tcBorders>
            <w:shd w:val="clear" w:color="auto" w:fill="auto"/>
            <w:hideMark/>
          </w:tcPr>
          <w:p w:rsidR="00CE0D3F" w:rsidRPr="001B51D1" w:rsidRDefault="00CE0D3F" w:rsidP="0004011F">
            <w:r w:rsidRPr="001B51D1">
              <w:t>4.2</w:t>
            </w:r>
          </w:p>
        </w:tc>
        <w:tc>
          <w:tcPr>
            <w:tcW w:w="929" w:type="dxa"/>
            <w:tcBorders>
              <w:top w:val="nil"/>
              <w:left w:val="nil"/>
              <w:bottom w:val="nil"/>
              <w:right w:val="nil"/>
            </w:tcBorders>
            <w:shd w:val="clear" w:color="auto" w:fill="auto"/>
            <w:hideMark/>
          </w:tcPr>
          <w:p w:rsidR="00CE0D3F" w:rsidRPr="001B51D1" w:rsidRDefault="00CE0D3F" w:rsidP="0004011F">
            <w:r w:rsidRPr="001B51D1">
              <w:t>4.5</w:t>
            </w:r>
          </w:p>
        </w:tc>
        <w:tc>
          <w:tcPr>
            <w:tcW w:w="929" w:type="dxa"/>
            <w:tcBorders>
              <w:top w:val="nil"/>
              <w:left w:val="nil"/>
              <w:bottom w:val="nil"/>
              <w:right w:val="nil"/>
            </w:tcBorders>
            <w:shd w:val="clear" w:color="auto" w:fill="auto"/>
            <w:hideMark/>
          </w:tcPr>
          <w:p w:rsidR="00CE0D3F" w:rsidRPr="001B51D1" w:rsidRDefault="00CE0D3F" w:rsidP="0004011F">
            <w:r w:rsidRPr="001B51D1">
              <w:t>4.6</w:t>
            </w:r>
          </w:p>
        </w:tc>
        <w:tc>
          <w:tcPr>
            <w:tcW w:w="929" w:type="dxa"/>
            <w:tcBorders>
              <w:top w:val="nil"/>
              <w:left w:val="nil"/>
              <w:bottom w:val="nil"/>
              <w:right w:val="nil"/>
            </w:tcBorders>
            <w:shd w:val="clear" w:color="auto" w:fill="auto"/>
            <w:hideMark/>
          </w:tcPr>
          <w:p w:rsidR="00CE0D3F" w:rsidRPr="001B51D1" w:rsidRDefault="00CE0D3F" w:rsidP="0004011F">
            <w:r w:rsidRPr="001B51D1">
              <w:t>6.3</w:t>
            </w:r>
          </w:p>
        </w:tc>
        <w:tc>
          <w:tcPr>
            <w:tcW w:w="930" w:type="dxa"/>
            <w:tcBorders>
              <w:top w:val="nil"/>
              <w:left w:val="nil"/>
              <w:bottom w:val="nil"/>
              <w:right w:val="nil"/>
            </w:tcBorders>
            <w:shd w:val="clear" w:color="auto" w:fill="auto"/>
            <w:hideMark/>
          </w:tcPr>
          <w:p w:rsidR="00CE0D3F" w:rsidRPr="001B51D1" w:rsidRDefault="00CE0D3F" w:rsidP="0004011F">
            <w:r w:rsidRPr="001B51D1">
              <w:t>7.1</w:t>
            </w:r>
          </w:p>
        </w:tc>
      </w:tr>
      <w:tr w:rsidR="00CE0D3F" w:rsidRPr="001B51D1" w:rsidTr="0004011F">
        <w:trPr>
          <w:trHeight w:val="20"/>
        </w:trPr>
        <w:tc>
          <w:tcPr>
            <w:tcW w:w="1995" w:type="dxa"/>
            <w:vMerge/>
            <w:tcBorders>
              <w:top w:val="nil"/>
              <w:left w:val="nil"/>
              <w:bottom w:val="single" w:sz="8" w:space="0" w:color="000000"/>
              <w:right w:val="nil"/>
            </w:tcBorders>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30"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29" w:type="dxa"/>
            <w:tcBorders>
              <w:top w:val="nil"/>
              <w:left w:val="nil"/>
              <w:bottom w:val="single" w:sz="8" w:space="0" w:color="auto"/>
              <w:right w:val="nil"/>
            </w:tcBorders>
            <w:shd w:val="clear" w:color="auto" w:fill="auto"/>
            <w:hideMark/>
          </w:tcPr>
          <w:p w:rsidR="00CE0D3F" w:rsidRPr="001B51D1" w:rsidRDefault="00CE0D3F" w:rsidP="0004011F"/>
        </w:tc>
        <w:tc>
          <w:tcPr>
            <w:tcW w:w="930" w:type="dxa"/>
            <w:tcBorders>
              <w:top w:val="nil"/>
              <w:left w:val="nil"/>
              <w:bottom w:val="single" w:sz="8" w:space="0" w:color="auto"/>
              <w:right w:val="nil"/>
            </w:tcBorders>
            <w:shd w:val="clear" w:color="auto" w:fill="auto"/>
            <w:hideMark/>
          </w:tcPr>
          <w:p w:rsidR="00CE0D3F" w:rsidRPr="001B51D1" w:rsidRDefault="00CE0D3F" w:rsidP="0004011F"/>
        </w:tc>
      </w:tr>
      <w:tr w:rsidR="00CE0D3F" w:rsidRPr="001B51D1" w:rsidTr="0004011F">
        <w:trPr>
          <w:trHeight w:val="20"/>
        </w:trPr>
        <w:tc>
          <w:tcPr>
            <w:tcW w:w="1995" w:type="dxa"/>
            <w:tcBorders>
              <w:top w:val="nil"/>
              <w:left w:val="nil"/>
              <w:bottom w:val="single" w:sz="8" w:space="0" w:color="auto"/>
              <w:right w:val="nil"/>
            </w:tcBorders>
            <w:shd w:val="clear" w:color="auto" w:fill="auto"/>
            <w:hideMark/>
          </w:tcPr>
          <w:p w:rsidR="00CE0D3F" w:rsidRPr="001B51D1" w:rsidRDefault="00CE0D3F" w:rsidP="0004011F">
            <w:r w:rsidRPr="001B51D1">
              <w:lastRenderedPageBreak/>
              <w:t>Expenditures per member per month</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1,806</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rPr>
                <w:rFonts w:eastAsia="Times New Roman"/>
              </w:rPr>
              <w:t>4</w:t>
            </w:r>
            <w:r w:rsidRPr="001B51D1">
              <w:t>,861</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3,709</w:t>
            </w:r>
          </w:p>
        </w:tc>
        <w:tc>
          <w:tcPr>
            <w:tcW w:w="930" w:type="dxa"/>
            <w:tcBorders>
              <w:top w:val="nil"/>
              <w:left w:val="nil"/>
              <w:bottom w:val="single" w:sz="8" w:space="0" w:color="auto"/>
              <w:right w:val="nil"/>
            </w:tcBorders>
            <w:shd w:val="clear" w:color="auto" w:fill="auto"/>
            <w:hideMark/>
          </w:tcPr>
          <w:p w:rsidR="00CE0D3F" w:rsidRPr="001B51D1" w:rsidRDefault="00CE0D3F" w:rsidP="0004011F">
            <w:r w:rsidRPr="001B51D1">
              <w:t>4,581</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4,908</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5,017</w:t>
            </w:r>
          </w:p>
        </w:tc>
        <w:tc>
          <w:tcPr>
            <w:tcW w:w="929" w:type="dxa"/>
            <w:tcBorders>
              <w:top w:val="nil"/>
              <w:left w:val="nil"/>
              <w:bottom w:val="single" w:sz="8" w:space="0" w:color="auto"/>
              <w:right w:val="nil"/>
            </w:tcBorders>
            <w:shd w:val="clear" w:color="auto" w:fill="auto"/>
            <w:hideMark/>
          </w:tcPr>
          <w:p w:rsidR="00CE0D3F" w:rsidRPr="001B51D1" w:rsidRDefault="00CE0D3F" w:rsidP="0004011F">
            <w:r w:rsidRPr="001B51D1">
              <w:t>6,872</w:t>
            </w:r>
          </w:p>
        </w:tc>
        <w:tc>
          <w:tcPr>
            <w:tcW w:w="930" w:type="dxa"/>
            <w:tcBorders>
              <w:top w:val="nil"/>
              <w:left w:val="nil"/>
              <w:bottom w:val="single" w:sz="8" w:space="0" w:color="auto"/>
              <w:right w:val="nil"/>
            </w:tcBorders>
            <w:shd w:val="clear" w:color="auto" w:fill="auto"/>
            <w:hideMark/>
          </w:tcPr>
          <w:p w:rsidR="00CE0D3F" w:rsidRPr="001B51D1" w:rsidRDefault="00CE0D3F" w:rsidP="0004011F">
            <w:r w:rsidRPr="001B51D1">
              <w:t>7,744</w:t>
            </w:r>
          </w:p>
        </w:tc>
      </w:tr>
    </w:tbl>
    <w:p w:rsidR="00CE0D3F" w:rsidRDefault="00CE0D3F" w:rsidP="00CE0D3F">
      <w:pPr>
        <w:pStyle w:val="Source"/>
      </w:pPr>
      <w:r w:rsidRPr="001B51D1">
        <w:t xml:space="preserve">a. </w:t>
      </w:r>
      <w:r w:rsidRPr="00EB24AB">
        <w:t xml:space="preserve">The </w:t>
      </w:r>
      <w:proofErr w:type="spellStart"/>
      <w:r w:rsidRPr="00EB24AB">
        <w:t>Askes</w:t>
      </w:r>
      <w:proofErr w:type="spellEnd"/>
      <w:r w:rsidRPr="00EB24AB">
        <w:t xml:space="preserve"> and P2JK reports data may not capture all </w:t>
      </w:r>
      <w:proofErr w:type="spellStart"/>
      <w:r w:rsidRPr="00EB24AB">
        <w:t>Jamkesmas</w:t>
      </w:r>
      <w:proofErr w:type="spellEnd"/>
      <w:r w:rsidRPr="00EB24AB">
        <w:t xml:space="preserve"> spending, as additional funding could be mobilized from other sources during mid-year budget revision, and some </w:t>
      </w:r>
      <w:proofErr w:type="spellStart"/>
      <w:r w:rsidRPr="00EB24AB">
        <w:t>Jamkesmas</w:t>
      </w:r>
      <w:proofErr w:type="spellEnd"/>
      <w:r w:rsidRPr="00EB24AB">
        <w:t xml:space="preserve"> supporting activities could be funded by units outside of P2JK.</w:t>
      </w:r>
    </w:p>
    <w:p w:rsidR="00CE0D3F" w:rsidRDefault="00CE0D3F" w:rsidP="00CE0D3F">
      <w:pPr>
        <w:pStyle w:val="Source"/>
      </w:pPr>
    </w:p>
    <w:p w:rsidR="00CE0D3F" w:rsidRPr="001B51D1" w:rsidRDefault="00CE0D3F" w:rsidP="00CE0D3F">
      <w:pPr>
        <w:pStyle w:val="Source"/>
      </w:pPr>
      <w:r w:rsidRPr="001B51D1">
        <w:t xml:space="preserve">Source: 2005–07: </w:t>
      </w:r>
      <w:proofErr w:type="spellStart"/>
      <w:r w:rsidRPr="001B51D1">
        <w:t>Askes</w:t>
      </w:r>
      <w:proofErr w:type="spellEnd"/>
      <w:r w:rsidRPr="001B51D1">
        <w:t xml:space="preserve"> annual reports 2005, 2006, and 2007; 2008–10: P2JK report 2010; 2011–12: P2JK reports 2011, 2012.</w:t>
      </w:r>
    </w:p>
    <w:p w:rsidR="00CE0D3F" w:rsidRPr="00A01996" w:rsidRDefault="00CE0D3F" w:rsidP="00CE0D3F">
      <w:pPr>
        <w:pStyle w:val="BodyText0"/>
      </w:pPr>
    </w:p>
    <w:p w:rsidR="00CE0D3F" w:rsidRPr="001B51D1" w:rsidRDefault="00CE0D3F" w:rsidP="00CE0D3F">
      <w:pPr>
        <w:pStyle w:val="BodyText0"/>
        <w:jc w:val="both"/>
        <w:rPr>
          <w:lang w:bidi="en-US"/>
        </w:rPr>
      </w:pPr>
      <w:r w:rsidRPr="001B51D1">
        <w:t xml:space="preserve">Fiscal sustainability is a key concern for </w:t>
      </w:r>
      <w:proofErr w:type="spellStart"/>
      <w:r w:rsidRPr="001B51D1">
        <w:t>Jamkesmas</w:t>
      </w:r>
      <w:proofErr w:type="spellEnd"/>
      <w:r w:rsidRPr="001B51D1">
        <w:t xml:space="preserve">. Supply-side constraints and subsidies with demand-side financing give the impression that financing of </w:t>
      </w:r>
      <w:proofErr w:type="spellStart"/>
      <w:r w:rsidRPr="001B51D1">
        <w:t>Jamkesmas</w:t>
      </w:r>
      <w:proofErr w:type="spellEnd"/>
      <w:r w:rsidRPr="001B51D1">
        <w:t xml:space="preserve"> is sufficient. However, if the utilization rates were higher and supply-side constraints removed, actual costs would likely be much higher. There are no expenditure caps or other mechanisms to ensure fiscal sustainability. </w:t>
      </w:r>
      <w:proofErr w:type="spellStart"/>
      <w:r w:rsidRPr="001B51D1">
        <w:t>Jamkesmas</w:t>
      </w:r>
      <w:proofErr w:type="spellEnd"/>
      <w:r w:rsidRPr="001B51D1">
        <w:t xml:space="preserve"> premiums have been adjusted over time to account for rising expenditures. I</w:t>
      </w:r>
      <w:r w:rsidRPr="001B51D1">
        <w:rPr>
          <w:lang w:bidi="en-US"/>
        </w:rPr>
        <w:t xml:space="preserve">n 2007, the use of services by </w:t>
      </w:r>
      <w:proofErr w:type="spellStart"/>
      <w:r w:rsidRPr="001B51D1">
        <w:rPr>
          <w:lang w:bidi="en-US"/>
        </w:rPr>
        <w:t>Jamkesmas</w:t>
      </w:r>
      <w:proofErr w:type="spellEnd"/>
      <w:r w:rsidRPr="001B51D1">
        <w:rPr>
          <w:lang w:bidi="en-US"/>
        </w:rPr>
        <w:t xml:space="preserve"> beneficiaries increased significantly, especially inpatient services, while the program was budgeted historically based on the use of funds from the previous year.</w:t>
      </w:r>
      <w:r w:rsidRPr="001B51D1">
        <w:rPr>
          <w:vertAlign w:val="superscript"/>
          <w:lang w:bidi="en-US"/>
        </w:rPr>
        <w:footnoteReference w:id="7"/>
      </w:r>
      <w:r w:rsidRPr="001B51D1">
        <w:rPr>
          <w:lang w:bidi="en-US"/>
        </w:rPr>
        <w:t xml:space="preserve"> This caused a budget shortage, and </w:t>
      </w:r>
      <w:r>
        <w:rPr>
          <w:lang w:bidi="en-US"/>
        </w:rPr>
        <w:t>the MOH</w:t>
      </w:r>
      <w:r w:rsidRPr="001B51D1">
        <w:rPr>
          <w:lang w:bidi="en-US"/>
        </w:rPr>
        <w:t xml:space="preserve"> had to reallocate the budget to pay hospital claims, which led to delays in paying hospital reimbursements. This received wide media attention and led to some changes (including the transfer of administration from PT </w:t>
      </w:r>
      <w:proofErr w:type="spellStart"/>
      <w:r w:rsidRPr="001B51D1">
        <w:rPr>
          <w:lang w:bidi="en-US"/>
        </w:rPr>
        <w:t>Askes</w:t>
      </w:r>
      <w:proofErr w:type="spellEnd"/>
      <w:r w:rsidRPr="001B51D1">
        <w:rPr>
          <w:lang w:bidi="en-US"/>
        </w:rPr>
        <w:t xml:space="preserve"> to </w:t>
      </w:r>
      <w:r>
        <w:rPr>
          <w:lang w:bidi="en-US"/>
        </w:rPr>
        <w:t>the MOH</w:t>
      </w:r>
      <w:r w:rsidRPr="001B51D1">
        <w:rPr>
          <w:lang w:bidi="en-US"/>
        </w:rPr>
        <w:t xml:space="preserve">) and some additional cost-containment measures such as the introduction of a drug formulary and </w:t>
      </w:r>
      <w:r>
        <w:rPr>
          <w:lang w:bidi="en-US"/>
        </w:rPr>
        <w:t>diagnostic-related group</w:t>
      </w:r>
      <w:r w:rsidRPr="00404728">
        <w:rPr>
          <w:lang w:bidi="en-US"/>
        </w:rPr>
        <w:t xml:space="preserve"> </w:t>
      </w:r>
      <w:r>
        <w:rPr>
          <w:lang w:bidi="en-US"/>
        </w:rPr>
        <w:t>(</w:t>
      </w:r>
      <w:r w:rsidRPr="001B51D1">
        <w:rPr>
          <w:lang w:bidi="en-US"/>
        </w:rPr>
        <w:t>DRG</w:t>
      </w:r>
      <w:r>
        <w:rPr>
          <w:lang w:bidi="en-US"/>
        </w:rPr>
        <w:t>)</w:t>
      </w:r>
      <w:r w:rsidRPr="001B51D1">
        <w:rPr>
          <w:lang w:bidi="en-US"/>
        </w:rPr>
        <w:t xml:space="preserve"> payments.</w:t>
      </w:r>
    </w:p>
    <w:p w:rsidR="00CE0D3F" w:rsidRPr="001B51D1" w:rsidRDefault="00CE0D3F" w:rsidP="00CE0D3F"/>
    <w:p w:rsidR="00CE0D3F" w:rsidRPr="0004011F" w:rsidRDefault="00CE0D3F" w:rsidP="00CE0D3F">
      <w:pPr>
        <w:jc w:val="both"/>
        <w:rPr>
          <w:b/>
        </w:rPr>
      </w:pPr>
      <w:r w:rsidRPr="0004011F">
        <w:rPr>
          <w:b/>
        </w:rPr>
        <w:t>What factors have enabled sufficient fiscal space to expand coverage and ensure fiscal sustainability?</w:t>
      </w:r>
    </w:p>
    <w:p w:rsidR="0004011F" w:rsidRDefault="0004011F" w:rsidP="00CE0D3F">
      <w:pPr>
        <w:pStyle w:val="BodyText0"/>
        <w:jc w:val="both"/>
      </w:pPr>
      <w:proofErr w:type="spellStart"/>
      <w:r w:rsidRPr="001B51D1">
        <w:t>Jamkesmas</w:t>
      </w:r>
      <w:proofErr w:type="spellEnd"/>
      <w:r w:rsidRPr="001B51D1">
        <w:t xml:space="preserve"> is financed out of central government revenues. The expansion of this government-financed health insurance program since 2005 occurred over a period of generally good macroeconomic conditions</w:t>
      </w:r>
      <w:r>
        <w:t xml:space="preserve"> (see Figure 3).  </w:t>
      </w:r>
    </w:p>
    <w:p w:rsidR="0004011F" w:rsidRDefault="00CE0D3F" w:rsidP="00CE0D3F">
      <w:pPr>
        <w:pStyle w:val="BodyText0"/>
        <w:jc w:val="both"/>
      </w:pPr>
      <w:r>
        <w:rPr>
          <w:noProof/>
          <w:sz w:val="23"/>
          <w:szCs w:val="23"/>
        </w:rPr>
        <w:lastRenderedPageBreak/>
        <mc:AlternateContent>
          <mc:Choice Requires="wps">
            <w:drawing>
              <wp:inline distT="0" distB="0" distL="0" distR="0">
                <wp:extent cx="5181600" cy="4175760"/>
                <wp:effectExtent l="0" t="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17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AE3" w:rsidRPr="001B51D1" w:rsidRDefault="003F7AE3" w:rsidP="003456C4">
                            <w:pPr>
                              <w:pStyle w:val="Caption"/>
                            </w:pPr>
                            <w:proofErr w:type="gramStart"/>
                            <w:r w:rsidRPr="001824E3">
                              <w:rPr>
                                <w:rFonts w:ascii="Andes" w:hAnsi="Andes"/>
                              </w:rPr>
                              <w:t>Figure 3.</w:t>
                            </w:r>
                            <w:proofErr w:type="gramEnd"/>
                            <w:r w:rsidRPr="001824E3">
                              <w:rPr>
                                <w:rFonts w:ascii="Andes" w:hAnsi="Andes"/>
                              </w:rPr>
                              <w:t xml:space="preserve"> Central government expenditures in Indonesia, 1995-2011</w:t>
                            </w:r>
                            <w:r>
                              <w:rPr>
                                <w:noProof/>
                                <w:lang w:eastAsia="en-US"/>
                              </w:rPr>
                              <w:drawing>
                                <wp:inline distT="0" distB="0" distL="0" distR="0" wp14:anchorId="135485DC" wp14:editId="2C9FF2CF">
                                  <wp:extent cx="5280660" cy="3880488"/>
                                  <wp:effectExtent l="0" t="0" r="0" b="0"/>
                                  <wp:docPr id="143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814" cy="38798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_x0000_s1031" type="#_x0000_t202" style="width:408pt;height:3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tM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" stroked="f">
                <v:textbox>
                  <w:txbxContent>
                    <w:p w:rsidR="003F7AE3" w:rsidRPr="001B51D1" w:rsidRDefault="003F7AE3" w:rsidP="003456C4">
                      <w:pPr>
                        <w:pStyle w:val="Caption"/>
                      </w:pPr>
                      <w:proofErr w:type="gramStart"/>
                      <w:r w:rsidRPr="001824E3">
                        <w:rPr>
                          <w:rFonts w:ascii="Andes" w:hAnsi="Andes"/>
                        </w:rPr>
                        <w:t>Figure 3.</w:t>
                      </w:r>
                      <w:proofErr w:type="gramEnd"/>
                      <w:r w:rsidRPr="001824E3">
                        <w:rPr>
                          <w:rFonts w:ascii="Andes" w:hAnsi="Andes"/>
                        </w:rPr>
                        <w:t xml:space="preserve"> Central government expenditures in Indonesia, 1995-2011</w:t>
                      </w:r>
                      <w:r>
                        <w:rPr>
                          <w:noProof/>
                          <w:lang w:eastAsia="en-US"/>
                        </w:rPr>
                        <w:drawing>
                          <wp:inline distT="0" distB="0" distL="0" distR="0" wp14:anchorId="135485DC" wp14:editId="2C9FF2CF">
                            <wp:extent cx="5280660" cy="3880488"/>
                            <wp:effectExtent l="0" t="0" r="0" b="0"/>
                            <wp:docPr id="143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9814" cy="3879867"/>
                                    </a:xfrm>
                                    <a:prstGeom prst="rect">
                                      <a:avLst/>
                                    </a:prstGeom>
                                    <a:noFill/>
                                    <a:ln>
                                      <a:noFill/>
                                    </a:ln>
                                  </pic:spPr>
                                </pic:pic>
                              </a:graphicData>
                            </a:graphic>
                          </wp:inline>
                        </w:drawing>
                      </w:r>
                    </w:p>
                  </w:txbxContent>
                </v:textbox>
                <w10:anchorlock/>
              </v:shape>
            </w:pict>
          </mc:Fallback>
        </mc:AlternateContent>
      </w:r>
    </w:p>
    <w:p w:rsidR="0004011F" w:rsidRDefault="0004011F" w:rsidP="00CE0D3F">
      <w:pPr>
        <w:pStyle w:val="BodyText0"/>
        <w:jc w:val="both"/>
      </w:pPr>
    </w:p>
    <w:p w:rsidR="00CE0D3F" w:rsidRDefault="0004011F" w:rsidP="00CE0D3F">
      <w:pPr>
        <w:pStyle w:val="BodyText0"/>
        <w:jc w:val="both"/>
      </w:pPr>
      <w:r>
        <w:t xml:space="preserve">The overall economic and fiscal </w:t>
      </w:r>
      <w:proofErr w:type="spellStart"/>
      <w:r>
        <w:t>prospectives</w:t>
      </w:r>
      <w:proofErr w:type="spellEnd"/>
      <w:r>
        <w:t xml:space="preserve"> for Indonesia are positive (see Figure 4).  G</w:t>
      </w:r>
      <w:r w:rsidR="00CE0D3F" w:rsidRPr="001B51D1">
        <w:t>overnment expenditures have been fairly stable at around 20</w:t>
      </w:r>
      <w:r w:rsidR="00CE0D3F" w:rsidRPr="001B51D1">
        <w:rPr>
          <w:rFonts w:ascii="Courier New" w:hAnsi="Courier New" w:cs="Courier New"/>
        </w:rPr>
        <w:t> </w:t>
      </w:r>
      <w:r w:rsidR="00CE0D3F" w:rsidRPr="001B51D1">
        <w:t>percent of GDP, gross debt levels have declined sharply, government deficit levels have been in the manageable 1–2</w:t>
      </w:r>
      <w:r w:rsidR="00CE0D3F" w:rsidRPr="001B51D1">
        <w:rPr>
          <w:rFonts w:ascii="Courier New" w:hAnsi="Courier New" w:cs="Courier New"/>
        </w:rPr>
        <w:t> </w:t>
      </w:r>
      <w:r w:rsidR="00CE0D3F" w:rsidRPr="001B51D1">
        <w:t>percent of GDP range, and inflation and unemployment have been stable and low. Economic growth has been robust, averaging almost 6</w:t>
      </w:r>
      <w:r w:rsidR="00CE0D3F" w:rsidRPr="001B51D1">
        <w:rPr>
          <w:rFonts w:ascii="Courier New" w:hAnsi="Courier New" w:cs="Courier New"/>
        </w:rPr>
        <w:t> </w:t>
      </w:r>
      <w:r w:rsidR="00CE0D3F" w:rsidRPr="001B51D1">
        <w:t>percent over 2005</w:t>
      </w:r>
      <w:r w:rsidR="00CE0D3F" w:rsidRPr="001B51D1">
        <w:rPr>
          <w:rFonts w:cs="Andes"/>
        </w:rPr>
        <w:t>–</w:t>
      </w:r>
      <w:r w:rsidR="00CE0D3F" w:rsidRPr="001B51D1">
        <w:t xml:space="preserve">11 in real terms. </w:t>
      </w:r>
      <w:r>
        <w:t xml:space="preserve"> </w:t>
      </w:r>
    </w:p>
    <w:p w:rsidR="0004011F" w:rsidRDefault="0004011F" w:rsidP="0004011F">
      <w:pPr>
        <w:pStyle w:val="BodyText0"/>
        <w:jc w:val="both"/>
      </w:pPr>
      <w:r>
        <w:lastRenderedPageBreak/>
        <w:t xml:space="preserve"> </w:t>
      </w:r>
      <w:r>
        <w:rPr>
          <w:noProof/>
        </w:rPr>
        <mc:AlternateContent>
          <mc:Choice Requires="wps">
            <w:drawing>
              <wp:inline distT="0" distB="0" distL="0" distR="0" wp14:anchorId="01EDF3F9" wp14:editId="20B54790">
                <wp:extent cx="5212080" cy="3619500"/>
                <wp:effectExtent l="0" t="0" r="762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61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AE3" w:rsidRPr="00450413" w:rsidRDefault="003F7AE3" w:rsidP="003456C4">
                            <w:pPr>
                              <w:pStyle w:val="Caption"/>
                              <w:rPr>
                                <w:rFonts w:ascii="Andes" w:hAnsi="Andes"/>
                              </w:rPr>
                            </w:pPr>
                            <w:proofErr w:type="gramStart"/>
                            <w:r w:rsidRPr="00450413">
                              <w:rPr>
                                <w:rFonts w:ascii="Andes" w:hAnsi="Andes"/>
                              </w:rPr>
                              <w:t>Figure 4.</w:t>
                            </w:r>
                            <w:proofErr w:type="gramEnd"/>
                            <w:r w:rsidRPr="00450413">
                              <w:rPr>
                                <w:rFonts w:ascii="Andes" w:hAnsi="Andes"/>
                              </w:rPr>
                              <w:t xml:space="preserve"> Key fiscal/economic indicators for Indonesia, 1995-2017</w:t>
                            </w:r>
                          </w:p>
                          <w:p w:rsidR="003F7AE3" w:rsidRPr="001B51D1" w:rsidRDefault="003F7AE3" w:rsidP="0004011F">
                            <w:r>
                              <w:rPr>
                                <w:noProof/>
                              </w:rPr>
                              <w:drawing>
                                <wp:inline distT="0" distB="0" distL="0" distR="0" wp14:anchorId="7B74311B" wp14:editId="338CC621">
                                  <wp:extent cx="4868333" cy="3505200"/>
                                  <wp:effectExtent l="0" t="0" r="0" b="0"/>
                                  <wp:docPr id="143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0977" cy="3507104"/>
                                          </a:xfrm>
                                          <a:prstGeom prst="rect">
                                            <a:avLst/>
                                          </a:prstGeom>
                                          <a:noFill/>
                                          <a:ln>
                                            <a:noFill/>
                                          </a:ln>
                                        </pic:spPr>
                                      </pic:pic>
                                    </a:graphicData>
                                  </a:graphic>
                                </wp:inline>
                              </w:drawing>
                            </w:r>
                          </w:p>
                        </w:txbxContent>
                      </wps:txbx>
                      <wps:bodyPr rot="0" vert="horz" wrap="square" lIns="0" tIns="45720" rIns="91440" bIns="45720" anchor="t" anchorCtr="0" upright="1">
                        <a:noAutofit/>
                      </wps:bodyPr>
                    </wps:wsp>
                  </a:graphicData>
                </a:graphic>
              </wp:inline>
            </w:drawing>
          </mc:Choice>
          <mc:Fallback>
            <w:pict>
              <v:shape id="_x0000_s1032" type="#_x0000_t202" style="width:410.4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" stroked="f">
                <v:textbox inset="0">
                  <w:txbxContent>
                    <w:p w:rsidR="003F7AE3" w:rsidRPr="00450413" w:rsidRDefault="003F7AE3" w:rsidP="003456C4">
                      <w:pPr>
                        <w:pStyle w:val="Caption"/>
                        <w:rPr>
                          <w:rFonts w:ascii="Andes" w:hAnsi="Andes"/>
                        </w:rPr>
                      </w:pPr>
                      <w:proofErr w:type="gramStart"/>
                      <w:r w:rsidRPr="00450413">
                        <w:rPr>
                          <w:rFonts w:ascii="Andes" w:hAnsi="Andes"/>
                        </w:rPr>
                        <w:t>Figure 4.</w:t>
                      </w:r>
                      <w:proofErr w:type="gramEnd"/>
                      <w:r w:rsidRPr="00450413">
                        <w:rPr>
                          <w:rFonts w:ascii="Andes" w:hAnsi="Andes"/>
                        </w:rPr>
                        <w:t xml:space="preserve"> Key fiscal/economic indicators for Indonesia, 1995-2017</w:t>
                      </w:r>
                    </w:p>
                    <w:p w:rsidR="003F7AE3" w:rsidRPr="001B51D1" w:rsidRDefault="003F7AE3" w:rsidP="0004011F">
                      <w:r>
                        <w:rPr>
                          <w:noProof/>
                        </w:rPr>
                        <w:drawing>
                          <wp:inline distT="0" distB="0" distL="0" distR="0" wp14:anchorId="7B74311B" wp14:editId="338CC621">
                            <wp:extent cx="4868333" cy="3505200"/>
                            <wp:effectExtent l="0" t="0" r="0" b="0"/>
                            <wp:docPr id="143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0977" cy="3507104"/>
                                    </a:xfrm>
                                    <a:prstGeom prst="rect">
                                      <a:avLst/>
                                    </a:prstGeom>
                                    <a:noFill/>
                                    <a:ln>
                                      <a:noFill/>
                                    </a:ln>
                                  </pic:spPr>
                                </pic:pic>
                              </a:graphicData>
                            </a:graphic>
                          </wp:inline>
                        </w:drawing>
                      </w:r>
                    </w:p>
                  </w:txbxContent>
                </v:textbox>
                <w10:anchorlock/>
              </v:shape>
            </w:pict>
          </mc:Fallback>
        </mc:AlternateContent>
      </w:r>
    </w:p>
    <w:p w:rsidR="00905496" w:rsidRPr="001B51D1" w:rsidRDefault="00905496" w:rsidP="00905496">
      <w:pPr>
        <w:pStyle w:val="Source"/>
      </w:pPr>
      <w:r w:rsidRPr="001E6DA3">
        <w:t>Source:</w:t>
      </w:r>
      <w:r>
        <w:t xml:space="preserve"> World Bank and IMF (various years)</w:t>
      </w:r>
    </w:p>
    <w:p w:rsidR="0004011F" w:rsidRDefault="00CE0D3F" w:rsidP="00CE0D3F">
      <w:pPr>
        <w:pStyle w:val="BodyText0"/>
        <w:jc w:val="both"/>
      </w:pPr>
      <w:r>
        <w:rPr>
          <w:noProof/>
        </w:rPr>
        <mc:AlternateContent>
          <mc:Choice Requires="wps">
            <w:drawing>
              <wp:inline distT="0" distB="0" distL="0" distR="0">
                <wp:extent cx="5110480" cy="3253740"/>
                <wp:effectExtent l="0" t="0" r="0" b="381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325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AE3" w:rsidRPr="001B51D1" w:rsidRDefault="003F7AE3" w:rsidP="0073347A">
                            <w:pPr>
                              <w:pStyle w:val="Caption"/>
                              <w:spacing w:before="0"/>
                            </w:pPr>
                            <w:proofErr w:type="gramStart"/>
                            <w:r w:rsidRPr="0073347A">
                              <w:rPr>
                                <w:rFonts w:ascii="Andes" w:hAnsi="Andes"/>
                              </w:rPr>
                              <w:t>Figure</w:t>
                            </w:r>
                            <w:r w:rsidRPr="00450413">
                              <w:t xml:space="preserve"> 5.</w:t>
                            </w:r>
                            <w:proofErr w:type="gramEnd"/>
                            <w:r w:rsidRPr="00450413">
                              <w:t xml:space="preserve"> Share of central </w:t>
                            </w:r>
                            <w:r w:rsidRPr="0073347A">
                              <w:t>government</w:t>
                            </w:r>
                            <w:r w:rsidRPr="00450413">
                              <w:t xml:space="preserve"> budget in Indonesia, 1995-2010</w:t>
                            </w:r>
                            <w:r>
                              <w:rPr>
                                <w:noProof/>
                                <w:lang w:eastAsia="en-US"/>
                              </w:rPr>
                              <w:drawing>
                                <wp:inline distT="0" distB="0" distL="0" distR="0" wp14:anchorId="4E1093D0" wp14:editId="6D035F96">
                                  <wp:extent cx="4556760" cy="2983101"/>
                                  <wp:effectExtent l="0" t="0" r="0" b="8255"/>
                                  <wp:docPr id="143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2093" cy="2986592"/>
                                          </a:xfrm>
                                          <a:prstGeom prst="rect">
                                            <a:avLst/>
                                          </a:prstGeom>
                                          <a:noFill/>
                                          <a:ln>
                                            <a:noFill/>
                                          </a:ln>
                                        </pic:spPr>
                                      </pic:pic>
                                    </a:graphicData>
                                  </a:graphic>
                                </wp:inline>
                              </w:drawing>
                            </w:r>
                          </w:p>
                          <w:p w:rsidR="003F7AE3" w:rsidRPr="001B51D1" w:rsidRDefault="003F7AE3" w:rsidP="00CE0D3F">
                            <w:pPr>
                              <w:pStyle w:val="BodyText0"/>
                              <w:rPr>
                                <w:lang w:eastAsia="zh-CN"/>
                              </w:rPr>
                            </w:pPr>
                          </w:p>
                          <w:p w:rsidR="003F7AE3" w:rsidRPr="001B51D1" w:rsidRDefault="003F7AE3" w:rsidP="00CE0D3F"/>
                        </w:txbxContent>
                      </wps:txbx>
                      <wps:bodyPr rot="0" vert="horz" wrap="square" lIns="74295" tIns="192024" rIns="74295" bIns="8890" anchor="t" anchorCtr="0" upright="1">
                        <a:noAutofit/>
                      </wps:bodyPr>
                    </wps:wsp>
                  </a:graphicData>
                </a:graphic>
              </wp:inline>
            </w:drawing>
          </mc:Choice>
          <mc:Fallback>
            <w:pict>
              <v:shape id="Text Box 15" o:spid="_x0000_s1033" type="#_x0000_t202" style="width:402.4pt;height:2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" stroked="f">
                <v:textbox inset="5.85pt,15.12pt,5.85pt,.7pt">
                  <w:txbxContent>
                    <w:p w:rsidR="003F7AE3" w:rsidRPr="001B51D1" w:rsidRDefault="003F7AE3" w:rsidP="0073347A">
                      <w:pPr>
                        <w:pStyle w:val="Caption"/>
                        <w:spacing w:before="0"/>
                      </w:pPr>
                      <w:proofErr w:type="gramStart"/>
                      <w:r w:rsidRPr="0073347A">
                        <w:rPr>
                          <w:rFonts w:ascii="Andes" w:hAnsi="Andes"/>
                        </w:rPr>
                        <w:t>Figure</w:t>
                      </w:r>
                      <w:r w:rsidRPr="00450413">
                        <w:t xml:space="preserve"> 5.</w:t>
                      </w:r>
                      <w:proofErr w:type="gramEnd"/>
                      <w:r w:rsidRPr="00450413">
                        <w:t xml:space="preserve"> Share of central </w:t>
                      </w:r>
                      <w:r w:rsidRPr="0073347A">
                        <w:t>government</w:t>
                      </w:r>
                      <w:r w:rsidRPr="00450413">
                        <w:t xml:space="preserve"> budget in Indonesia, 1995-2010</w:t>
                      </w:r>
                      <w:r>
                        <w:rPr>
                          <w:noProof/>
                          <w:lang w:eastAsia="en-US"/>
                        </w:rPr>
                        <w:drawing>
                          <wp:inline distT="0" distB="0" distL="0" distR="0" wp14:anchorId="4E1093D0" wp14:editId="6D035F96">
                            <wp:extent cx="4556760" cy="2983101"/>
                            <wp:effectExtent l="0" t="0" r="0" b="8255"/>
                            <wp:docPr id="143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2093" cy="2986592"/>
                                    </a:xfrm>
                                    <a:prstGeom prst="rect">
                                      <a:avLst/>
                                    </a:prstGeom>
                                    <a:noFill/>
                                    <a:ln>
                                      <a:noFill/>
                                    </a:ln>
                                  </pic:spPr>
                                </pic:pic>
                              </a:graphicData>
                            </a:graphic>
                          </wp:inline>
                        </w:drawing>
                      </w:r>
                    </w:p>
                    <w:p w:rsidR="003F7AE3" w:rsidRPr="001B51D1" w:rsidRDefault="003F7AE3" w:rsidP="00CE0D3F">
                      <w:pPr>
                        <w:pStyle w:val="BodyText0"/>
                        <w:rPr>
                          <w:lang w:eastAsia="zh-CN"/>
                        </w:rPr>
                      </w:pPr>
                    </w:p>
                    <w:p w:rsidR="003F7AE3" w:rsidRPr="001B51D1" w:rsidRDefault="003F7AE3" w:rsidP="00CE0D3F"/>
                  </w:txbxContent>
                </v:textbox>
                <w10:anchorlock/>
              </v:shape>
            </w:pict>
          </mc:Fallback>
        </mc:AlternateContent>
      </w:r>
    </w:p>
    <w:p w:rsidR="00CE0D3F" w:rsidRDefault="00CE0D3F" w:rsidP="00CE0D3F">
      <w:pPr>
        <w:pStyle w:val="BodyText0"/>
        <w:jc w:val="both"/>
      </w:pPr>
      <w:r w:rsidRPr="001B51D1">
        <w:t xml:space="preserve">Analysis of central government allocation data suggests that the rise in central government health spending over 2005–11 occurred </w:t>
      </w:r>
      <w:r w:rsidRPr="001B51D1">
        <w:rPr>
          <w:lang w:eastAsia="zh-CN"/>
        </w:rPr>
        <w:t xml:space="preserve">largely as a result of </w:t>
      </w:r>
      <w:r w:rsidRPr="001B51D1">
        <w:t>rising GDP</w:t>
      </w:r>
      <w:r w:rsidRPr="001B51D1">
        <w:rPr>
          <w:lang w:eastAsia="zh-CN"/>
        </w:rPr>
        <w:t xml:space="preserve"> and was </w:t>
      </w:r>
      <w:r>
        <w:rPr>
          <w:lang w:eastAsia="zh-CN"/>
        </w:rPr>
        <w:t xml:space="preserve">not </w:t>
      </w:r>
      <w:r w:rsidRPr="001B51D1">
        <w:rPr>
          <w:lang w:eastAsia="zh-CN"/>
        </w:rPr>
        <w:t xml:space="preserve">due to an increase in </w:t>
      </w:r>
      <w:r>
        <w:rPr>
          <w:lang w:eastAsia="zh-CN"/>
        </w:rPr>
        <w:t xml:space="preserve">either </w:t>
      </w:r>
      <w:r w:rsidRPr="001B51D1">
        <w:rPr>
          <w:lang w:eastAsia="zh-CN"/>
        </w:rPr>
        <w:t xml:space="preserve">overall </w:t>
      </w:r>
      <w:r w:rsidRPr="001B51D1">
        <w:t>government spending</w:t>
      </w:r>
      <w:r w:rsidRPr="001B51D1">
        <w:rPr>
          <w:lang w:eastAsia="zh-CN"/>
        </w:rPr>
        <w:t>’s share of GDP or</w:t>
      </w:r>
      <w:r w:rsidRPr="001B51D1">
        <w:t xml:space="preserve"> in health’s share of central government expenditures. Comparing 2011 with 2005, the central government expenditure’s </w:t>
      </w:r>
      <w:r w:rsidRPr="001B51D1">
        <w:lastRenderedPageBreak/>
        <w:t>share of GDP decreased by 2.3</w:t>
      </w:r>
      <w:r w:rsidRPr="001B51D1">
        <w:rPr>
          <w:rFonts w:ascii="Courier New" w:hAnsi="Courier New" w:cs="Courier New"/>
        </w:rPr>
        <w:t> </w:t>
      </w:r>
      <w:r w:rsidRPr="001B51D1">
        <w:t>percentage points, and health</w:t>
      </w:r>
      <w:r w:rsidRPr="001B51D1">
        <w:rPr>
          <w:rFonts w:cs="Andes"/>
        </w:rPr>
        <w:t>’</w:t>
      </w:r>
      <w:r w:rsidRPr="001B51D1">
        <w:t>s share of central government expenditure remained the same.</w:t>
      </w:r>
    </w:p>
    <w:p w:rsidR="00CE0D3F" w:rsidRPr="00692CBC" w:rsidRDefault="00CE0D3F" w:rsidP="00CE0D3F">
      <w:pPr>
        <w:pStyle w:val="BodyText0"/>
        <w:jc w:val="both"/>
      </w:pPr>
    </w:p>
    <w:p w:rsidR="00CE0D3F" w:rsidRPr="00FB58DC" w:rsidRDefault="00CE0D3F" w:rsidP="00CE0D3F">
      <w:pPr>
        <w:jc w:val="both"/>
        <w:rPr>
          <w:b/>
        </w:rPr>
      </w:pPr>
      <w:r w:rsidRPr="00FB58DC">
        <w:rPr>
          <w:b/>
        </w:rPr>
        <w:t>What factors have posed challenges to achieving adequate fiscal space to expand coverage and ensuring fiscal sustainability?</w:t>
      </w:r>
    </w:p>
    <w:p w:rsidR="00CE0D3F" w:rsidRPr="001B51D1" w:rsidRDefault="00CE0D3F" w:rsidP="00DA63A7">
      <w:pPr>
        <w:pStyle w:val="BodyText0"/>
        <w:jc w:val="both"/>
        <w:rPr>
          <w:lang w:eastAsia="zh-CN"/>
        </w:rPr>
      </w:pPr>
      <w:r w:rsidRPr="001B51D1">
        <w:t xml:space="preserve">One of the challenges is the lack of priority given to health. </w:t>
      </w:r>
      <w:r w:rsidRPr="001B51D1">
        <w:rPr>
          <w:rFonts w:eastAsia="Calibri"/>
        </w:rPr>
        <w:t>Indonesia is a comparatively low spender on health</w:t>
      </w:r>
      <w:r w:rsidRPr="001B51D1">
        <w:t>, which to some extent is due to the perception of health as a non-productive sector by the Ministry of Finance. The share of health expenditure is low compared with that in other sectors. In 2011, health accounted for 1.6</w:t>
      </w:r>
      <w:r w:rsidRPr="001B51D1">
        <w:rPr>
          <w:rFonts w:ascii="Courier New" w:hAnsi="Courier New" w:cs="Courier New"/>
        </w:rPr>
        <w:t> </w:t>
      </w:r>
      <w:r w:rsidRPr="001B51D1">
        <w:t>percent of the central government budget, much lower than fuel subsidies (18.2</w:t>
      </w:r>
      <w:r w:rsidRPr="001B51D1">
        <w:rPr>
          <w:rFonts w:ascii="Courier New" w:hAnsi="Courier New" w:cs="Courier New"/>
        </w:rPr>
        <w:t> </w:t>
      </w:r>
      <w:r w:rsidRPr="001B51D1">
        <w:t>percent) and education (10.8</w:t>
      </w:r>
      <w:r w:rsidRPr="001B51D1">
        <w:rPr>
          <w:rFonts w:ascii="Courier New" w:hAnsi="Courier New" w:cs="Courier New"/>
        </w:rPr>
        <w:t> </w:t>
      </w:r>
      <w:r w:rsidRPr="001B51D1">
        <w:t xml:space="preserve">percent). (The fuel subsidies benefited mainly the top rather than the bottom </w:t>
      </w:r>
      <w:r w:rsidRPr="00F141E5">
        <w:t xml:space="preserve">income </w:t>
      </w:r>
      <w:r w:rsidRPr="001B51D1">
        <w:t>quintile.) The heavy burden placed by fuel subsidies is a key constraint on government health spending</w:t>
      </w:r>
      <w:r w:rsidRPr="001B51D1">
        <w:rPr>
          <w:lang w:eastAsia="zh-CN"/>
        </w:rPr>
        <w:t>.</w:t>
      </w:r>
    </w:p>
    <w:p w:rsidR="00CE0D3F" w:rsidRPr="001B51D1" w:rsidRDefault="00CE0D3F" w:rsidP="00FB58DC">
      <w:pPr>
        <w:pStyle w:val="Heading4"/>
      </w:pPr>
      <w:r w:rsidRPr="001B51D1">
        <w:t>b. Cost management and value for money</w:t>
      </w:r>
    </w:p>
    <w:p w:rsidR="00CE0D3F" w:rsidRPr="001B51D1" w:rsidRDefault="00CE0D3F" w:rsidP="00CE0D3F">
      <w:pPr>
        <w:pStyle w:val="BodyText0"/>
        <w:jc w:val="both"/>
      </w:pPr>
      <w:proofErr w:type="spellStart"/>
      <w:r w:rsidRPr="001B51D1">
        <w:t>Jamkesmas</w:t>
      </w:r>
      <w:proofErr w:type="spellEnd"/>
      <w:r w:rsidRPr="001B51D1">
        <w:t xml:space="preserve"> has an estimated premium rate of </w:t>
      </w:r>
      <w:proofErr w:type="spellStart"/>
      <w:r w:rsidRPr="001B51D1">
        <w:t>Rp</w:t>
      </w:r>
      <w:proofErr w:type="spellEnd"/>
      <w:r w:rsidRPr="001B51D1">
        <w:t xml:space="preserve"> 6,500 per person per month (about $8 per person per year), totaling about a quarter of the annual central government health budget. Actuarial studies estimate the true cost being at least three to four times the estimated premium rate, even with existing levels of supply-side constraints</w:t>
      </w:r>
      <w:r>
        <w:t xml:space="preserve"> (</w:t>
      </w:r>
      <w:proofErr w:type="spellStart"/>
      <w:r>
        <w:t>Guerard</w:t>
      </w:r>
      <w:proofErr w:type="spellEnd"/>
      <w:r>
        <w:t xml:space="preserve"> et al. 2011)</w:t>
      </w:r>
      <w:r w:rsidRPr="001B51D1">
        <w:t xml:space="preserve">. The magnitude of these numbers is consistent with the current estimated public and private expenditure on curative and rehabilitative care of about $40 per capita per year, about five times the </w:t>
      </w:r>
      <w:proofErr w:type="spellStart"/>
      <w:r w:rsidRPr="001B51D1">
        <w:t>Jamkesmas</w:t>
      </w:r>
      <w:proofErr w:type="spellEnd"/>
      <w:r w:rsidRPr="001B51D1">
        <w:t xml:space="preserve"> premium</w:t>
      </w:r>
      <w:r>
        <w:t xml:space="preserve"> (</w:t>
      </w:r>
      <w:proofErr w:type="spellStart"/>
      <w:r>
        <w:t>Soewondo</w:t>
      </w:r>
      <w:proofErr w:type="spellEnd"/>
      <w:r>
        <w:t xml:space="preserve"> et al. 2011)</w:t>
      </w:r>
      <w:r w:rsidRPr="001B51D1">
        <w:t>.</w:t>
      </w:r>
    </w:p>
    <w:p w:rsidR="00CE0D3F" w:rsidRPr="001B51D1" w:rsidRDefault="00CE0D3F" w:rsidP="00CE0D3F">
      <w:pPr>
        <w:pStyle w:val="BodyText0"/>
        <w:jc w:val="both"/>
      </w:pPr>
      <w:r w:rsidRPr="001B51D1">
        <w:t xml:space="preserve">Supply-side constraints conceal the real costs of the </w:t>
      </w:r>
      <w:proofErr w:type="spellStart"/>
      <w:r w:rsidRPr="001B51D1">
        <w:t>Jamkesmas</w:t>
      </w:r>
      <w:proofErr w:type="spellEnd"/>
      <w:r w:rsidRPr="001B51D1">
        <w:t xml:space="preserve"> program and act as an implicit cost-management strategy. Although </w:t>
      </w:r>
      <w:proofErr w:type="spellStart"/>
      <w:r w:rsidRPr="001B51D1">
        <w:t>Jamkesmas</w:t>
      </w:r>
      <w:proofErr w:type="spellEnd"/>
      <w:r w:rsidRPr="001B51D1">
        <w:t xml:space="preserve"> offers a comprehensive benefits package of services, in practice, utilization and the associated claims reimbursements do not reflect actual cost</w:t>
      </w:r>
      <w:r>
        <w:t>s</w:t>
      </w:r>
      <w:r w:rsidRPr="001B51D1">
        <w:t xml:space="preserve"> due to the limited supply of services. If utilization rates were higher, the program</w:t>
      </w:r>
      <w:r>
        <w:t>’s</w:t>
      </w:r>
      <w:r w:rsidRPr="001B51D1">
        <w:t xml:space="preserve"> </w:t>
      </w:r>
      <w:r>
        <w:t xml:space="preserve">costs </w:t>
      </w:r>
      <w:r w:rsidRPr="001B51D1">
        <w:t xml:space="preserve">would likely be much higher. Furthermore, </w:t>
      </w:r>
      <w:proofErr w:type="spellStart"/>
      <w:r w:rsidRPr="001B51D1">
        <w:rPr>
          <w:i/>
        </w:rPr>
        <w:t>puskesmas</w:t>
      </w:r>
      <w:proofErr w:type="spellEnd"/>
      <w:r w:rsidRPr="001B51D1">
        <w:t xml:space="preserve"> and public hospitals continue to receive government subsidies for salaries, capital and some operational costs, which are also not included in the overall cost of </w:t>
      </w:r>
      <w:proofErr w:type="spellStart"/>
      <w:r w:rsidRPr="001B51D1">
        <w:t>Jamkesmas</w:t>
      </w:r>
      <w:proofErr w:type="spellEnd"/>
      <w:r w:rsidRPr="001B51D1">
        <w:t xml:space="preserve"> and therefore skew the </w:t>
      </w:r>
      <w:r>
        <w:t>apparent</w:t>
      </w:r>
      <w:r w:rsidRPr="001B51D1">
        <w:t xml:space="preserve"> cost of the program. The subsidies are estimated at two</w:t>
      </w:r>
      <w:r>
        <w:t>-</w:t>
      </w:r>
      <w:r w:rsidRPr="001B51D1">
        <w:t xml:space="preserve">thirds of the average cost of care under </w:t>
      </w:r>
      <w:proofErr w:type="spellStart"/>
      <w:r w:rsidRPr="001B51D1">
        <w:t>Jamkesmas</w:t>
      </w:r>
      <w:proofErr w:type="spellEnd"/>
      <w:r w:rsidRPr="001B51D1">
        <w:t xml:space="preserve">. </w:t>
      </w:r>
    </w:p>
    <w:p w:rsidR="00CE0D3F" w:rsidRPr="001B51D1" w:rsidRDefault="00CE0D3F" w:rsidP="00CE0D3F">
      <w:pPr>
        <w:pStyle w:val="BodyText0"/>
        <w:jc w:val="both"/>
      </w:pPr>
      <w:r>
        <w:t>The MOH</w:t>
      </w:r>
      <w:r w:rsidRPr="001B51D1">
        <w:t xml:space="preserve"> reimburses hospitals for </w:t>
      </w:r>
      <w:proofErr w:type="spellStart"/>
      <w:r w:rsidRPr="00692CBC">
        <w:t>Jamkesmas</w:t>
      </w:r>
      <w:proofErr w:type="spellEnd"/>
      <w:r w:rsidRPr="001B51D1">
        <w:t xml:space="preserve"> coverage based on DRGs. The system is called INA-CBG, generated from </w:t>
      </w:r>
      <w:proofErr w:type="spellStart"/>
      <w:r w:rsidRPr="001B51D1">
        <w:t>Askes</w:t>
      </w:r>
      <w:proofErr w:type="spellEnd"/>
      <w:r w:rsidRPr="001B51D1">
        <w:t xml:space="preserve"> utilization data. Reimbursement rates are the same for public and private hospitals in the network, although rates vary by the degree of specialization of the hospital. There is no information whether DRGs have helped contain costs and improve efficiency. Payments to </w:t>
      </w:r>
      <w:proofErr w:type="spellStart"/>
      <w:r w:rsidRPr="001B51D1">
        <w:rPr>
          <w:i/>
        </w:rPr>
        <w:t>puskesmas</w:t>
      </w:r>
      <w:proofErr w:type="spellEnd"/>
      <w:r w:rsidRPr="001B51D1">
        <w:t xml:space="preserve"> were initially based on capitation, but </w:t>
      </w:r>
      <w:r>
        <w:t xml:space="preserve">since </w:t>
      </w:r>
      <w:r w:rsidRPr="001B51D1">
        <w:t xml:space="preserve">2011, </w:t>
      </w:r>
      <w:proofErr w:type="spellStart"/>
      <w:r w:rsidRPr="001B51D1">
        <w:rPr>
          <w:i/>
        </w:rPr>
        <w:t>puskesmas</w:t>
      </w:r>
      <w:proofErr w:type="spellEnd"/>
      <w:r w:rsidRPr="001B51D1">
        <w:t xml:space="preserve"> </w:t>
      </w:r>
      <w:r>
        <w:t xml:space="preserve">have been </w:t>
      </w:r>
      <w:r w:rsidRPr="001B51D1">
        <w:t>reimbursed based on fee</w:t>
      </w:r>
      <w:r>
        <w:t xml:space="preserve"> </w:t>
      </w:r>
      <w:r w:rsidRPr="001B51D1">
        <w:t>for</w:t>
      </w:r>
      <w:r>
        <w:t xml:space="preserve"> </w:t>
      </w:r>
      <w:r w:rsidRPr="001B51D1">
        <w:t xml:space="preserve">service. District health offices (DHOs) receive funds from the central government via </w:t>
      </w:r>
      <w:r>
        <w:t>the MOH</w:t>
      </w:r>
      <w:r w:rsidRPr="001B51D1">
        <w:t xml:space="preserve"> based on a capitation payment of </w:t>
      </w:r>
      <w:proofErr w:type="spellStart"/>
      <w:r>
        <w:t>Rp</w:t>
      </w:r>
      <w:proofErr w:type="spellEnd"/>
      <w:r>
        <w:rPr>
          <w:rFonts w:ascii="Courier New" w:hAnsi="Courier New" w:cs="Courier New"/>
        </w:rPr>
        <w:t> </w:t>
      </w:r>
      <w:r w:rsidRPr="001B51D1">
        <w:t xml:space="preserve">1,000 per poor and near-poor person per month and subject to the availability of funding at the time. DHOs are reimbursed for </w:t>
      </w:r>
      <w:proofErr w:type="spellStart"/>
      <w:r w:rsidRPr="001B51D1">
        <w:rPr>
          <w:i/>
        </w:rPr>
        <w:t>puskesmas</w:t>
      </w:r>
      <w:proofErr w:type="spellEnd"/>
      <w:r w:rsidRPr="001B51D1">
        <w:t xml:space="preserve"> utilization based on fee</w:t>
      </w:r>
      <w:r>
        <w:t xml:space="preserve"> </w:t>
      </w:r>
      <w:r w:rsidRPr="001B51D1">
        <w:t>for</w:t>
      </w:r>
      <w:r>
        <w:t xml:space="preserve"> </w:t>
      </w:r>
      <w:r w:rsidRPr="001B51D1">
        <w:t xml:space="preserve">service from </w:t>
      </w:r>
      <w:r>
        <w:t>these funds</w:t>
      </w:r>
      <w:r w:rsidRPr="001B51D1">
        <w:t xml:space="preserve">. Any surplus or deficit of </w:t>
      </w:r>
      <w:proofErr w:type="spellStart"/>
      <w:r w:rsidRPr="001B51D1">
        <w:t>Jamkesmas</w:t>
      </w:r>
      <w:proofErr w:type="spellEnd"/>
      <w:r w:rsidRPr="001B51D1">
        <w:t>-related financing at the DHO-</w:t>
      </w:r>
      <w:proofErr w:type="spellStart"/>
      <w:r w:rsidRPr="001B51D1">
        <w:rPr>
          <w:i/>
        </w:rPr>
        <w:t>puskesmas</w:t>
      </w:r>
      <w:proofErr w:type="spellEnd"/>
      <w:r w:rsidRPr="001B51D1">
        <w:t xml:space="preserve"> level is adjusted by transfers to or from the local government treasury. </w:t>
      </w:r>
    </w:p>
    <w:p w:rsidR="00CE0D3F" w:rsidRDefault="00CE0D3F" w:rsidP="00CE0D3F">
      <w:pPr>
        <w:pStyle w:val="BodyText0"/>
        <w:jc w:val="both"/>
      </w:pPr>
      <w:r w:rsidRPr="001B51D1">
        <w:t>Of total program costs, about 75 percent are for reimbursement of hospital</w:t>
      </w:r>
      <w:r>
        <w:t>-</w:t>
      </w:r>
      <w:r w:rsidRPr="001B51D1">
        <w:t xml:space="preserve">based care, 20 percent for </w:t>
      </w:r>
      <w:proofErr w:type="spellStart"/>
      <w:r w:rsidRPr="001B51D1">
        <w:rPr>
          <w:i/>
        </w:rPr>
        <w:t>puskesmas</w:t>
      </w:r>
      <w:proofErr w:type="spellEnd"/>
      <w:r w:rsidRPr="001B51D1">
        <w:t xml:space="preserve">-based care, and the </w:t>
      </w:r>
      <w:r>
        <w:t xml:space="preserve">rest </w:t>
      </w:r>
      <w:r w:rsidRPr="001B51D1">
        <w:t xml:space="preserve">for administrative costs. In 2011, it was </w:t>
      </w:r>
      <w:r w:rsidRPr="001B51D1">
        <w:lastRenderedPageBreak/>
        <w:t>estimated that 50</w:t>
      </w:r>
      <w:r>
        <w:rPr>
          <w:rFonts w:ascii="Courier New" w:hAnsi="Courier New" w:cs="Courier New"/>
        </w:rPr>
        <w:t> </w:t>
      </w:r>
      <w:r w:rsidRPr="001B51D1">
        <w:t xml:space="preserve">percent of </w:t>
      </w:r>
      <w:proofErr w:type="spellStart"/>
      <w:r w:rsidRPr="001B51D1">
        <w:t>Jamkesmas</w:t>
      </w:r>
      <w:proofErr w:type="spellEnd"/>
      <w:r w:rsidRPr="001B51D1">
        <w:t xml:space="preserve"> funds at </w:t>
      </w:r>
      <w:proofErr w:type="spellStart"/>
      <w:r w:rsidRPr="001B51D1">
        <w:rPr>
          <w:i/>
        </w:rPr>
        <w:t>puskesmas</w:t>
      </w:r>
      <w:proofErr w:type="spellEnd"/>
      <w:r w:rsidRPr="001B51D1">
        <w:t xml:space="preserve"> level </w:t>
      </w:r>
      <w:r>
        <w:t>wa</w:t>
      </w:r>
      <w:r w:rsidRPr="001B51D1">
        <w:t>s undisbursed</w:t>
      </w:r>
      <w:r>
        <w:t xml:space="preserve">, </w:t>
      </w:r>
      <w:r w:rsidRPr="001B51D1">
        <w:t xml:space="preserve">primarily </w:t>
      </w:r>
      <w:r>
        <w:t xml:space="preserve">due to </w:t>
      </w:r>
      <w:r w:rsidRPr="001B51D1">
        <w:t xml:space="preserve">the absence of </w:t>
      </w:r>
      <w:proofErr w:type="spellStart"/>
      <w:r w:rsidRPr="001B51D1">
        <w:rPr>
          <w:i/>
        </w:rPr>
        <w:t>puskesmas</w:t>
      </w:r>
      <w:proofErr w:type="spellEnd"/>
      <w:r w:rsidRPr="001B51D1">
        <w:t xml:space="preserve"> autonomy in </w:t>
      </w:r>
      <w:r>
        <w:t xml:space="preserve">using </w:t>
      </w:r>
      <w:proofErr w:type="spellStart"/>
      <w:r w:rsidRPr="001B51D1">
        <w:t>Jamkesmas</w:t>
      </w:r>
      <w:proofErr w:type="spellEnd"/>
      <w:r w:rsidRPr="001B51D1">
        <w:t xml:space="preserve"> funds. </w:t>
      </w:r>
    </w:p>
    <w:p w:rsidR="00CE0D3F" w:rsidRPr="001B51D1" w:rsidRDefault="00CE0D3F" w:rsidP="00CE0D3F">
      <w:pPr>
        <w:pStyle w:val="Heading3"/>
      </w:pPr>
      <w:r w:rsidRPr="001B51D1">
        <w:t>2.</w:t>
      </w:r>
      <w:r w:rsidRPr="001B51D1">
        <w:tab/>
        <w:t>How equitable is coverage?</w:t>
      </w:r>
    </w:p>
    <w:p w:rsidR="00CE0D3F" w:rsidRPr="001B51D1" w:rsidRDefault="00CE0D3F" w:rsidP="00CE0D3F">
      <w:pPr>
        <w:pStyle w:val="Heading4"/>
      </w:pPr>
      <w:r>
        <w:t xml:space="preserve">a. </w:t>
      </w:r>
      <w:r w:rsidRPr="001B51D1">
        <w:t>Solidarity and redistribution</w:t>
      </w:r>
    </w:p>
    <w:p w:rsidR="00CE0D3F" w:rsidRPr="001B51D1" w:rsidRDefault="00CE0D3F" w:rsidP="00CE0D3F">
      <w:pPr>
        <w:pStyle w:val="BodyText0"/>
      </w:pPr>
      <w:proofErr w:type="spellStart"/>
      <w:r w:rsidRPr="001B51D1">
        <w:t>Jamkesmas</w:t>
      </w:r>
      <w:proofErr w:type="spellEnd"/>
      <w:r w:rsidRPr="001B51D1">
        <w:t xml:space="preserve"> is entirely financed through central government revenues but provide</w:t>
      </w:r>
      <w:r>
        <w:t>s</w:t>
      </w:r>
      <w:r w:rsidRPr="001B51D1">
        <w:t xml:space="preserve"> benefits only for the poor/near</w:t>
      </w:r>
      <w:r>
        <w:t>-</w:t>
      </w:r>
      <w:r w:rsidRPr="001B51D1">
        <w:t xml:space="preserve">poor. </w:t>
      </w:r>
    </w:p>
    <w:p w:rsidR="00CE0D3F" w:rsidRPr="001B51D1" w:rsidRDefault="00CE0D3F" w:rsidP="00CE0D3F">
      <w:pPr>
        <w:pStyle w:val="Heading4"/>
      </w:pPr>
      <w:r>
        <w:t xml:space="preserve">b. </w:t>
      </w:r>
      <w:r w:rsidRPr="001B51D1">
        <w:t>Targeting for priority population groups</w:t>
      </w:r>
    </w:p>
    <w:p w:rsidR="00CE0D3F" w:rsidRDefault="00CE0D3F" w:rsidP="00DA63A7">
      <w:pPr>
        <w:pStyle w:val="BodyText0"/>
        <w:jc w:val="both"/>
      </w:pPr>
      <w:r>
        <w:t xml:space="preserve">The central government </w:t>
      </w:r>
      <w:r w:rsidRPr="001B51D1">
        <w:t>has prioritized better targeting of the poor and near</w:t>
      </w:r>
      <w:r>
        <w:t>-</w:t>
      </w:r>
      <w:r w:rsidRPr="001B51D1">
        <w:t xml:space="preserve">poor to improve the effectiveness of all social assistance programs. In 2011, a new list of the poor and near-poor was collected, and is being used as the basis for a unified registry for all social assistance programs from 2012. As a result for </w:t>
      </w:r>
      <w:proofErr w:type="spellStart"/>
      <w:r w:rsidRPr="001B51D1">
        <w:t>Jamkesmas</w:t>
      </w:r>
      <w:proofErr w:type="spellEnd"/>
      <w:r w:rsidRPr="001B51D1">
        <w:t xml:space="preserve">, the poor and </w:t>
      </w:r>
      <w:r w:rsidR="00C042F8">
        <w:t xml:space="preserve">the </w:t>
      </w:r>
      <w:r w:rsidRPr="001B51D1">
        <w:t>near</w:t>
      </w:r>
      <w:r>
        <w:t>-</w:t>
      </w:r>
      <w:r w:rsidRPr="001B51D1">
        <w:t xml:space="preserve">poor are now being targeted on the basis of household per capita consumption, </w:t>
      </w:r>
      <w:r w:rsidR="00C042F8">
        <w:t xml:space="preserve">using </w:t>
      </w:r>
      <w:r w:rsidRPr="001B51D1">
        <w:t xml:space="preserve">a </w:t>
      </w:r>
      <w:r w:rsidR="00C042F8">
        <w:t xml:space="preserve">combination </w:t>
      </w:r>
      <w:r w:rsidRPr="001B51D1">
        <w:t>of geographic and proxy means</w:t>
      </w:r>
      <w:r>
        <w:t>-</w:t>
      </w:r>
      <w:r w:rsidRPr="001B51D1">
        <w:t xml:space="preserve">testing methods. A challenge with </w:t>
      </w:r>
      <w:proofErr w:type="spellStart"/>
      <w:r w:rsidRPr="001B51D1">
        <w:t>Jamkesmas</w:t>
      </w:r>
      <w:proofErr w:type="spellEnd"/>
      <w:r w:rsidRPr="001B51D1">
        <w:t xml:space="preserve"> is that while it uses the new list, actual targeting depends on local decisions, </w:t>
      </w:r>
      <w:r>
        <w:t xml:space="preserve">while </w:t>
      </w:r>
      <w:r w:rsidRPr="001B51D1">
        <w:t xml:space="preserve">identification and enrollment </w:t>
      </w:r>
      <w:r>
        <w:t xml:space="preserve">are </w:t>
      </w:r>
      <w:r w:rsidRPr="001B51D1">
        <w:t>done differently in different places</w:t>
      </w:r>
      <w:r>
        <w:t xml:space="preserve"> (World Bank 2012)</w:t>
      </w:r>
      <w:r w:rsidRPr="001B51D1">
        <w:t xml:space="preserve">. This likely also contributes to leakage problems. Continued efforts to improve overall social assistance targeting will help improve </w:t>
      </w:r>
      <w:proofErr w:type="spellStart"/>
      <w:r w:rsidRPr="001B51D1">
        <w:t>Jamkesmas</w:t>
      </w:r>
      <w:proofErr w:type="spellEnd"/>
      <w:r w:rsidRPr="001B51D1">
        <w:t xml:space="preserve"> targeting, particularly if the lists stay current and are well</w:t>
      </w:r>
      <w:r>
        <w:t xml:space="preserve"> </w:t>
      </w:r>
      <w:r w:rsidRPr="001B51D1">
        <w:t xml:space="preserve">managed. </w:t>
      </w:r>
    </w:p>
    <w:p w:rsidR="00CE0D3F" w:rsidRPr="001B51D1" w:rsidRDefault="00CE0D3F" w:rsidP="00293010">
      <w:pPr>
        <w:pStyle w:val="Heading2"/>
      </w:pPr>
      <w:r w:rsidRPr="001B51D1">
        <w:t>C.</w:t>
      </w:r>
      <w:r w:rsidRPr="001B51D1">
        <w:tab/>
      </w:r>
      <w:r w:rsidRPr="00450413">
        <w:rPr>
          <w:rFonts w:ascii="Andes" w:hAnsi="Andes"/>
        </w:rPr>
        <w:t>Human resources for health (HRH) policies</w:t>
      </w:r>
    </w:p>
    <w:p w:rsidR="00CE0D3F" w:rsidRPr="001B51D1" w:rsidRDefault="00CE0D3F" w:rsidP="00CE0D3F">
      <w:pPr>
        <w:pStyle w:val="Heading3"/>
      </w:pPr>
      <w:r w:rsidRPr="001B51D1">
        <w:t>1.</w:t>
      </w:r>
      <w:r w:rsidRPr="001B51D1">
        <w:tab/>
        <w:t>Current status of HRH</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424"/>
        <w:gridCol w:w="866"/>
        <w:gridCol w:w="1400"/>
        <w:gridCol w:w="1980"/>
        <w:gridCol w:w="1080"/>
        <w:gridCol w:w="1890"/>
        <w:gridCol w:w="1350"/>
      </w:tblGrid>
      <w:tr w:rsidR="00CE0D3F" w:rsidRPr="00FB58DC" w:rsidTr="00293010">
        <w:trPr>
          <w:cantSplit/>
          <w:tblHeader/>
        </w:trPr>
        <w:tc>
          <w:tcPr>
            <w:tcW w:w="1424" w:type="dxa"/>
            <w:vMerge w:val="restart"/>
            <w:shd w:val="clear" w:color="auto" w:fill="EEECE1"/>
          </w:tcPr>
          <w:p w:rsidR="00CE0D3F" w:rsidRPr="00FB58DC" w:rsidRDefault="00CE0D3F" w:rsidP="0004011F">
            <w:pPr>
              <w:rPr>
                <w:sz w:val="20"/>
                <w:szCs w:val="20"/>
              </w:rPr>
            </w:pPr>
            <w:r w:rsidRPr="00FB58DC">
              <w:rPr>
                <w:sz w:val="20"/>
                <w:szCs w:val="20"/>
              </w:rPr>
              <w:t>HRH category</w:t>
            </w:r>
          </w:p>
        </w:tc>
        <w:tc>
          <w:tcPr>
            <w:tcW w:w="866" w:type="dxa"/>
            <w:vMerge w:val="restart"/>
            <w:shd w:val="clear" w:color="auto" w:fill="EEECE1"/>
          </w:tcPr>
          <w:p w:rsidR="00CE0D3F" w:rsidRPr="00FB58DC" w:rsidRDefault="00FB58DC" w:rsidP="0004011F">
            <w:pPr>
              <w:rPr>
                <w:sz w:val="20"/>
                <w:szCs w:val="20"/>
              </w:rPr>
            </w:pPr>
            <w:r w:rsidRPr="00FB58DC">
              <w:rPr>
                <w:sz w:val="20"/>
                <w:szCs w:val="20"/>
              </w:rPr>
              <w:t xml:space="preserve">Per </w:t>
            </w:r>
            <w:r w:rsidR="00CE0D3F" w:rsidRPr="00FB58DC">
              <w:rPr>
                <w:sz w:val="20"/>
                <w:szCs w:val="20"/>
              </w:rPr>
              <w:t>1,000</w:t>
            </w:r>
          </w:p>
          <w:p w:rsidR="00CE0D3F" w:rsidRPr="00FB58DC" w:rsidRDefault="00CE0D3F" w:rsidP="0004011F">
            <w:pPr>
              <w:rPr>
                <w:sz w:val="20"/>
                <w:szCs w:val="20"/>
              </w:rPr>
            </w:pPr>
            <w:r w:rsidRPr="00FB58DC">
              <w:rPr>
                <w:sz w:val="20"/>
                <w:szCs w:val="20"/>
              </w:rPr>
              <w:t>(2013)</w:t>
            </w:r>
          </w:p>
        </w:tc>
        <w:tc>
          <w:tcPr>
            <w:tcW w:w="4460" w:type="dxa"/>
            <w:gridSpan w:val="3"/>
            <w:shd w:val="clear" w:color="auto" w:fill="EEECE1"/>
          </w:tcPr>
          <w:p w:rsidR="00CE0D3F" w:rsidRPr="00FB58DC" w:rsidRDefault="00CE0D3F" w:rsidP="0004011F">
            <w:pPr>
              <w:rPr>
                <w:sz w:val="20"/>
                <w:szCs w:val="20"/>
              </w:rPr>
            </w:pPr>
            <w:r w:rsidRPr="00FB58DC">
              <w:rPr>
                <w:sz w:val="20"/>
                <w:szCs w:val="20"/>
              </w:rPr>
              <w:t>Entry</w:t>
            </w:r>
          </w:p>
        </w:tc>
        <w:tc>
          <w:tcPr>
            <w:tcW w:w="3240" w:type="dxa"/>
            <w:gridSpan w:val="2"/>
            <w:shd w:val="clear" w:color="auto" w:fill="EEECE1"/>
          </w:tcPr>
          <w:p w:rsidR="00CE0D3F" w:rsidRPr="00FB58DC" w:rsidRDefault="00CE0D3F" w:rsidP="0004011F">
            <w:pPr>
              <w:rPr>
                <w:sz w:val="20"/>
                <w:szCs w:val="20"/>
              </w:rPr>
            </w:pPr>
            <w:r w:rsidRPr="00FB58DC">
              <w:rPr>
                <w:sz w:val="20"/>
                <w:szCs w:val="20"/>
              </w:rPr>
              <w:t>Exit</w:t>
            </w:r>
          </w:p>
        </w:tc>
      </w:tr>
      <w:tr w:rsidR="00CE0D3F" w:rsidRPr="00FB58DC" w:rsidTr="00293010">
        <w:trPr>
          <w:cantSplit/>
          <w:tblHeader/>
        </w:trPr>
        <w:tc>
          <w:tcPr>
            <w:tcW w:w="1424" w:type="dxa"/>
            <w:vMerge/>
            <w:shd w:val="clear" w:color="auto" w:fill="EEECE1"/>
          </w:tcPr>
          <w:p w:rsidR="00CE0D3F" w:rsidRPr="00FB58DC" w:rsidRDefault="00CE0D3F" w:rsidP="0004011F">
            <w:pPr>
              <w:rPr>
                <w:sz w:val="20"/>
                <w:szCs w:val="20"/>
              </w:rPr>
            </w:pPr>
          </w:p>
        </w:tc>
        <w:tc>
          <w:tcPr>
            <w:tcW w:w="866" w:type="dxa"/>
            <w:vMerge/>
            <w:shd w:val="clear" w:color="auto" w:fill="EEECE1"/>
          </w:tcPr>
          <w:p w:rsidR="00CE0D3F" w:rsidRPr="00FB58DC" w:rsidRDefault="00CE0D3F" w:rsidP="0004011F">
            <w:pPr>
              <w:rPr>
                <w:sz w:val="20"/>
                <w:szCs w:val="20"/>
              </w:rPr>
            </w:pPr>
          </w:p>
        </w:tc>
        <w:tc>
          <w:tcPr>
            <w:tcW w:w="1400" w:type="dxa"/>
            <w:shd w:val="clear" w:color="auto" w:fill="EEECE1"/>
          </w:tcPr>
          <w:p w:rsidR="00CE0D3F" w:rsidRPr="00FB58DC" w:rsidRDefault="00CE0D3F" w:rsidP="0004011F">
            <w:pPr>
              <w:rPr>
                <w:sz w:val="20"/>
                <w:szCs w:val="20"/>
              </w:rPr>
            </w:pPr>
            <w:r w:rsidRPr="00FB58DC">
              <w:rPr>
                <w:sz w:val="20"/>
                <w:szCs w:val="20"/>
              </w:rPr>
              <w:t>Qualifications</w:t>
            </w:r>
          </w:p>
        </w:tc>
        <w:tc>
          <w:tcPr>
            <w:tcW w:w="1980" w:type="dxa"/>
            <w:shd w:val="clear" w:color="auto" w:fill="EEECE1"/>
          </w:tcPr>
          <w:p w:rsidR="00CE0D3F" w:rsidRPr="00FB58DC" w:rsidRDefault="00CE0D3F" w:rsidP="0004011F">
            <w:pPr>
              <w:rPr>
                <w:sz w:val="20"/>
                <w:szCs w:val="20"/>
              </w:rPr>
            </w:pPr>
            <w:r w:rsidRPr="00FB58DC">
              <w:rPr>
                <w:sz w:val="20"/>
                <w:szCs w:val="20"/>
              </w:rPr>
              <w:t>Government policy on # of entrants</w:t>
            </w:r>
          </w:p>
        </w:tc>
        <w:tc>
          <w:tcPr>
            <w:tcW w:w="1080" w:type="dxa"/>
            <w:shd w:val="clear" w:color="auto" w:fill="EEECE1"/>
          </w:tcPr>
          <w:p w:rsidR="00CE0D3F" w:rsidRPr="00FB58DC" w:rsidRDefault="00CE0D3F" w:rsidP="0004011F">
            <w:pPr>
              <w:rPr>
                <w:sz w:val="20"/>
                <w:szCs w:val="20"/>
              </w:rPr>
            </w:pPr>
            <w:r w:rsidRPr="00FB58DC">
              <w:rPr>
                <w:sz w:val="20"/>
                <w:szCs w:val="20"/>
              </w:rPr>
              <w:t>Number of entrants per year</w:t>
            </w:r>
          </w:p>
        </w:tc>
        <w:tc>
          <w:tcPr>
            <w:tcW w:w="1890" w:type="dxa"/>
            <w:shd w:val="clear" w:color="auto" w:fill="EEECE1"/>
          </w:tcPr>
          <w:p w:rsidR="00CE0D3F" w:rsidRPr="00FB58DC" w:rsidRDefault="00CE0D3F" w:rsidP="0004011F">
            <w:pPr>
              <w:rPr>
                <w:sz w:val="20"/>
                <w:szCs w:val="20"/>
              </w:rPr>
            </w:pPr>
            <w:r w:rsidRPr="00FB58DC">
              <w:rPr>
                <w:sz w:val="20"/>
                <w:szCs w:val="20"/>
              </w:rPr>
              <w:t>Number of years of education</w:t>
            </w:r>
          </w:p>
        </w:tc>
        <w:tc>
          <w:tcPr>
            <w:tcW w:w="1350" w:type="dxa"/>
            <w:shd w:val="clear" w:color="auto" w:fill="EEECE1"/>
          </w:tcPr>
          <w:p w:rsidR="00CE0D3F" w:rsidRPr="00FB58DC" w:rsidRDefault="00CE0D3F" w:rsidP="0004011F">
            <w:pPr>
              <w:rPr>
                <w:sz w:val="20"/>
                <w:szCs w:val="20"/>
              </w:rPr>
            </w:pPr>
            <w:r w:rsidRPr="00FB58DC">
              <w:rPr>
                <w:sz w:val="20"/>
                <w:szCs w:val="20"/>
              </w:rPr>
              <w:t>Production per year</w:t>
            </w:r>
          </w:p>
        </w:tc>
      </w:tr>
      <w:tr w:rsidR="00CE0D3F" w:rsidRPr="00FB58DC" w:rsidTr="00293010">
        <w:trPr>
          <w:cantSplit/>
        </w:trPr>
        <w:tc>
          <w:tcPr>
            <w:tcW w:w="1424" w:type="dxa"/>
          </w:tcPr>
          <w:p w:rsidR="00CE0D3F" w:rsidRPr="00FB58DC" w:rsidRDefault="00CE0D3F" w:rsidP="0004011F">
            <w:pPr>
              <w:rPr>
                <w:sz w:val="20"/>
                <w:szCs w:val="20"/>
              </w:rPr>
            </w:pPr>
            <w:r w:rsidRPr="00FB58DC">
              <w:rPr>
                <w:sz w:val="20"/>
                <w:szCs w:val="20"/>
              </w:rPr>
              <w:t>Physicians</w:t>
            </w:r>
          </w:p>
        </w:tc>
        <w:tc>
          <w:tcPr>
            <w:tcW w:w="866" w:type="dxa"/>
          </w:tcPr>
          <w:p w:rsidR="00CE0D3F" w:rsidRPr="00FB58DC" w:rsidRDefault="00CE0D3F" w:rsidP="0004011F">
            <w:pPr>
              <w:rPr>
                <w:sz w:val="20"/>
                <w:szCs w:val="20"/>
              </w:rPr>
            </w:pPr>
            <w:r w:rsidRPr="00FB58DC">
              <w:rPr>
                <w:sz w:val="20"/>
                <w:szCs w:val="20"/>
              </w:rPr>
              <w:t>0.46</w:t>
            </w:r>
          </w:p>
        </w:tc>
        <w:tc>
          <w:tcPr>
            <w:tcW w:w="1400" w:type="dxa"/>
          </w:tcPr>
          <w:p w:rsidR="00CE0D3F" w:rsidRPr="00FB58DC" w:rsidRDefault="00CE0D3F" w:rsidP="0004011F">
            <w:pPr>
              <w:rPr>
                <w:sz w:val="20"/>
                <w:szCs w:val="20"/>
              </w:rPr>
            </w:pPr>
            <w:r w:rsidRPr="00FB58DC">
              <w:rPr>
                <w:sz w:val="20"/>
                <w:szCs w:val="20"/>
              </w:rPr>
              <w:t xml:space="preserve">High school </w:t>
            </w:r>
          </w:p>
        </w:tc>
        <w:tc>
          <w:tcPr>
            <w:tcW w:w="1980" w:type="dxa"/>
          </w:tcPr>
          <w:p w:rsidR="00CE0D3F" w:rsidRPr="00FB58DC" w:rsidRDefault="00CE0D3F" w:rsidP="0004011F">
            <w:pPr>
              <w:rPr>
                <w:sz w:val="20"/>
                <w:szCs w:val="20"/>
              </w:rPr>
            </w:pPr>
            <w:r w:rsidRPr="00FB58DC">
              <w:rPr>
                <w:sz w:val="20"/>
                <w:szCs w:val="20"/>
              </w:rPr>
              <w:t>Accreditation standards include lecturer to student ratio to control admission</w:t>
            </w:r>
          </w:p>
        </w:tc>
        <w:tc>
          <w:tcPr>
            <w:tcW w:w="1080" w:type="dxa"/>
          </w:tcPr>
          <w:p w:rsidR="00CE0D3F" w:rsidRPr="00FB58DC" w:rsidRDefault="00CE0D3F" w:rsidP="0004011F">
            <w:pPr>
              <w:rPr>
                <w:sz w:val="20"/>
                <w:szCs w:val="20"/>
              </w:rPr>
            </w:pPr>
            <w:r w:rsidRPr="00FB58DC">
              <w:rPr>
                <w:sz w:val="20"/>
                <w:szCs w:val="20"/>
              </w:rPr>
              <w:t>No data</w:t>
            </w:r>
          </w:p>
        </w:tc>
        <w:tc>
          <w:tcPr>
            <w:tcW w:w="1890" w:type="dxa"/>
          </w:tcPr>
          <w:p w:rsidR="00CE0D3F" w:rsidRPr="00FB58DC" w:rsidRDefault="00CE0D3F" w:rsidP="0004011F">
            <w:pPr>
              <w:rPr>
                <w:sz w:val="20"/>
                <w:szCs w:val="20"/>
              </w:rPr>
            </w:pPr>
            <w:r w:rsidRPr="00FB58DC">
              <w:rPr>
                <w:sz w:val="20"/>
                <w:szCs w:val="20"/>
              </w:rPr>
              <w:t xml:space="preserve">3.5 </w:t>
            </w:r>
            <w:proofErr w:type="spellStart"/>
            <w:r w:rsidRPr="00FB58DC">
              <w:rPr>
                <w:sz w:val="20"/>
                <w:szCs w:val="20"/>
              </w:rPr>
              <w:t>yr</w:t>
            </w:r>
            <w:proofErr w:type="spellEnd"/>
            <w:r w:rsidRPr="00FB58DC">
              <w:rPr>
                <w:sz w:val="20"/>
                <w:szCs w:val="20"/>
              </w:rPr>
              <w:t xml:space="preserve"> undergrad + 2 </w:t>
            </w:r>
            <w:proofErr w:type="spellStart"/>
            <w:r w:rsidRPr="00FB58DC">
              <w:rPr>
                <w:sz w:val="20"/>
                <w:szCs w:val="20"/>
              </w:rPr>
              <w:t>yr</w:t>
            </w:r>
            <w:proofErr w:type="spellEnd"/>
            <w:r w:rsidRPr="00FB58DC">
              <w:rPr>
                <w:sz w:val="20"/>
                <w:szCs w:val="20"/>
              </w:rPr>
              <w:t xml:space="preserve"> professional training</w:t>
            </w:r>
          </w:p>
        </w:tc>
        <w:tc>
          <w:tcPr>
            <w:tcW w:w="1350" w:type="dxa"/>
          </w:tcPr>
          <w:p w:rsidR="00CE0D3F" w:rsidRPr="00FB58DC" w:rsidRDefault="00CE0D3F" w:rsidP="0004011F">
            <w:pPr>
              <w:rPr>
                <w:sz w:val="20"/>
                <w:szCs w:val="20"/>
              </w:rPr>
            </w:pPr>
            <w:r w:rsidRPr="00FB58DC">
              <w:rPr>
                <w:sz w:val="20"/>
                <w:szCs w:val="20"/>
              </w:rPr>
              <w:t xml:space="preserve">Around 10,000 </w:t>
            </w:r>
          </w:p>
        </w:tc>
      </w:tr>
      <w:tr w:rsidR="00CE0D3F" w:rsidRPr="00FB58DC" w:rsidTr="00293010">
        <w:trPr>
          <w:cantSplit/>
          <w:trHeight w:val="1547"/>
        </w:trPr>
        <w:tc>
          <w:tcPr>
            <w:tcW w:w="1424" w:type="dxa"/>
          </w:tcPr>
          <w:p w:rsidR="00CE0D3F" w:rsidRPr="00FB58DC" w:rsidRDefault="00CE0D3F" w:rsidP="0004011F">
            <w:pPr>
              <w:rPr>
                <w:sz w:val="20"/>
                <w:szCs w:val="20"/>
              </w:rPr>
            </w:pPr>
            <w:r w:rsidRPr="00FB58DC">
              <w:rPr>
                <w:sz w:val="20"/>
                <w:szCs w:val="20"/>
              </w:rPr>
              <w:t>Nurses</w:t>
            </w:r>
          </w:p>
        </w:tc>
        <w:tc>
          <w:tcPr>
            <w:tcW w:w="866" w:type="dxa"/>
          </w:tcPr>
          <w:p w:rsidR="00CE0D3F" w:rsidRPr="00FB58DC" w:rsidRDefault="00CE0D3F" w:rsidP="0004011F">
            <w:pPr>
              <w:rPr>
                <w:sz w:val="20"/>
                <w:szCs w:val="20"/>
              </w:rPr>
            </w:pPr>
            <w:r w:rsidRPr="00FB58DC">
              <w:rPr>
                <w:sz w:val="20"/>
                <w:szCs w:val="20"/>
              </w:rPr>
              <w:t>1.2</w:t>
            </w:r>
          </w:p>
          <w:p w:rsidR="00CE0D3F" w:rsidRPr="00FB58DC" w:rsidRDefault="00CE0D3F" w:rsidP="0004011F">
            <w:pPr>
              <w:rPr>
                <w:sz w:val="20"/>
                <w:szCs w:val="20"/>
              </w:rPr>
            </w:pPr>
          </w:p>
        </w:tc>
        <w:tc>
          <w:tcPr>
            <w:tcW w:w="1400" w:type="dxa"/>
          </w:tcPr>
          <w:p w:rsidR="00CE0D3F" w:rsidRPr="00FB58DC" w:rsidRDefault="00CE0D3F" w:rsidP="0004011F">
            <w:pPr>
              <w:rPr>
                <w:sz w:val="20"/>
                <w:szCs w:val="20"/>
              </w:rPr>
            </w:pPr>
            <w:r w:rsidRPr="00FB58DC">
              <w:rPr>
                <w:sz w:val="20"/>
                <w:szCs w:val="20"/>
              </w:rPr>
              <w:t xml:space="preserve">High school </w:t>
            </w:r>
          </w:p>
        </w:tc>
        <w:tc>
          <w:tcPr>
            <w:tcW w:w="1980" w:type="dxa"/>
          </w:tcPr>
          <w:p w:rsidR="00CE0D3F" w:rsidRPr="00FB58DC" w:rsidRDefault="00CE0D3F" w:rsidP="0004011F">
            <w:pPr>
              <w:rPr>
                <w:b/>
                <w:sz w:val="20"/>
                <w:szCs w:val="20"/>
              </w:rPr>
            </w:pPr>
            <w:r w:rsidRPr="00FB58DC">
              <w:rPr>
                <w:sz w:val="20"/>
                <w:szCs w:val="20"/>
              </w:rPr>
              <w:t>Accreditation standards include lecturer to student ratio to control admission</w:t>
            </w:r>
          </w:p>
        </w:tc>
        <w:tc>
          <w:tcPr>
            <w:tcW w:w="1080" w:type="dxa"/>
          </w:tcPr>
          <w:p w:rsidR="00CE0D3F" w:rsidRPr="00FB58DC" w:rsidRDefault="00CE0D3F" w:rsidP="0004011F">
            <w:pPr>
              <w:rPr>
                <w:sz w:val="20"/>
                <w:szCs w:val="20"/>
              </w:rPr>
            </w:pPr>
            <w:r w:rsidRPr="00FB58DC">
              <w:rPr>
                <w:sz w:val="20"/>
                <w:szCs w:val="20"/>
              </w:rPr>
              <w:t>No data</w:t>
            </w:r>
          </w:p>
        </w:tc>
        <w:tc>
          <w:tcPr>
            <w:tcW w:w="1890" w:type="dxa"/>
          </w:tcPr>
          <w:p w:rsidR="00CE0D3F" w:rsidRPr="00FB58DC" w:rsidRDefault="00CE0D3F" w:rsidP="0004011F">
            <w:pPr>
              <w:rPr>
                <w:sz w:val="20"/>
                <w:szCs w:val="20"/>
              </w:rPr>
            </w:pPr>
            <w:r w:rsidRPr="00FB58DC">
              <w:rPr>
                <w:sz w:val="20"/>
                <w:szCs w:val="20"/>
              </w:rPr>
              <w:t xml:space="preserve">Vocational nurse: 3 </w:t>
            </w:r>
            <w:proofErr w:type="spellStart"/>
            <w:r w:rsidRPr="00FB58DC">
              <w:rPr>
                <w:sz w:val="20"/>
                <w:szCs w:val="20"/>
              </w:rPr>
              <w:t>yr</w:t>
            </w:r>
            <w:proofErr w:type="spellEnd"/>
            <w:r w:rsidRPr="00FB58DC">
              <w:rPr>
                <w:sz w:val="20"/>
                <w:szCs w:val="20"/>
              </w:rPr>
              <w:t xml:space="preserve"> training.</w:t>
            </w:r>
          </w:p>
          <w:p w:rsidR="00CE0D3F" w:rsidRPr="00FB58DC" w:rsidRDefault="00CE0D3F" w:rsidP="0004011F">
            <w:pPr>
              <w:rPr>
                <w:sz w:val="20"/>
                <w:szCs w:val="20"/>
              </w:rPr>
            </w:pPr>
            <w:r w:rsidRPr="00FB58DC">
              <w:rPr>
                <w:sz w:val="20"/>
                <w:szCs w:val="20"/>
              </w:rPr>
              <w:t xml:space="preserve">Registered nurse: 4 </w:t>
            </w:r>
            <w:proofErr w:type="spellStart"/>
            <w:r w:rsidRPr="00FB58DC">
              <w:rPr>
                <w:sz w:val="20"/>
                <w:szCs w:val="20"/>
              </w:rPr>
              <w:t>yr</w:t>
            </w:r>
            <w:proofErr w:type="spellEnd"/>
            <w:r w:rsidRPr="00FB58DC">
              <w:rPr>
                <w:sz w:val="20"/>
                <w:szCs w:val="20"/>
              </w:rPr>
              <w:t xml:space="preserve"> undergrad + 1 </w:t>
            </w:r>
            <w:proofErr w:type="spellStart"/>
            <w:r w:rsidRPr="00FB58DC">
              <w:rPr>
                <w:sz w:val="20"/>
                <w:szCs w:val="20"/>
              </w:rPr>
              <w:t>yr</w:t>
            </w:r>
            <w:proofErr w:type="spellEnd"/>
            <w:r w:rsidRPr="00FB58DC">
              <w:rPr>
                <w:sz w:val="20"/>
                <w:szCs w:val="20"/>
              </w:rPr>
              <w:t xml:space="preserve"> professional training</w:t>
            </w:r>
          </w:p>
        </w:tc>
        <w:tc>
          <w:tcPr>
            <w:tcW w:w="1350" w:type="dxa"/>
          </w:tcPr>
          <w:p w:rsidR="00CE0D3F" w:rsidRPr="00FB58DC" w:rsidRDefault="00CE0D3F" w:rsidP="0004011F">
            <w:pPr>
              <w:rPr>
                <w:sz w:val="20"/>
                <w:szCs w:val="20"/>
              </w:rPr>
            </w:pPr>
            <w:r w:rsidRPr="00FB58DC">
              <w:rPr>
                <w:sz w:val="20"/>
                <w:szCs w:val="20"/>
              </w:rPr>
              <w:t>Total around 33,700</w:t>
            </w:r>
          </w:p>
        </w:tc>
      </w:tr>
      <w:tr w:rsidR="00CE0D3F" w:rsidRPr="00FB58DC" w:rsidTr="00293010">
        <w:trPr>
          <w:cantSplit/>
        </w:trPr>
        <w:tc>
          <w:tcPr>
            <w:tcW w:w="1424" w:type="dxa"/>
          </w:tcPr>
          <w:p w:rsidR="00CE0D3F" w:rsidRPr="00FB58DC" w:rsidRDefault="00CE0D3F" w:rsidP="0004011F">
            <w:pPr>
              <w:rPr>
                <w:sz w:val="20"/>
                <w:szCs w:val="20"/>
              </w:rPr>
            </w:pPr>
            <w:r w:rsidRPr="00FB58DC">
              <w:rPr>
                <w:sz w:val="20"/>
                <w:szCs w:val="20"/>
              </w:rPr>
              <w:lastRenderedPageBreak/>
              <w:t>Midwives</w:t>
            </w:r>
          </w:p>
        </w:tc>
        <w:tc>
          <w:tcPr>
            <w:tcW w:w="866" w:type="dxa"/>
          </w:tcPr>
          <w:p w:rsidR="00CE0D3F" w:rsidRPr="00FB58DC" w:rsidRDefault="00CE0D3F" w:rsidP="0004011F">
            <w:pPr>
              <w:rPr>
                <w:sz w:val="20"/>
                <w:szCs w:val="20"/>
              </w:rPr>
            </w:pPr>
            <w:r w:rsidRPr="00FB58DC">
              <w:rPr>
                <w:sz w:val="20"/>
                <w:szCs w:val="20"/>
              </w:rPr>
              <w:t>0.56</w:t>
            </w:r>
          </w:p>
        </w:tc>
        <w:tc>
          <w:tcPr>
            <w:tcW w:w="1400" w:type="dxa"/>
          </w:tcPr>
          <w:p w:rsidR="00CE0D3F" w:rsidRPr="00FB58DC" w:rsidRDefault="00CE0D3F" w:rsidP="0004011F">
            <w:pPr>
              <w:rPr>
                <w:sz w:val="20"/>
                <w:szCs w:val="20"/>
              </w:rPr>
            </w:pPr>
            <w:r w:rsidRPr="00FB58DC">
              <w:rPr>
                <w:sz w:val="20"/>
                <w:szCs w:val="20"/>
              </w:rPr>
              <w:t>High school</w:t>
            </w:r>
          </w:p>
        </w:tc>
        <w:tc>
          <w:tcPr>
            <w:tcW w:w="1980" w:type="dxa"/>
          </w:tcPr>
          <w:p w:rsidR="00CE0D3F" w:rsidRPr="00FB58DC" w:rsidRDefault="00CE0D3F" w:rsidP="0004011F">
            <w:pPr>
              <w:rPr>
                <w:b/>
                <w:sz w:val="20"/>
                <w:szCs w:val="20"/>
              </w:rPr>
            </w:pPr>
            <w:r w:rsidRPr="00FB58DC">
              <w:rPr>
                <w:sz w:val="20"/>
                <w:szCs w:val="20"/>
              </w:rPr>
              <w:t>Accreditation standards include lecturer to student ratio to control admission</w:t>
            </w:r>
          </w:p>
        </w:tc>
        <w:tc>
          <w:tcPr>
            <w:tcW w:w="1080" w:type="dxa"/>
          </w:tcPr>
          <w:p w:rsidR="00CE0D3F" w:rsidRPr="00FB58DC" w:rsidRDefault="00CE0D3F" w:rsidP="0004011F">
            <w:pPr>
              <w:rPr>
                <w:sz w:val="20"/>
                <w:szCs w:val="20"/>
              </w:rPr>
            </w:pPr>
            <w:r w:rsidRPr="00FB58DC">
              <w:rPr>
                <w:sz w:val="20"/>
                <w:szCs w:val="20"/>
              </w:rPr>
              <w:t>No data</w:t>
            </w:r>
          </w:p>
        </w:tc>
        <w:tc>
          <w:tcPr>
            <w:tcW w:w="1890" w:type="dxa"/>
          </w:tcPr>
          <w:p w:rsidR="00CE0D3F" w:rsidRPr="00FB58DC" w:rsidRDefault="00CE0D3F" w:rsidP="0004011F">
            <w:pPr>
              <w:rPr>
                <w:sz w:val="20"/>
                <w:szCs w:val="20"/>
              </w:rPr>
            </w:pPr>
            <w:r w:rsidRPr="00FB58DC">
              <w:rPr>
                <w:sz w:val="20"/>
                <w:szCs w:val="20"/>
              </w:rPr>
              <w:t xml:space="preserve">Vocational midwife: 3 </w:t>
            </w:r>
            <w:proofErr w:type="spellStart"/>
            <w:r w:rsidRPr="00FB58DC">
              <w:rPr>
                <w:sz w:val="20"/>
                <w:szCs w:val="20"/>
              </w:rPr>
              <w:t>yr</w:t>
            </w:r>
            <w:proofErr w:type="spellEnd"/>
            <w:r w:rsidRPr="00FB58DC">
              <w:rPr>
                <w:sz w:val="20"/>
                <w:szCs w:val="20"/>
              </w:rPr>
              <w:t xml:space="preserve"> training</w:t>
            </w:r>
          </w:p>
        </w:tc>
        <w:tc>
          <w:tcPr>
            <w:tcW w:w="1350" w:type="dxa"/>
          </w:tcPr>
          <w:p w:rsidR="00CE0D3F" w:rsidRPr="00FB58DC" w:rsidRDefault="00CE0D3F" w:rsidP="0004011F">
            <w:pPr>
              <w:rPr>
                <w:sz w:val="20"/>
                <w:szCs w:val="20"/>
              </w:rPr>
            </w:pPr>
            <w:r w:rsidRPr="00FB58DC">
              <w:rPr>
                <w:sz w:val="20"/>
                <w:szCs w:val="20"/>
              </w:rPr>
              <w:t>Total around 21,200</w:t>
            </w:r>
          </w:p>
        </w:tc>
      </w:tr>
      <w:tr w:rsidR="00CE0D3F" w:rsidRPr="00FB58DC" w:rsidTr="00293010">
        <w:trPr>
          <w:cantSplit/>
        </w:trPr>
        <w:tc>
          <w:tcPr>
            <w:tcW w:w="1424" w:type="dxa"/>
          </w:tcPr>
          <w:p w:rsidR="00CE0D3F" w:rsidRPr="00FB58DC" w:rsidRDefault="00CE0D3F" w:rsidP="0004011F">
            <w:pPr>
              <w:rPr>
                <w:sz w:val="20"/>
                <w:szCs w:val="20"/>
              </w:rPr>
            </w:pPr>
            <w:r w:rsidRPr="00FB58DC">
              <w:rPr>
                <w:sz w:val="20"/>
                <w:szCs w:val="20"/>
              </w:rPr>
              <w:t>Community health workers</w:t>
            </w:r>
          </w:p>
        </w:tc>
        <w:tc>
          <w:tcPr>
            <w:tcW w:w="866" w:type="dxa"/>
          </w:tcPr>
          <w:p w:rsidR="00CE0D3F" w:rsidRPr="00FB58DC" w:rsidRDefault="00CE0D3F" w:rsidP="0004011F">
            <w:pPr>
              <w:rPr>
                <w:sz w:val="20"/>
                <w:szCs w:val="20"/>
              </w:rPr>
            </w:pPr>
            <w:r w:rsidRPr="00FB58DC">
              <w:rPr>
                <w:sz w:val="20"/>
                <w:szCs w:val="20"/>
              </w:rPr>
              <w:t>No data</w:t>
            </w:r>
          </w:p>
        </w:tc>
        <w:tc>
          <w:tcPr>
            <w:tcW w:w="1400" w:type="dxa"/>
          </w:tcPr>
          <w:p w:rsidR="00CE0D3F" w:rsidRPr="00FB58DC" w:rsidRDefault="00CE0D3F" w:rsidP="0004011F">
            <w:pPr>
              <w:rPr>
                <w:sz w:val="20"/>
                <w:szCs w:val="20"/>
              </w:rPr>
            </w:pPr>
            <w:r w:rsidRPr="00FB58DC">
              <w:rPr>
                <w:sz w:val="20"/>
                <w:szCs w:val="20"/>
              </w:rPr>
              <w:t>Minimum elementary school</w:t>
            </w:r>
          </w:p>
        </w:tc>
        <w:tc>
          <w:tcPr>
            <w:tcW w:w="1980" w:type="dxa"/>
          </w:tcPr>
          <w:p w:rsidR="00CE0D3F" w:rsidRPr="00FB58DC" w:rsidRDefault="00CE0D3F" w:rsidP="0004011F">
            <w:pPr>
              <w:rPr>
                <w:sz w:val="20"/>
                <w:szCs w:val="20"/>
              </w:rPr>
            </w:pPr>
            <w:r w:rsidRPr="00FB58DC">
              <w:rPr>
                <w:sz w:val="20"/>
                <w:szCs w:val="20"/>
              </w:rPr>
              <w:t xml:space="preserve">Recommend 5 cadres per </w:t>
            </w:r>
            <w:proofErr w:type="spellStart"/>
            <w:r w:rsidRPr="00FB58DC">
              <w:rPr>
                <w:sz w:val="20"/>
                <w:szCs w:val="20"/>
              </w:rPr>
              <w:t>Posyandu</w:t>
            </w:r>
            <w:proofErr w:type="spellEnd"/>
          </w:p>
        </w:tc>
        <w:tc>
          <w:tcPr>
            <w:tcW w:w="1080" w:type="dxa"/>
          </w:tcPr>
          <w:p w:rsidR="00CE0D3F" w:rsidRPr="00FB58DC" w:rsidRDefault="00CE0D3F" w:rsidP="0004011F">
            <w:pPr>
              <w:rPr>
                <w:sz w:val="20"/>
                <w:szCs w:val="20"/>
              </w:rPr>
            </w:pPr>
            <w:r w:rsidRPr="00FB58DC">
              <w:rPr>
                <w:sz w:val="20"/>
                <w:szCs w:val="20"/>
              </w:rPr>
              <w:t>No data</w:t>
            </w:r>
          </w:p>
        </w:tc>
        <w:tc>
          <w:tcPr>
            <w:tcW w:w="1890" w:type="dxa"/>
          </w:tcPr>
          <w:p w:rsidR="00CE0D3F" w:rsidRPr="00FB58DC" w:rsidRDefault="00CE0D3F" w:rsidP="0004011F">
            <w:pPr>
              <w:rPr>
                <w:sz w:val="20"/>
                <w:szCs w:val="20"/>
              </w:rPr>
            </w:pPr>
            <w:r w:rsidRPr="00FB58DC">
              <w:rPr>
                <w:sz w:val="20"/>
                <w:szCs w:val="20"/>
              </w:rPr>
              <w:t>No standard</w:t>
            </w:r>
          </w:p>
        </w:tc>
        <w:tc>
          <w:tcPr>
            <w:tcW w:w="1350" w:type="dxa"/>
          </w:tcPr>
          <w:p w:rsidR="00CE0D3F" w:rsidRPr="00FB58DC" w:rsidRDefault="00CE0D3F" w:rsidP="0004011F">
            <w:pPr>
              <w:rPr>
                <w:sz w:val="20"/>
                <w:szCs w:val="20"/>
              </w:rPr>
            </w:pPr>
            <w:r w:rsidRPr="00FB58DC">
              <w:rPr>
                <w:sz w:val="20"/>
                <w:szCs w:val="20"/>
              </w:rPr>
              <w:t>N/A</w:t>
            </w:r>
          </w:p>
        </w:tc>
      </w:tr>
    </w:tbl>
    <w:p w:rsidR="00CE0D3F" w:rsidRPr="00547AE4" w:rsidRDefault="00CE0D3F" w:rsidP="00CE0D3F">
      <w:pPr>
        <w:pStyle w:val="Source"/>
      </w:pPr>
      <w:r w:rsidRPr="00547AE4">
        <w:t xml:space="preserve">Source: MOH. </w:t>
      </w:r>
    </w:p>
    <w:p w:rsidR="00CE0D3F" w:rsidRPr="00547AE4" w:rsidRDefault="00CE0D3F" w:rsidP="00CE0D3F">
      <w:pPr>
        <w:pStyle w:val="Source"/>
      </w:pPr>
      <w:r w:rsidRPr="00547AE4">
        <w:t xml:space="preserve">Note: </w:t>
      </w:r>
      <w:proofErr w:type="spellStart"/>
      <w:r w:rsidRPr="00547AE4">
        <w:t>Posyandu</w:t>
      </w:r>
      <w:proofErr w:type="spellEnd"/>
      <w:r>
        <w:t>—</w:t>
      </w:r>
      <w:r w:rsidRPr="00547AE4">
        <w:t>integrated health services post run once a month by the community, providing maternal and child health services including growth monitoring, immunization, antenatal care, vitamin A, and counseling.</w:t>
      </w:r>
    </w:p>
    <w:p w:rsidR="00CE0D3F" w:rsidRDefault="00CE0D3F" w:rsidP="00CE0D3F">
      <w:pPr>
        <w:pStyle w:val="Heading3"/>
      </w:pPr>
    </w:p>
    <w:p w:rsidR="00CE0D3F" w:rsidRPr="001B51D1" w:rsidRDefault="00CE0D3F" w:rsidP="00FB58DC">
      <w:pPr>
        <w:pStyle w:val="Heading3"/>
      </w:pPr>
      <w:r w:rsidRPr="001B51D1">
        <w:t>2.</w:t>
      </w:r>
      <w:r w:rsidRPr="001B51D1">
        <w:tab/>
        <w:t>Labor market dynamics</w:t>
      </w:r>
    </w:p>
    <w:p w:rsidR="00CE0D3F" w:rsidRPr="001B51D1" w:rsidRDefault="00CE0D3F" w:rsidP="00CE0D3F">
      <w:pPr>
        <w:pStyle w:val="BodyText0"/>
        <w:jc w:val="both"/>
      </w:pPr>
      <w:r w:rsidRPr="001B51D1">
        <w:t xml:space="preserve">The key feature of labor market dynamics is that supply of health workers has been rapidly increasing, but still not enough to meet demand. The government plans to achieve 1 physician per 1,000 nationally by 2019, the year when Indonesia is supposed to reach UHC. If production remains at the current level of around 10,000 doctors per year </w:t>
      </w:r>
      <w:r>
        <w:t xml:space="preserve">the </w:t>
      </w:r>
      <w:r w:rsidRPr="001B51D1">
        <w:t xml:space="preserve">MOH will be able to meet the 2014 target of 0.5 </w:t>
      </w:r>
      <w:proofErr w:type="gramStart"/>
      <w:r w:rsidRPr="001B51D1">
        <w:t>physician</w:t>
      </w:r>
      <w:proofErr w:type="gramEnd"/>
      <w:r w:rsidRPr="001B51D1">
        <w:t xml:space="preserve"> per 1,000. But to meet </w:t>
      </w:r>
      <w:r>
        <w:t xml:space="preserve">the </w:t>
      </w:r>
      <w:r w:rsidRPr="001B51D1">
        <w:t>2019</w:t>
      </w:r>
      <w:r>
        <w:t xml:space="preserve"> target</w:t>
      </w:r>
      <w:r w:rsidRPr="001B51D1">
        <w:t xml:space="preserve">, Indonesia will need 130,000 doctors between 2014 and 2019. </w:t>
      </w:r>
      <w:r>
        <w:t xml:space="preserve">The </w:t>
      </w:r>
      <w:r w:rsidRPr="001B51D1">
        <w:t>MOH estimates that an additional 118,788 health workers were needed at hospitals in 2012. The largest shortfall was nurses: 87,874 additional nurses, or 74</w:t>
      </w:r>
      <w:r>
        <w:t xml:space="preserve"> </w:t>
      </w:r>
      <w:r w:rsidRPr="001B51D1">
        <w:t>percent of the total shortfall, were needed at hospital level. The second</w:t>
      </w:r>
      <w:r>
        <w:t>-</w:t>
      </w:r>
      <w:r w:rsidRPr="001B51D1">
        <w:t>largest cohort gap to be fi</w:t>
      </w:r>
      <w:r>
        <w:t>lled at hospitals was midwives.</w:t>
      </w:r>
      <w:r w:rsidRPr="001B51D1">
        <w:t xml:space="preserve"> There is some evidence that the dramatic increase in provision in the private sector has relieved some access pressures in the public sector.</w:t>
      </w:r>
    </w:p>
    <w:p w:rsidR="00CE0D3F" w:rsidRPr="001B51D1" w:rsidRDefault="00CE0D3F" w:rsidP="00DA63A7">
      <w:pPr>
        <w:pStyle w:val="Heading3"/>
      </w:pPr>
      <w:r>
        <w:t>3</w:t>
      </w:r>
      <w:r w:rsidRPr="001B51D1">
        <w:t>.</w:t>
      </w:r>
      <w:r w:rsidRPr="001B51D1">
        <w:tab/>
        <w:t>Flexi</w:t>
      </w:r>
      <w:r w:rsidRPr="00BF64A5">
        <w:t>b</w:t>
      </w:r>
      <w:r w:rsidRPr="001B51D1">
        <w:t xml:space="preserve">ility of </w:t>
      </w:r>
      <w:r>
        <w:t xml:space="preserve">the </w:t>
      </w:r>
      <w:r w:rsidRPr="001B51D1">
        <w:t>HRH workforce</w:t>
      </w:r>
    </w:p>
    <w:p w:rsidR="00CE0D3F" w:rsidRPr="001B51D1" w:rsidRDefault="00CE0D3F" w:rsidP="00CE0D3F">
      <w:pPr>
        <w:pStyle w:val="BodyText0"/>
        <w:jc w:val="both"/>
        <w:rPr>
          <w:lang w:eastAsia="ja-JP"/>
        </w:rPr>
      </w:pPr>
      <w:r w:rsidRPr="00547AE4">
        <w:t>The public–private dual practice system in Indonesia provides flexibility and constraints on the HRH workforce.</w:t>
      </w:r>
      <w:r w:rsidRPr="001B51D1">
        <w:rPr>
          <w:b/>
        </w:rPr>
        <w:t xml:space="preserve"> </w:t>
      </w:r>
      <w:r w:rsidRPr="001B51D1">
        <w:t>On the one hand, there is a good deal of flexibility because dual practice deliberately allows medical staff to practice in the public and private sectors. Health workers are allowed</w:t>
      </w:r>
      <w:r>
        <w:t>—</w:t>
      </w:r>
      <w:r w:rsidRPr="001B51D1">
        <w:t>even encouraged</w:t>
      </w:r>
      <w:r>
        <w:t>—</w:t>
      </w:r>
      <w:r w:rsidRPr="001B51D1">
        <w:t>to work simultaneously in the public sector as well as private practice of their choice. On the other, the need to generate private sector income and maintain clinical skills pushes health workers to urban settings and hospitals, reducing the overall flexibility of the health workforce in terms of geographic distribution.</w:t>
      </w:r>
    </w:p>
    <w:p w:rsidR="00CE0D3F" w:rsidRPr="00A861A8" w:rsidRDefault="00CE0D3F" w:rsidP="00DA63A7">
      <w:pPr>
        <w:pStyle w:val="Heading2"/>
        <w:rPr>
          <w:rFonts w:ascii="Times New Roman" w:hAnsi="Times New Roman" w:cs="Times New Roman"/>
        </w:rPr>
      </w:pPr>
      <w:r w:rsidRPr="001B51D1">
        <w:t>D.</w:t>
      </w:r>
      <w:r w:rsidRPr="001B51D1">
        <w:tab/>
      </w:r>
      <w:r w:rsidRPr="00A861A8">
        <w:rPr>
          <w:rFonts w:ascii="Times New Roman" w:hAnsi="Times New Roman" w:cs="Times New Roman"/>
        </w:rPr>
        <w:t>Sequencing of reforms</w:t>
      </w:r>
    </w:p>
    <w:p w:rsidR="00CE0D3F" w:rsidRPr="001B51D1" w:rsidRDefault="00CE0D3F" w:rsidP="00CE0D3F">
      <w:pPr>
        <w:pStyle w:val="BodyText0"/>
        <w:jc w:val="both"/>
      </w:pPr>
      <w:r w:rsidRPr="001B51D1">
        <w:t xml:space="preserve">The pressure and impetus for health policy reform in Indonesia arose in part from the Asian financial crisis in the late 1990s, which resulted in higher costs of living and declines in real per </w:t>
      </w:r>
      <w:r w:rsidRPr="001B51D1">
        <w:lastRenderedPageBreak/>
        <w:t>capita income. The government worked to help the poor in coping with some of the impacts of the crisis, among other</w:t>
      </w:r>
      <w:r>
        <w:t xml:space="preserve"> thing</w:t>
      </w:r>
      <w:r w:rsidRPr="001B51D1">
        <w:t xml:space="preserve">s by </w:t>
      </w:r>
      <w:r>
        <w:t xml:space="preserve">using </w:t>
      </w:r>
      <w:r w:rsidRPr="001B51D1">
        <w:t>a portion of oil</w:t>
      </w:r>
      <w:r>
        <w:t>-</w:t>
      </w:r>
      <w:r w:rsidRPr="001B51D1">
        <w:t>subsidy savings to subsidize health care for the poor. Th</w:t>
      </w:r>
      <w:r>
        <w:t>is</w:t>
      </w:r>
      <w:r w:rsidRPr="001B51D1">
        <w:t xml:space="preserve"> created pressure for the government to establish a more sustainable solution for equitable care.</w:t>
      </w:r>
    </w:p>
    <w:p w:rsidR="00CE0D3F" w:rsidRPr="001B51D1" w:rsidRDefault="00CE0D3F" w:rsidP="00CE0D3F">
      <w:pPr>
        <w:pStyle w:val="BodyText0"/>
        <w:jc w:val="both"/>
      </w:pPr>
      <w:r w:rsidRPr="001B51D1">
        <w:t>The political process to reform</w:t>
      </w:r>
      <w:r>
        <w:t>ing</w:t>
      </w:r>
      <w:r w:rsidRPr="001B51D1">
        <w:t xml:space="preserve"> the system began in 2001, when the government established a team to review and reform the social security system. This was followed by issuance of a presidential decree to establish a task force to design a National Social Security System that was later embodied in the 2004 National Social Security System Law, a landmark legislative commitment that called specifically for the attainment of </w:t>
      </w:r>
      <w:r>
        <w:t>UHC</w:t>
      </w:r>
      <w:r w:rsidRPr="001B51D1">
        <w:t xml:space="preserve">. </w:t>
      </w:r>
    </w:p>
    <w:p w:rsidR="00CE0D3F" w:rsidRPr="001B51D1" w:rsidRDefault="00CE0D3F" w:rsidP="00CE0D3F">
      <w:pPr>
        <w:pStyle w:val="BodyText0"/>
        <w:jc w:val="both"/>
      </w:pPr>
      <w:r w:rsidRPr="001B51D1">
        <w:t xml:space="preserve">From creation of the task force to passage of the law was a rocky road. Various groups expressed opposition to the proposed new system centered largely </w:t>
      </w:r>
      <w:r>
        <w:t>on</w:t>
      </w:r>
      <w:r w:rsidRPr="001B51D1">
        <w:t xml:space="preserve"> the following issues: </w:t>
      </w:r>
    </w:p>
    <w:p w:rsidR="00CE0D3F" w:rsidRPr="001B51D1" w:rsidRDefault="00CE0D3F" w:rsidP="00CE0D3F">
      <w:pPr>
        <w:pStyle w:val="Bullet"/>
        <w:numPr>
          <w:ilvl w:val="0"/>
          <w:numId w:val="16"/>
        </w:numPr>
        <w:jc w:val="both"/>
      </w:pPr>
      <w:r w:rsidRPr="001B51D1">
        <w:t>The mandatory nature of the proposed system: employment associations, business chambers, and even several government officials believed this to be in violation of human rights;</w:t>
      </w:r>
    </w:p>
    <w:p w:rsidR="00CE0D3F" w:rsidRPr="001B51D1" w:rsidRDefault="00CE0D3F" w:rsidP="00CE0D3F">
      <w:pPr>
        <w:pStyle w:val="Bullet"/>
        <w:numPr>
          <w:ilvl w:val="0"/>
          <w:numId w:val="16"/>
        </w:numPr>
        <w:jc w:val="both"/>
      </w:pPr>
      <w:r w:rsidRPr="001B51D1">
        <w:t xml:space="preserve">The integration of social security systems: resistance from two existing insurance carriers slowed the submission of the </w:t>
      </w:r>
      <w:r>
        <w:t>law</w:t>
      </w:r>
      <w:r w:rsidRPr="001B51D1">
        <w:t>, until a compromise was reached that a council would be established to harmonize the diverse systems;</w:t>
      </w:r>
    </w:p>
    <w:p w:rsidR="00CE0D3F" w:rsidRPr="001B51D1" w:rsidRDefault="00CE0D3F" w:rsidP="00CE0D3F">
      <w:pPr>
        <w:pStyle w:val="Bullet"/>
        <w:numPr>
          <w:ilvl w:val="0"/>
          <w:numId w:val="16"/>
        </w:numPr>
        <w:jc w:val="both"/>
      </w:pPr>
      <w:r w:rsidRPr="001B51D1">
        <w:t>Too much government control: some bilateral aid organizations as well as the private sector agreed with the mandatory nature of the law but opposed the administration of the system, in which the government had a monopolistic role;</w:t>
      </w:r>
    </w:p>
    <w:p w:rsidR="00CE0D3F" w:rsidRPr="001B51D1" w:rsidRDefault="00CE0D3F" w:rsidP="00CE0D3F">
      <w:pPr>
        <w:pStyle w:val="Bullet"/>
        <w:numPr>
          <w:ilvl w:val="0"/>
          <w:numId w:val="16"/>
        </w:numPr>
        <w:jc w:val="both"/>
      </w:pPr>
      <w:r w:rsidRPr="001B51D1">
        <w:t>Shared contribution: private sector employees strongly opposed the proposal to share contributions between employers and employees</w:t>
      </w:r>
      <w:r>
        <w:t>;</w:t>
      </w:r>
    </w:p>
    <w:p w:rsidR="00CE0D3F" w:rsidRPr="001B51D1" w:rsidRDefault="00CE0D3F" w:rsidP="00CE0D3F">
      <w:pPr>
        <w:pStyle w:val="Bullet"/>
        <w:numPr>
          <w:ilvl w:val="0"/>
          <w:numId w:val="16"/>
        </w:numPr>
        <w:jc w:val="both"/>
      </w:pPr>
      <w:r w:rsidRPr="001B51D1">
        <w:t xml:space="preserve">Levels of contribution: employers feared the </w:t>
      </w:r>
      <w:r>
        <w:t>law</w:t>
      </w:r>
      <w:r w:rsidRPr="001B51D1">
        <w:t xml:space="preserve"> would cause them financial problems by increasing their contributions</w:t>
      </w:r>
      <w:r>
        <w:t>.</w:t>
      </w:r>
    </w:p>
    <w:p w:rsidR="00CE0D3F" w:rsidRPr="001B51D1" w:rsidRDefault="00CE0D3F" w:rsidP="00CE0D3F">
      <w:pPr>
        <w:pStyle w:val="BodyText0"/>
        <w:jc w:val="both"/>
      </w:pPr>
      <w:r w:rsidRPr="001B51D1">
        <w:t xml:space="preserve">Despite </w:t>
      </w:r>
      <w:r>
        <w:t xml:space="preserve">such </w:t>
      </w:r>
      <w:r w:rsidRPr="001B51D1">
        <w:t xml:space="preserve">opposition, the </w:t>
      </w:r>
      <w:r>
        <w:t>law</w:t>
      </w:r>
      <w:r w:rsidRPr="001B51D1">
        <w:t xml:space="preserve"> prevailed and the </w:t>
      </w:r>
      <w:r>
        <w:t>N</w:t>
      </w:r>
      <w:r w:rsidRPr="001B51D1">
        <w:t>ational Social Security Law (Law No.</w:t>
      </w:r>
      <w:r>
        <w:rPr>
          <w:rFonts w:ascii="Courier New" w:hAnsi="Courier New" w:cs="Courier New"/>
        </w:rPr>
        <w:t> </w:t>
      </w:r>
      <w:r w:rsidRPr="001B51D1">
        <w:t xml:space="preserve">40/2004) was signed by the president in 2004. Although most stakeholders considered the </w:t>
      </w:r>
      <w:r>
        <w:t>law</w:t>
      </w:r>
      <w:r w:rsidRPr="001B51D1">
        <w:t xml:space="preserve"> a positive development, some local governments challenged the </w:t>
      </w:r>
      <w:r>
        <w:t>law</w:t>
      </w:r>
      <w:r w:rsidRPr="001B51D1">
        <w:t xml:space="preserve"> in </w:t>
      </w:r>
      <w:r>
        <w:t xml:space="preserve">the </w:t>
      </w:r>
      <w:r w:rsidRPr="001B51D1">
        <w:t xml:space="preserve">Constitutional Court, decrying the monopolistic nature and claiming it went against the decentralization legislation. Six months later, the Court decided the </w:t>
      </w:r>
      <w:r>
        <w:t>law</w:t>
      </w:r>
      <w:r w:rsidRPr="001B51D1">
        <w:t xml:space="preserve"> was in line with the Constitution. </w:t>
      </w:r>
    </w:p>
    <w:p w:rsidR="00CE0D3F" w:rsidRPr="001B51D1" w:rsidRDefault="00CE0D3F" w:rsidP="00CE0D3F">
      <w:pPr>
        <w:pStyle w:val="BodyText0"/>
        <w:jc w:val="both"/>
      </w:pPr>
      <w:r>
        <w:t>The y</w:t>
      </w:r>
      <w:r w:rsidRPr="001B51D1">
        <w:t xml:space="preserve">ear 2005 saw the birth of </w:t>
      </w:r>
      <w:proofErr w:type="spellStart"/>
      <w:r w:rsidRPr="001B51D1">
        <w:t>Askeskin</w:t>
      </w:r>
      <w:proofErr w:type="spellEnd"/>
      <w:r w:rsidRPr="001B51D1">
        <w:t xml:space="preserve"> (now </w:t>
      </w:r>
      <w:proofErr w:type="spellStart"/>
      <w:r w:rsidRPr="001B51D1">
        <w:t>Jamkesmas</w:t>
      </w:r>
      <w:proofErr w:type="spellEnd"/>
      <w:r w:rsidRPr="001B51D1">
        <w:t xml:space="preserve">) providing free health care for the poor. The program was appropriately couched as part of the new </w:t>
      </w:r>
      <w:r>
        <w:t>law</w:t>
      </w:r>
      <w:r w:rsidRPr="001B51D1">
        <w:t xml:space="preserve">. </w:t>
      </w:r>
      <w:proofErr w:type="spellStart"/>
      <w:r w:rsidRPr="001B51D1">
        <w:t>Askeskin</w:t>
      </w:r>
      <w:proofErr w:type="spellEnd"/>
      <w:r w:rsidRPr="001B51D1">
        <w:t xml:space="preserve"> was declared an insurance program for the poor, initially administered by PT </w:t>
      </w:r>
      <w:proofErr w:type="spellStart"/>
      <w:r w:rsidRPr="001B51D1">
        <w:t>Askes</w:t>
      </w:r>
      <w:proofErr w:type="spellEnd"/>
      <w:r w:rsidRPr="001B51D1">
        <w:t xml:space="preserve">, the carrier of the civil servants’ insurance program. In 2007, </w:t>
      </w:r>
      <w:r>
        <w:t xml:space="preserve">a </w:t>
      </w:r>
      <w:r w:rsidRPr="001B51D1">
        <w:t xml:space="preserve">significant increase in beneficiaries led to </w:t>
      </w:r>
      <w:r>
        <w:t xml:space="preserve">a </w:t>
      </w:r>
      <w:r w:rsidRPr="001B51D1">
        <w:t>budget short</w:t>
      </w:r>
      <w:r>
        <w:t>fall</w:t>
      </w:r>
      <w:r w:rsidRPr="001B51D1">
        <w:t xml:space="preserve"> resulting in delayed payment of hospital claims. In 2008, the government decided to assign overall management of </w:t>
      </w:r>
      <w:proofErr w:type="spellStart"/>
      <w:r w:rsidRPr="001B51D1">
        <w:t>Jamkesmas</w:t>
      </w:r>
      <w:proofErr w:type="spellEnd"/>
      <w:r w:rsidRPr="001B51D1">
        <w:t xml:space="preserve"> to </w:t>
      </w:r>
      <w:r>
        <w:t>the MOH</w:t>
      </w:r>
      <w:r w:rsidRPr="001B51D1">
        <w:t xml:space="preserve">, while PT </w:t>
      </w:r>
      <w:proofErr w:type="spellStart"/>
      <w:r w:rsidRPr="001B51D1">
        <w:t>Askes</w:t>
      </w:r>
      <w:proofErr w:type="spellEnd"/>
      <w:r w:rsidRPr="001B51D1">
        <w:t xml:space="preserve"> continued to manage membership of the program, including issuance of membership cards. </w:t>
      </w:r>
    </w:p>
    <w:p w:rsidR="00CE0D3F" w:rsidRDefault="00CE0D3F" w:rsidP="00CE0D3F">
      <w:pPr>
        <w:pStyle w:val="BodyText0"/>
        <w:jc w:val="both"/>
      </w:pPr>
      <w:r w:rsidRPr="001B51D1">
        <w:t xml:space="preserve">All in all, despite the intense political debate and the early growing pains of the program, </w:t>
      </w:r>
      <w:proofErr w:type="spellStart"/>
      <w:r w:rsidRPr="001B51D1">
        <w:t>Jamkesmas</w:t>
      </w:r>
      <w:proofErr w:type="spellEnd"/>
      <w:r w:rsidRPr="001B51D1">
        <w:t xml:space="preserve"> is largely seen as an important part of Indonesia’s efforts to improve health care for the poor. </w:t>
      </w:r>
    </w:p>
    <w:p w:rsidR="00CE0D3F" w:rsidRDefault="00CE0D3F" w:rsidP="00CE0D3F">
      <w:pPr>
        <w:pStyle w:val="BodyText0"/>
      </w:pPr>
    </w:p>
    <w:p w:rsidR="00CE0D3F" w:rsidRPr="001B51D1" w:rsidRDefault="00CE0D3F" w:rsidP="00DA63A7">
      <w:pPr>
        <w:pStyle w:val="Heading1"/>
      </w:pPr>
      <w:proofErr w:type="gramStart"/>
      <w:r w:rsidRPr="001B51D1">
        <w:lastRenderedPageBreak/>
        <w:t>PART II.</w:t>
      </w:r>
      <w:proofErr w:type="gramEnd"/>
      <w:r w:rsidRPr="001B51D1">
        <w:t xml:space="preserve"> Lessons for Other </w:t>
      </w:r>
      <w:r w:rsidRPr="00DA63A7">
        <w:t>Countries</w:t>
      </w:r>
    </w:p>
    <w:p w:rsidR="00CE0D3F" w:rsidRPr="00A861A8" w:rsidRDefault="00CE0D3F" w:rsidP="00CE0D3F">
      <w:pPr>
        <w:pStyle w:val="Heading2"/>
        <w:rPr>
          <w:rFonts w:ascii="Andes" w:hAnsi="Andes"/>
        </w:rPr>
      </w:pPr>
      <w:r w:rsidRPr="001B51D1">
        <w:t>A.</w:t>
      </w:r>
      <w:r w:rsidRPr="001B51D1">
        <w:tab/>
      </w:r>
      <w:r w:rsidRPr="00A861A8">
        <w:rPr>
          <w:rFonts w:ascii="Andes" w:hAnsi="Andes"/>
        </w:rPr>
        <w:t>Current policy priorities, challenges, and opportunities</w:t>
      </w:r>
    </w:p>
    <w:p w:rsidR="00CE0D3F" w:rsidRPr="001B51D1" w:rsidRDefault="00CE0D3F" w:rsidP="00CE0D3F">
      <w:pPr>
        <w:pStyle w:val="Heading3"/>
      </w:pPr>
      <w:r w:rsidRPr="001B51D1">
        <w:t>1.</w:t>
      </w:r>
      <w:r w:rsidRPr="001B51D1">
        <w:tab/>
        <w:t>Current policy priorities</w:t>
      </w:r>
    </w:p>
    <w:p w:rsidR="00CE0D3F" w:rsidRPr="002528A4" w:rsidRDefault="00CE0D3F" w:rsidP="00CE0D3F">
      <w:pPr>
        <w:pStyle w:val="BodyText0"/>
        <w:jc w:val="both"/>
      </w:pPr>
      <w:r w:rsidRPr="002528A4">
        <w:t>The central policy priority is to achieve UHC under a single-payer umbrella covering all citizens by 2014 and achieve full UHC coverage by 2019. Health insurance coverage has increased sharply, from 15</w:t>
      </w:r>
      <w:r w:rsidRPr="002528A4">
        <w:rPr>
          <w:rFonts w:ascii="Courier New" w:hAnsi="Courier New" w:cs="Courier New"/>
        </w:rPr>
        <w:t> </w:t>
      </w:r>
      <w:r w:rsidRPr="002528A4">
        <w:t>percent in 1995 to 40</w:t>
      </w:r>
      <w:r w:rsidRPr="002528A4">
        <w:rPr>
          <w:rFonts w:ascii="Courier New" w:hAnsi="Courier New" w:cs="Courier New"/>
        </w:rPr>
        <w:t> </w:t>
      </w:r>
      <w:r w:rsidRPr="002528A4">
        <w:t>percent in 2011, particularly targeted at the poor. A key priority is to further expand coverage in ways that deliver good health outcomes and financial protection to the rest of the population—many of whom are in the informal sector—in a manner that is financially sustainable for the government. Other priorities as part of the national scale-up to UHC include the need to integrate the current health insurance program for the poor and near-poor—</w:t>
      </w:r>
      <w:proofErr w:type="spellStart"/>
      <w:r w:rsidRPr="002528A4">
        <w:t>Jamkesmas</w:t>
      </w:r>
      <w:proofErr w:type="spellEnd"/>
      <w:r w:rsidRPr="002528A4">
        <w:t>—with all other social insurance programs.</w:t>
      </w:r>
    </w:p>
    <w:p w:rsidR="00CE0D3F" w:rsidRPr="001B51D1" w:rsidRDefault="00CE0D3F" w:rsidP="00CE0D3F">
      <w:pPr>
        <w:pStyle w:val="Heading3"/>
      </w:pPr>
      <w:r w:rsidRPr="001B51D1">
        <w:t>2.</w:t>
      </w:r>
      <w:r w:rsidRPr="001B51D1">
        <w:tab/>
        <w:t>Challenges</w:t>
      </w:r>
    </w:p>
    <w:p w:rsidR="00CE0D3F" w:rsidRPr="002528A4" w:rsidRDefault="00CE0D3F" w:rsidP="00CE0D3F">
      <w:pPr>
        <w:pStyle w:val="BodyText0"/>
        <w:jc w:val="both"/>
      </w:pPr>
      <w:r w:rsidRPr="002528A4">
        <w:t xml:space="preserve">The overarching challenge is to achieve rapid scale-up of services, improved health outcomes, and increased financial protection in ways that are effective, efficient, equitable, and sustainable in a country as large and diverse as Indonesia. Like other middle-income countries, the country is facing the challenge of rapidly rising incidence of often preventable, chronic, and expensive to treat </w:t>
      </w:r>
      <w:proofErr w:type="spellStart"/>
      <w:r w:rsidRPr="002528A4">
        <w:t>noncommunicable</w:t>
      </w:r>
      <w:proofErr w:type="spellEnd"/>
      <w:r w:rsidRPr="002528A4">
        <w:t xml:space="preserve"> diseases while it still has an unfinished agenda of communicable diseases, especially tuberculosis, and </w:t>
      </w:r>
      <w:proofErr w:type="spellStart"/>
      <w:r w:rsidRPr="002528A4">
        <w:t>undernutrition</w:t>
      </w:r>
      <w:proofErr w:type="spellEnd"/>
      <w:r w:rsidRPr="002528A4">
        <w:t xml:space="preserve">. Like others, Indonesia also has many development needs: increasing government expenditure on health therefore needs to achieve value for money and be sustainable financially. </w:t>
      </w:r>
    </w:p>
    <w:p w:rsidR="00CE0D3F" w:rsidRPr="002528A4" w:rsidRDefault="00AC6089" w:rsidP="00CE0D3F">
      <w:pPr>
        <w:pStyle w:val="BodyText0"/>
        <w:jc w:val="both"/>
      </w:pPr>
      <w:proofErr w:type="gramStart"/>
      <w:r>
        <w:rPr>
          <w:b/>
        </w:rPr>
        <w:t xml:space="preserve">Expanding </w:t>
      </w:r>
      <w:r w:rsidR="00CE0D3F" w:rsidRPr="00AC6089">
        <w:rPr>
          <w:b/>
        </w:rPr>
        <w:t xml:space="preserve">the </w:t>
      </w:r>
      <w:r w:rsidR="00CE0D3F" w:rsidRPr="00AC6089">
        <w:rPr>
          <w:b/>
          <w:i/>
        </w:rPr>
        <w:t xml:space="preserve">number </w:t>
      </w:r>
      <w:r>
        <w:rPr>
          <w:b/>
          <w:i/>
        </w:rPr>
        <w:t xml:space="preserve">and availability </w:t>
      </w:r>
      <w:r w:rsidR="00CE0D3F" w:rsidRPr="00AC6089">
        <w:rPr>
          <w:b/>
        </w:rPr>
        <w:t xml:space="preserve">of </w:t>
      </w:r>
      <w:r>
        <w:rPr>
          <w:b/>
        </w:rPr>
        <w:t xml:space="preserve">qualified </w:t>
      </w:r>
      <w:r w:rsidR="00CE0D3F" w:rsidRPr="00AC6089">
        <w:rPr>
          <w:b/>
        </w:rPr>
        <w:t>health workers.</w:t>
      </w:r>
      <w:proofErr w:type="gramEnd"/>
      <w:r w:rsidR="00CE0D3F" w:rsidRPr="002528A4">
        <w:t xml:space="preserve"> </w:t>
      </w:r>
      <w:r>
        <w:t xml:space="preserve"> </w:t>
      </w:r>
      <w:r w:rsidR="00CE0D3F" w:rsidRPr="002528A4">
        <w:t xml:space="preserve">Despite rapid increases in the supply of health workers, there are still substantial staffing gaps. The number of doctors has increased annually but has barely kept up with population growth: the ratio of doctors to 1,000 </w:t>
      </w:r>
      <w:proofErr w:type="gramStart"/>
      <w:r w:rsidR="00CE0D3F" w:rsidRPr="002528A4">
        <w:t>population</w:t>
      </w:r>
      <w:proofErr w:type="gramEnd"/>
      <w:r w:rsidR="00CE0D3F" w:rsidRPr="002528A4">
        <w:t xml:space="preserve"> has increased only marginally from 0.43 in 2010 to 0.46 in 2013. Greater progress has been made with respect to increasing the relative targets for nurses and midwives. The MOH estimates that an additional 118,788 health workers were needed at hospitals in 2012. There are also significant gaps in key health worker positions at the primary care (</w:t>
      </w:r>
      <w:proofErr w:type="spellStart"/>
      <w:r w:rsidR="00CE0D3F" w:rsidRPr="002528A4">
        <w:rPr>
          <w:i/>
        </w:rPr>
        <w:t>puskesmas</w:t>
      </w:r>
      <w:proofErr w:type="spellEnd"/>
      <w:r w:rsidR="00CE0D3F" w:rsidRPr="002528A4">
        <w:t xml:space="preserve"> level). The shortage of nurses—despite large numbers of graduates—at hospitals and </w:t>
      </w:r>
      <w:proofErr w:type="spellStart"/>
      <w:r w:rsidR="00CE0D3F" w:rsidRPr="002528A4">
        <w:rPr>
          <w:i/>
        </w:rPr>
        <w:t>puskesmas</w:t>
      </w:r>
      <w:proofErr w:type="spellEnd"/>
      <w:r w:rsidR="00CE0D3F" w:rsidRPr="002528A4">
        <w:t xml:space="preserve"> is particularly notable. </w:t>
      </w:r>
    </w:p>
    <w:p w:rsidR="00CE0D3F" w:rsidRPr="002528A4" w:rsidRDefault="00CE0D3F" w:rsidP="00CE0D3F">
      <w:pPr>
        <w:pStyle w:val="BodyText0"/>
        <w:jc w:val="both"/>
      </w:pPr>
      <w:proofErr w:type="gramStart"/>
      <w:r w:rsidRPr="00AC6089">
        <w:rPr>
          <w:b/>
        </w:rPr>
        <w:t xml:space="preserve">Improving the </w:t>
      </w:r>
      <w:r w:rsidRPr="00AC6089">
        <w:rPr>
          <w:b/>
          <w:i/>
        </w:rPr>
        <w:t xml:space="preserve">distribution </w:t>
      </w:r>
      <w:r w:rsidRPr="00AC6089">
        <w:rPr>
          <w:b/>
        </w:rPr>
        <w:t>of health workers.</w:t>
      </w:r>
      <w:proofErr w:type="gramEnd"/>
      <w:r w:rsidRPr="002528A4">
        <w:t xml:space="preserve"> The government uses several programs to increase the availability of medical staff in rural and remote areas. These programs include higher financial incentives and shorter contract periods for rural and remote postings; recruitment based on ethnicity and location; and internship programs. Distribution of health workers to remote and rural areas has been improving. However, efforts need to be maintained: at this stage 30 of 33 provinces in Indonesia still do not have the WHO-recommended ratio of one doctor per 1,000 </w:t>
      </w:r>
      <w:proofErr w:type="gramStart"/>
      <w:r w:rsidRPr="002528A4">
        <w:t>population</w:t>
      </w:r>
      <w:proofErr w:type="gramEnd"/>
      <w:r w:rsidRPr="002528A4">
        <w:t>. The location of hospitals—many of which are concentrated in densely populated Jakarta, East, West, and Central Java—acts as a “pull” factor attracting health workers especially specialist doctors—who need the medical infrastructure that hospitals offer to practice their skills. For example, 100</w:t>
      </w:r>
      <w:r w:rsidRPr="002528A4">
        <w:rPr>
          <w:rFonts w:ascii="Courier New" w:hAnsi="Courier New" w:cs="Courier New"/>
        </w:rPr>
        <w:t> </w:t>
      </w:r>
      <w:r w:rsidRPr="002528A4">
        <w:t>percent of public hospitals in Jakarta had an anesthesia specialist, but in four provinces of Indonesia less than 20</w:t>
      </w:r>
      <w:r w:rsidRPr="002528A4">
        <w:rPr>
          <w:rFonts w:ascii="Courier New" w:hAnsi="Courier New" w:cs="Courier New"/>
        </w:rPr>
        <w:t> </w:t>
      </w:r>
      <w:r w:rsidRPr="002528A4">
        <w:t xml:space="preserve">percent of public hospitals </w:t>
      </w:r>
      <w:r w:rsidRPr="002528A4">
        <w:lastRenderedPageBreak/>
        <w:t>did (</w:t>
      </w:r>
      <w:proofErr w:type="spellStart"/>
      <w:r w:rsidRPr="002528A4">
        <w:t>Rifaskes</w:t>
      </w:r>
      <w:proofErr w:type="spellEnd"/>
      <w:r w:rsidRPr="002528A4">
        <w:rPr>
          <w:rStyle w:val="FootnoteReference"/>
        </w:rPr>
        <w:footnoteReference w:id="8"/>
      </w:r>
      <w:r w:rsidRPr="002528A4">
        <w:t xml:space="preserve"> 2011). The geographic location of medical schools can also reinforce the urban bias and </w:t>
      </w:r>
      <w:proofErr w:type="spellStart"/>
      <w:r w:rsidRPr="002528A4">
        <w:t>maldistribution</w:t>
      </w:r>
      <w:proofErr w:type="spellEnd"/>
      <w:r w:rsidRPr="002528A4">
        <w:t xml:space="preserve"> of health workers. Only a few schools had special programs for recruiting students from rural or underserved areas.</w:t>
      </w:r>
    </w:p>
    <w:p w:rsidR="00CE0D3F" w:rsidRPr="002528A4" w:rsidRDefault="00CE0D3F" w:rsidP="00CE0D3F">
      <w:pPr>
        <w:pStyle w:val="BodyText0"/>
        <w:jc w:val="both"/>
      </w:pPr>
      <w:proofErr w:type="gramStart"/>
      <w:r w:rsidRPr="00AC6089">
        <w:rPr>
          <w:b/>
        </w:rPr>
        <w:t xml:space="preserve">Improving the </w:t>
      </w:r>
      <w:r w:rsidRPr="00AC6089">
        <w:rPr>
          <w:b/>
          <w:i/>
        </w:rPr>
        <w:t xml:space="preserve">regulatory environment, overall quality </w:t>
      </w:r>
      <w:r w:rsidRPr="00AC6089">
        <w:rPr>
          <w:b/>
        </w:rPr>
        <w:t>of health workers, and responsiveness of the health system to changing needs.</w:t>
      </w:r>
      <w:proofErr w:type="gramEnd"/>
      <w:r w:rsidRPr="002528A4">
        <w:t xml:space="preserve"> The government in collaboration with the professional associations is reforming the accreditation system of health professional schools and standardizing the certification process of graduates. In 2012, 30 percent of medical schools, 60 percent of nursing schools, and 62 percent of midwifery schools are accredited. The dual practice (public–private) system provides flexibility for health workers and a source of income that government does not have to budget for. However, there is an ongoing need to strengthen the regulatory system: many specialists in provincial capital cities spend more time in private practice and less time in public hospitals than envisaged under the scheme. Medical schools do provide some initial training on UHC to prepare graduating health workers, but more intensive and nationally standardized training will be required in future as the country expands UHC. There is also a need to continually adjust the standards of competencies and the curriculum in response to the changes in disease burden.</w:t>
      </w:r>
    </w:p>
    <w:p w:rsidR="00CE0D3F" w:rsidRPr="002528A4" w:rsidRDefault="00CE0D3F" w:rsidP="00CE0D3F">
      <w:pPr>
        <w:pStyle w:val="BodyText0"/>
        <w:jc w:val="both"/>
      </w:pPr>
      <w:proofErr w:type="gramStart"/>
      <w:r w:rsidRPr="00AC6089">
        <w:rPr>
          <w:b/>
        </w:rPr>
        <w:t>Improving the</w:t>
      </w:r>
      <w:r w:rsidR="00AC6089" w:rsidRPr="00AC6089">
        <w:rPr>
          <w:b/>
        </w:rPr>
        <w:t xml:space="preserve"> financing of </w:t>
      </w:r>
      <w:r w:rsidRPr="00AC6089">
        <w:rPr>
          <w:b/>
        </w:rPr>
        <w:t>health systems.</w:t>
      </w:r>
      <w:proofErr w:type="gramEnd"/>
      <w:r w:rsidRPr="002528A4">
        <w:t xml:space="preserve"> Government expenditure on health has been expanding in absolute and relative terms. However current total, and public, health expenditures are still low relative to comparable countries. Financing streams will need to be consolidated and made more coherent to make UHC effective. Sources of income for doctors and other health providers are fragmented: there were recently 10 separate sources of income for specialist doctors. Importantly in the context of the movement toward UHC, income from insurance organizations was always the smallest contribution to overall income, providing less than 5</w:t>
      </w:r>
      <w:r w:rsidRPr="002528A4">
        <w:rPr>
          <w:rFonts w:ascii="Courier New" w:hAnsi="Courier New" w:cs="Courier New"/>
        </w:rPr>
        <w:t> </w:t>
      </w:r>
      <w:r w:rsidRPr="002528A4">
        <w:t>percent of total income.</w:t>
      </w:r>
    </w:p>
    <w:p w:rsidR="00CE0D3F" w:rsidRPr="001B51D1" w:rsidRDefault="00CE0D3F" w:rsidP="00CE0D3F">
      <w:pPr>
        <w:pStyle w:val="Heading3"/>
      </w:pPr>
      <w:r w:rsidRPr="001B51D1">
        <w:t>3.</w:t>
      </w:r>
      <w:r w:rsidRPr="001B51D1">
        <w:tab/>
        <w:t>Op</w:t>
      </w:r>
      <w:r w:rsidRPr="00BF64A5">
        <w:t>por</w:t>
      </w:r>
      <w:r w:rsidRPr="001B51D1">
        <w:t>tunities</w:t>
      </w:r>
    </w:p>
    <w:p w:rsidR="00CE0D3F" w:rsidRPr="002528A4" w:rsidRDefault="00CE0D3F" w:rsidP="00CE0D3F">
      <w:pPr>
        <w:pStyle w:val="BodyText0"/>
        <w:jc w:val="both"/>
      </w:pPr>
      <w:r w:rsidRPr="002528A4">
        <w:t xml:space="preserve">A key opportunity is that there is clear government leadership and commitment, and that many of the key building blocks for UHC are already in place. Since the 1970s, the government has constructed more than 9,500 health centers, 22,000 auxiliary health centers, and 800 public hospitals. There is an opportunity to expand the supply of health care for UHC further by harnessing the participation of the large number of private health providers. Most local governments have responded positively to </w:t>
      </w:r>
      <w:proofErr w:type="spellStart"/>
      <w:r w:rsidRPr="002528A4">
        <w:t>Jamkesmas</w:t>
      </w:r>
      <w:proofErr w:type="spellEnd"/>
      <w:r w:rsidRPr="002528A4">
        <w:t xml:space="preserve"> by expanding coverage; three provinces have already declared UHC.</w:t>
      </w:r>
      <w:r w:rsidRPr="002528A4" w:rsidDel="00890639">
        <w:t xml:space="preserve"> </w:t>
      </w:r>
    </w:p>
    <w:p w:rsidR="00CE0D3F" w:rsidRPr="002528A4" w:rsidRDefault="00CE0D3F" w:rsidP="00CE0D3F">
      <w:pPr>
        <w:pStyle w:val="BodyText0"/>
        <w:jc w:val="both"/>
      </w:pPr>
      <w:r w:rsidRPr="002528A4">
        <w:t>The growing number of medical, nursing, midwifery and other health professional schools provides an opportunity to increase HRH production to meet demands for health care with universal coverage. The number of medical schools, for example, has increased from 40 schools in 2003 to 72 schools in 2013: an increase of 80 per cent during the last 10 years. Of those 72 schools, about 60 per cent are private medical schools. As a result, private medical schools have been providing more than 60</w:t>
      </w:r>
      <w:r w:rsidRPr="002528A4">
        <w:rPr>
          <w:rFonts w:ascii="Courier New" w:hAnsi="Courier New" w:cs="Courier New"/>
        </w:rPr>
        <w:t> </w:t>
      </w:r>
      <w:r w:rsidRPr="002528A4">
        <w:t xml:space="preserve">percent of the graduating physicians in the last three years. The increase of the number of midwifery and nursing schools is even larger. By investing in reform of the accreditation system of health professional education the government has an opportunity to </w:t>
      </w:r>
      <w:r w:rsidRPr="002528A4">
        <w:lastRenderedPageBreak/>
        <w:t xml:space="preserve">improve the quality of HRH entering the market. Indonesia’s internship program requiring a 12-month supervised practice for graduating physicians opens an opportunity to improve the quality of newly trained physicians while at the same time address some of the </w:t>
      </w:r>
      <w:proofErr w:type="spellStart"/>
      <w:r w:rsidRPr="002528A4">
        <w:t>maldistribution</w:t>
      </w:r>
      <w:proofErr w:type="spellEnd"/>
      <w:r w:rsidRPr="002528A4">
        <w:t xml:space="preserve"> problem.</w:t>
      </w:r>
    </w:p>
    <w:p w:rsidR="00CE0D3F" w:rsidRPr="00A861A8" w:rsidRDefault="00CE0D3F" w:rsidP="00CE0D3F">
      <w:pPr>
        <w:pStyle w:val="Heading2"/>
        <w:rPr>
          <w:rFonts w:ascii="Andes" w:hAnsi="Andes"/>
        </w:rPr>
      </w:pPr>
      <w:r w:rsidRPr="001B51D1">
        <w:t>B.</w:t>
      </w:r>
      <w:r w:rsidRPr="001B51D1">
        <w:tab/>
      </w:r>
      <w:r w:rsidRPr="00A861A8">
        <w:rPr>
          <w:rFonts w:ascii="Andes" w:hAnsi="Andes"/>
        </w:rPr>
        <w:t>Lessons to be shared</w:t>
      </w:r>
    </w:p>
    <w:p w:rsidR="00CE0D3F" w:rsidRPr="00CE0D3F" w:rsidRDefault="00CE0D3F" w:rsidP="00AC6089">
      <w:pPr>
        <w:pStyle w:val="H2A"/>
        <w:jc w:val="both"/>
        <w:rPr>
          <w:b w:val="0"/>
        </w:rPr>
      </w:pPr>
      <w:r w:rsidRPr="00CE0D3F">
        <w:rPr>
          <w:b w:val="0"/>
        </w:rPr>
        <w:t xml:space="preserve">Indonesia’s experiences to date are numerous, but the following points highlight some of the more recent lessons that may be pertinent for other countries at similar levels of development: </w:t>
      </w:r>
    </w:p>
    <w:p w:rsidR="00CE0D3F" w:rsidRPr="001B51D1" w:rsidRDefault="00CE0D3F" w:rsidP="00AC6089">
      <w:pPr>
        <w:pStyle w:val="Bullet"/>
        <w:numPr>
          <w:ilvl w:val="0"/>
          <w:numId w:val="16"/>
        </w:numPr>
        <w:jc w:val="both"/>
      </w:pPr>
      <w:r w:rsidRPr="001B51D1">
        <w:t xml:space="preserve">The private sector can be a major contributor to the supply of health workers, but this requires good accreditation and quality control. </w:t>
      </w:r>
    </w:p>
    <w:p w:rsidR="00CE0D3F" w:rsidRPr="001B51D1" w:rsidRDefault="00CE0D3F" w:rsidP="00AC6089">
      <w:pPr>
        <w:pStyle w:val="Bullet"/>
        <w:numPr>
          <w:ilvl w:val="0"/>
          <w:numId w:val="16"/>
        </w:numPr>
        <w:jc w:val="both"/>
      </w:pPr>
      <w:r w:rsidRPr="001B51D1">
        <w:t>Financial incentives are an important part of attracting health workers to remote areas, but other factors</w:t>
      </w:r>
      <w:r w:rsidR="00AC6089">
        <w:t xml:space="preserve">, including non-monetary incentives such as opportunities for professional development, are important. </w:t>
      </w:r>
    </w:p>
    <w:p w:rsidR="00CE0D3F" w:rsidRDefault="00CE0D3F" w:rsidP="00AC6089">
      <w:pPr>
        <w:pStyle w:val="Bullet"/>
        <w:numPr>
          <w:ilvl w:val="0"/>
          <w:numId w:val="16"/>
        </w:numPr>
        <w:jc w:val="both"/>
      </w:pPr>
      <w:r w:rsidRPr="001B51D1">
        <w:t>The wealth and fiscal capacity of a province</w:t>
      </w:r>
      <w:r w:rsidR="00AC6089">
        <w:t xml:space="preserve"> that suggest potential </w:t>
      </w:r>
      <w:r w:rsidRPr="001B51D1">
        <w:t>capacity to pay for health worker incentive, is not a good predictor of availability of doctors and other health workers.</w:t>
      </w:r>
      <w:r w:rsidR="00AC6089">
        <w:t xml:space="preserve"> </w:t>
      </w:r>
    </w:p>
    <w:p w:rsidR="00CE0D3F" w:rsidRDefault="00CE0D3F" w:rsidP="00CE0D3F">
      <w:r>
        <w:br w:type="page"/>
      </w:r>
    </w:p>
    <w:p w:rsidR="00CE0D3F" w:rsidRDefault="00CE0D3F" w:rsidP="00CE0D3F">
      <w:pPr>
        <w:pStyle w:val="Heading1"/>
      </w:pPr>
      <w:r>
        <w:lastRenderedPageBreak/>
        <w:t>References</w:t>
      </w:r>
    </w:p>
    <w:p w:rsidR="00CE0D3F" w:rsidRDefault="00CE0D3F" w:rsidP="00CE0D3F">
      <w:pPr>
        <w:pStyle w:val="Reference"/>
      </w:pPr>
      <w:r>
        <w:t>Anderson, I., P. Marzoeki, A. Meliala, E. Pambudi, K. Hariadi, and T. Marthias. 2013. “The Production, Disbursement, and Performance of Physicians, Nurses, and Midwives in Indonesia: An Update.” Working Paper, Jakarta, World Bank.</w:t>
      </w:r>
    </w:p>
    <w:p w:rsidR="00CE0D3F" w:rsidRDefault="00CE0D3F" w:rsidP="00CE0D3F">
      <w:pPr>
        <w:pStyle w:val="Reference"/>
      </w:pPr>
      <w:r>
        <w:t>Bi, X., P. Harimurti, J. Langenbrunner, E. Pambudi, and A. Tandon. 2013. “Fiscal Space for Universal Health Coverage in Indonesia, Lessons from Jamkesmas Financing.” Working Paper, Jakarta, World Bank.</w:t>
      </w:r>
    </w:p>
    <w:p w:rsidR="00CE0D3F" w:rsidRDefault="00CE0D3F" w:rsidP="00CE0D3F">
      <w:pPr>
        <w:pStyle w:val="Reference"/>
        <w:rPr>
          <w:lang w:bidi="lo-LA"/>
        </w:rPr>
      </w:pPr>
      <w:r w:rsidRPr="00B8323F">
        <w:rPr>
          <w:lang w:bidi="lo-LA"/>
        </w:rPr>
        <w:t>Bredenkamp, C., A. Tandon, P. Harimurti, E. Pambudi, and C. Rokx</w:t>
      </w:r>
      <w:r>
        <w:rPr>
          <w:lang w:bidi="lo-LA"/>
        </w:rPr>
        <w:t xml:space="preserve">. </w:t>
      </w:r>
      <w:r w:rsidRPr="00B8323F">
        <w:rPr>
          <w:lang w:bidi="lo-LA"/>
        </w:rPr>
        <w:t>2011</w:t>
      </w:r>
      <w:r>
        <w:rPr>
          <w:lang w:bidi="lo-LA"/>
        </w:rPr>
        <w:t>.</w:t>
      </w:r>
      <w:r w:rsidRPr="00B8323F">
        <w:rPr>
          <w:lang w:bidi="lo-LA"/>
        </w:rPr>
        <w:t xml:space="preserve"> </w:t>
      </w:r>
      <w:r>
        <w:rPr>
          <w:lang w:bidi="lo-LA"/>
        </w:rPr>
        <w:t>“</w:t>
      </w:r>
      <w:r w:rsidRPr="00BE0086">
        <w:rPr>
          <w:iCs/>
          <w:lang w:bidi="lo-LA"/>
        </w:rPr>
        <w:t>Enhancing Health Equity and Financial Protection in Indonesia: How Well Does Jamkesmas Do?</w:t>
      </w:r>
      <w:r>
        <w:rPr>
          <w:iCs/>
          <w:lang w:bidi="lo-LA"/>
        </w:rPr>
        <w:t>”</w:t>
      </w:r>
      <w:r w:rsidRPr="00B8323F">
        <w:rPr>
          <w:lang w:bidi="lo-LA"/>
        </w:rPr>
        <w:t xml:space="preserve"> Working Paper, Washington, DC</w:t>
      </w:r>
      <w:r>
        <w:rPr>
          <w:lang w:bidi="lo-LA"/>
        </w:rPr>
        <w:t xml:space="preserve">, </w:t>
      </w:r>
      <w:r w:rsidRPr="00B8323F">
        <w:rPr>
          <w:lang w:bidi="lo-LA"/>
        </w:rPr>
        <w:t>World Bank.</w:t>
      </w:r>
    </w:p>
    <w:p w:rsidR="00CE0D3F" w:rsidRDefault="00CE0D3F" w:rsidP="00CE0D3F">
      <w:pPr>
        <w:pStyle w:val="Reference"/>
        <w:rPr>
          <w:lang w:bidi="lo-LA"/>
        </w:rPr>
      </w:pPr>
      <w:r w:rsidRPr="00B8323F">
        <w:t>Guerard, Y., M. Wiener, C. Rokx, G. Schieber, P. Harimurti, E. Pambudi, and A.</w:t>
      </w:r>
      <w:r>
        <w:t xml:space="preserve"> Tandon. 2011. “Ac</w:t>
      </w:r>
      <w:r w:rsidRPr="00B8323F">
        <w:t>tuarial Costing of Universal Health Insurance Coverage in Indonesia</w:t>
      </w:r>
      <w:r>
        <w:t>.”</w:t>
      </w:r>
      <w:r w:rsidRPr="00B8323F">
        <w:t xml:space="preserve"> </w:t>
      </w:r>
      <w:r w:rsidRPr="001025B7">
        <w:t>HNP Discussion Paper</w:t>
      </w:r>
      <w:r w:rsidRPr="00B8323F">
        <w:t>, World Bank</w:t>
      </w:r>
      <w:r>
        <w:t>,</w:t>
      </w:r>
      <w:r w:rsidRPr="00B8323F">
        <w:t xml:space="preserve"> Washington, DC.</w:t>
      </w:r>
    </w:p>
    <w:p w:rsidR="00CE0D3F" w:rsidRPr="00CE0D3F" w:rsidRDefault="00CE0D3F" w:rsidP="00CE0D3F">
      <w:pPr>
        <w:pStyle w:val="Reference"/>
      </w:pPr>
      <w:r>
        <w:t xml:space="preserve">JLN (Joint Learning Network). 2012.  </w:t>
      </w:r>
      <w:r w:rsidRPr="00CE0D3F">
        <w:t>“Roles and responsibilities for Universal Coverage in The Nuts &amp; Bolts of Jamkesmas, Indonesia’s Government Financed Health Coverage Program.”  http//www.jointlearningnetwork.org/content/Jamkesmas.</w:t>
      </w:r>
    </w:p>
    <w:p w:rsidR="00CE0D3F" w:rsidRPr="00CE0D3F" w:rsidRDefault="00CE0D3F" w:rsidP="00CE0D3F">
      <w:pPr>
        <w:pStyle w:val="Reference"/>
      </w:pPr>
      <w:r w:rsidRPr="00CE0D3F">
        <w:t>MOH. Riset Fasilitas Kesehatan (Rifaskes). 2011.</w:t>
      </w:r>
    </w:p>
    <w:p w:rsidR="00CE0D3F" w:rsidRPr="00CE0D3F" w:rsidRDefault="00CE0D3F" w:rsidP="00CE0D3F">
      <w:pPr>
        <w:pStyle w:val="Reference"/>
      </w:pPr>
      <w:r w:rsidRPr="00CE0D3F">
        <w:t>———. RS Online. 2013. http://202.70.136.52/rsonline.</w:t>
      </w:r>
    </w:p>
    <w:p w:rsidR="00CE0D3F" w:rsidRPr="00CE0D3F" w:rsidRDefault="00CE0D3F" w:rsidP="00CE0D3F">
      <w:pPr>
        <w:pStyle w:val="Reference"/>
        <w:rPr>
          <w:lang w:bidi="lo-LA"/>
        </w:rPr>
      </w:pPr>
      <w:r w:rsidRPr="00CE0D3F">
        <w:rPr>
          <w:lang w:bidi="lo-LA"/>
        </w:rPr>
        <w:t>Pandu, H., E. Pambudi, A. Pigazzini, and A. Tandon. 2013. The Nuts and Bolts of Jamkesmas: Indonesia’s Government Financed Health Coverage Program, Jakarta: World Bank.</w:t>
      </w:r>
    </w:p>
    <w:p w:rsidR="00CE0D3F" w:rsidRDefault="00CE0D3F" w:rsidP="00CE0D3F">
      <w:pPr>
        <w:pStyle w:val="Reference"/>
      </w:pPr>
      <w:r w:rsidRPr="00CE0D3F">
        <w:t>Rokx, C., G. Schieber, P. Harimurti, A.</w:t>
      </w:r>
      <w:r>
        <w:t xml:space="preserve"> Tandon, and A. Somanathan. 2009. Health Financing in Indonesia: A Reform Roadmap, Jakarta: World Bank.</w:t>
      </w:r>
    </w:p>
    <w:p w:rsidR="00CE0D3F" w:rsidRDefault="00CE0D3F" w:rsidP="00CE0D3F">
      <w:pPr>
        <w:pStyle w:val="Reference"/>
        <w:rPr>
          <w:lang w:bidi="lo-LA"/>
        </w:rPr>
      </w:pPr>
      <w:r w:rsidRPr="00B8323F">
        <w:t>Soewondo, P., M. Nadjib, K. Sari, Y. Afdhila, and N. Afdhila</w:t>
      </w:r>
      <w:r>
        <w:t xml:space="preserve">. </w:t>
      </w:r>
      <w:r w:rsidRPr="00B8323F">
        <w:t>2011</w:t>
      </w:r>
      <w:r>
        <w:t>.</w:t>
      </w:r>
      <w:r w:rsidRPr="00B8323F">
        <w:t xml:space="preserve"> </w:t>
      </w:r>
      <w:r>
        <w:t>“</w:t>
      </w:r>
      <w:r w:rsidRPr="00B8323F">
        <w:t>SHA-Based Health Accounts in the Asia-Pacific Region: Indonesia 2005-2009</w:t>
      </w:r>
      <w:r>
        <w:t>.”</w:t>
      </w:r>
      <w:r w:rsidRPr="00B8323F">
        <w:t xml:space="preserve"> </w:t>
      </w:r>
      <w:r w:rsidRPr="00BE0086">
        <w:t>SHA Technical Paper No. 15,</w:t>
      </w:r>
      <w:r w:rsidRPr="00B8323F">
        <w:t xml:space="preserve"> OECD-Korea Policy Center, Seoul, </w:t>
      </w:r>
      <w:r w:rsidRPr="00B8323F">
        <w:rPr>
          <w:lang w:bidi="lo-LA"/>
        </w:rPr>
        <w:t>Republic of Korea.</w:t>
      </w:r>
      <w:r>
        <w:rPr>
          <w:lang w:bidi="lo-LA"/>
        </w:rPr>
        <w:t xml:space="preserve"> </w:t>
      </w:r>
    </w:p>
    <w:p w:rsidR="00CE0D3F" w:rsidRDefault="00CE0D3F" w:rsidP="00CE0D3F">
      <w:pPr>
        <w:pStyle w:val="Reference"/>
        <w:rPr>
          <w:lang w:bidi="lo-LA"/>
        </w:rPr>
      </w:pPr>
      <w:r>
        <w:rPr>
          <w:lang w:bidi="lo-LA"/>
        </w:rPr>
        <w:t xml:space="preserve">Thabrany, H. 2008. </w:t>
      </w:r>
      <w:r w:rsidR="00AC6089">
        <w:rPr>
          <w:lang w:bidi="lo-LA"/>
        </w:rPr>
        <w:t>“</w:t>
      </w:r>
      <w:r w:rsidRPr="00BE7E37">
        <w:rPr>
          <w:lang w:bidi="lo-LA"/>
        </w:rPr>
        <w:t>Politics of National Health Insurance of Indonesia: A New Era of Universal Coverage</w:t>
      </w:r>
      <w:r w:rsidR="00AC6089">
        <w:rPr>
          <w:lang w:bidi="lo-LA"/>
        </w:rPr>
        <w:t xml:space="preserve">”, </w:t>
      </w:r>
      <w:r w:rsidR="00AC6089" w:rsidRPr="00AC6089">
        <w:rPr>
          <w:lang w:bidi="lo-LA"/>
        </w:rPr>
        <w:t>Center for Health Economic and Policy Studies, University of Indonesia</w:t>
      </w:r>
      <w:r w:rsidR="00AC6089">
        <w:rPr>
          <w:lang w:bidi="lo-LA"/>
        </w:rPr>
        <w:t>, Jakarta</w:t>
      </w:r>
      <w:r>
        <w:rPr>
          <w:lang w:bidi="lo-LA"/>
        </w:rPr>
        <w:t>.</w:t>
      </w:r>
    </w:p>
    <w:p w:rsidR="00CE0D3F" w:rsidRPr="001025B7" w:rsidRDefault="00CE0D3F" w:rsidP="00CE0D3F">
      <w:pPr>
        <w:pStyle w:val="Reference"/>
      </w:pPr>
      <w:r>
        <w:t>WHO (</w:t>
      </w:r>
      <w:r w:rsidRPr="008C6C3C">
        <w:t>World Health Organization</w:t>
      </w:r>
      <w:r>
        <w:t>). 2013. Global Health Expenditure Database. http://apps.who.int/nha/database/DataExplorerRegime.aspx.</w:t>
      </w:r>
    </w:p>
    <w:p w:rsidR="00CE0D3F" w:rsidRDefault="00CE0D3F" w:rsidP="00CE0D3F">
      <w:pPr>
        <w:pStyle w:val="Reference"/>
      </w:pPr>
      <w:r w:rsidRPr="001025B7">
        <w:t xml:space="preserve">World Bank. 2012. </w:t>
      </w:r>
      <w:r>
        <w:t>“</w:t>
      </w:r>
      <w:r w:rsidRPr="001025B7">
        <w:t>Targeting Poor and V</w:t>
      </w:r>
      <w:r>
        <w:t>ulnerable Households in Indonesia.” World Bank, Jakarta</w:t>
      </w:r>
    </w:p>
    <w:p w:rsidR="00CE0D3F" w:rsidRDefault="00CE0D3F" w:rsidP="00CE0D3F">
      <w:pPr>
        <w:pStyle w:val="Reference"/>
      </w:pPr>
      <w:r>
        <w:t>World Bank, Center for Family Welfare, Faculty of Public Health, University of Indonesia. 2013. “A Study on the Implementation of Jampersal Policy in Indonesia.” Working Paper, Jakarta, World Bank.</w:t>
      </w:r>
    </w:p>
    <w:p w:rsidR="00AB7358" w:rsidRPr="00CE0D3F" w:rsidRDefault="00AB7358">
      <w:pPr>
        <w:rPr>
          <w:rFonts w:cs="Times New Roman"/>
        </w:rPr>
      </w:pPr>
    </w:p>
    <w:sectPr w:rsidR="00AB7358" w:rsidRPr="00CE0D3F" w:rsidSect="004F79D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4A" w:rsidRDefault="00CF7C4A" w:rsidP="00CE0D3F">
      <w:pPr>
        <w:spacing w:after="0"/>
      </w:pPr>
      <w:r>
        <w:separator/>
      </w:r>
    </w:p>
  </w:endnote>
  <w:endnote w:type="continuationSeparator" w:id="0">
    <w:p w:rsidR="00CF7C4A" w:rsidRDefault="00CF7C4A" w:rsidP="00CE0D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es">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ptima LT Std">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0848"/>
      <w:docPartObj>
        <w:docPartGallery w:val="Page Numbers (Bottom of Page)"/>
        <w:docPartUnique/>
      </w:docPartObj>
    </w:sdtPr>
    <w:sdtEndPr>
      <w:rPr>
        <w:noProof/>
      </w:rPr>
    </w:sdtEndPr>
    <w:sdtContent>
      <w:p w:rsidR="00FE4271" w:rsidRDefault="00FE4271">
        <w:pPr>
          <w:pStyle w:val="Footer"/>
          <w:jc w:val="center"/>
        </w:pPr>
      </w:p>
      <w:p w:rsidR="00104E52" w:rsidRDefault="00104E52">
        <w:pPr>
          <w:pStyle w:val="Footer"/>
          <w:jc w:val="center"/>
        </w:pPr>
        <w:r>
          <w:fldChar w:fldCharType="begin"/>
        </w:r>
        <w:r>
          <w:instrText xml:space="preserve"> PAGE   \* MERGEFORMAT </w:instrText>
        </w:r>
        <w:r>
          <w:fldChar w:fldCharType="separate"/>
        </w:r>
        <w:r w:rsidR="003B5B8B">
          <w:rPr>
            <w:noProof/>
          </w:rPr>
          <w:t>i</w:t>
        </w:r>
        <w:r>
          <w:rPr>
            <w:noProof/>
          </w:rPr>
          <w:fldChar w:fldCharType="end"/>
        </w:r>
      </w:p>
    </w:sdtContent>
  </w:sdt>
  <w:p w:rsidR="003F7AE3" w:rsidRPr="00CB0329" w:rsidRDefault="003F7AE3" w:rsidP="00CB0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4A" w:rsidRDefault="00CF7C4A" w:rsidP="00CE0D3F">
      <w:pPr>
        <w:spacing w:after="0"/>
      </w:pPr>
      <w:r>
        <w:separator/>
      </w:r>
    </w:p>
  </w:footnote>
  <w:footnote w:type="continuationSeparator" w:id="0">
    <w:p w:rsidR="00CF7C4A" w:rsidRDefault="00CF7C4A" w:rsidP="00CE0D3F">
      <w:pPr>
        <w:spacing w:after="0"/>
      </w:pPr>
      <w:r>
        <w:continuationSeparator/>
      </w:r>
    </w:p>
  </w:footnote>
  <w:footnote w:id="1">
    <w:p w:rsidR="003F7AE3" w:rsidRPr="00A64E6F" w:rsidRDefault="003F7AE3" w:rsidP="00CE0D3F">
      <w:pPr>
        <w:pStyle w:val="FootnoteText"/>
      </w:pPr>
      <w:r w:rsidRPr="00A64E6F">
        <w:rPr>
          <w:rStyle w:val="FootnoteReference"/>
        </w:rPr>
        <w:footnoteRef/>
      </w:r>
      <w:r w:rsidRPr="00A64E6F">
        <w:t xml:space="preserve"> </w:t>
      </w:r>
      <w:r w:rsidRPr="00403371">
        <w:rPr>
          <w:rFonts w:ascii="Andes" w:hAnsi="Andes"/>
        </w:rPr>
        <w:t xml:space="preserve">This is measured using the household consumption sections in </w:t>
      </w:r>
      <w:proofErr w:type="spellStart"/>
      <w:r w:rsidRPr="00403371">
        <w:rPr>
          <w:rFonts w:ascii="Andes" w:hAnsi="Andes"/>
        </w:rPr>
        <w:t>Susenas</w:t>
      </w:r>
      <w:proofErr w:type="spellEnd"/>
      <w:r w:rsidRPr="00403371">
        <w:rPr>
          <w:rFonts w:ascii="Andes" w:hAnsi="Andes"/>
        </w:rPr>
        <w:t xml:space="preserve">. Consumption is adjusted for household size and district differences in the cost of living, and households are classified into </w:t>
      </w:r>
      <w:proofErr w:type="spellStart"/>
      <w:r w:rsidRPr="00403371">
        <w:rPr>
          <w:rFonts w:ascii="Andes" w:hAnsi="Andes"/>
        </w:rPr>
        <w:t>deciles</w:t>
      </w:r>
      <w:proofErr w:type="spellEnd"/>
      <w:r w:rsidRPr="00403371">
        <w:rPr>
          <w:rFonts w:ascii="Andes" w:hAnsi="Andes"/>
        </w:rPr>
        <w:t xml:space="preserve"> of per capita consumption. For the purposes of this analysis, the lowest three </w:t>
      </w:r>
      <w:proofErr w:type="spellStart"/>
      <w:r w:rsidRPr="00403371">
        <w:rPr>
          <w:rFonts w:ascii="Andes" w:hAnsi="Andes"/>
        </w:rPr>
        <w:t>deciles</w:t>
      </w:r>
      <w:proofErr w:type="spellEnd"/>
      <w:r w:rsidRPr="00403371">
        <w:rPr>
          <w:rFonts w:ascii="Andes" w:hAnsi="Andes"/>
        </w:rPr>
        <w:t xml:space="preserve"> of individuals in the survey are considered equivalent to the “poor and near-poor,” that is, the population targeted by </w:t>
      </w:r>
      <w:proofErr w:type="spellStart"/>
      <w:r w:rsidRPr="00403371">
        <w:rPr>
          <w:rFonts w:ascii="Andes" w:hAnsi="Andes"/>
        </w:rPr>
        <w:t>Jamkesmas</w:t>
      </w:r>
      <w:proofErr w:type="spellEnd"/>
      <w:r w:rsidRPr="00403371">
        <w:rPr>
          <w:rFonts w:ascii="Andes" w:hAnsi="Andes"/>
        </w:rPr>
        <w:t>.</w:t>
      </w:r>
    </w:p>
  </w:footnote>
  <w:footnote w:id="2">
    <w:p w:rsidR="003F7AE3" w:rsidRPr="00403371" w:rsidRDefault="003F7AE3" w:rsidP="00CE0D3F">
      <w:pPr>
        <w:pStyle w:val="FootnoteText"/>
        <w:rPr>
          <w:rFonts w:ascii="Andes" w:hAnsi="Andes"/>
        </w:rPr>
      </w:pPr>
      <w:r w:rsidRPr="00403371">
        <w:rPr>
          <w:rStyle w:val="FootnoteReference"/>
          <w:rFonts w:ascii="Andes" w:hAnsi="Andes"/>
        </w:rPr>
        <w:footnoteRef/>
      </w:r>
      <w:r w:rsidRPr="00403371">
        <w:rPr>
          <w:rFonts w:ascii="Andes" w:hAnsi="Andes"/>
        </w:rPr>
        <w:t xml:space="preserve"> Health insurance for the poor was introduced as </w:t>
      </w:r>
      <w:proofErr w:type="spellStart"/>
      <w:r w:rsidRPr="00403371">
        <w:rPr>
          <w:rFonts w:ascii="Andes" w:hAnsi="Andes"/>
        </w:rPr>
        <w:t>Askeskin</w:t>
      </w:r>
      <w:proofErr w:type="spellEnd"/>
      <w:r w:rsidRPr="00403371">
        <w:rPr>
          <w:rFonts w:ascii="Andes" w:hAnsi="Andes"/>
        </w:rPr>
        <w:t xml:space="preserve"> in 2005 which was expanded and renamed as </w:t>
      </w:r>
      <w:proofErr w:type="spellStart"/>
      <w:r w:rsidRPr="00403371">
        <w:rPr>
          <w:rFonts w:ascii="Andes" w:hAnsi="Andes"/>
        </w:rPr>
        <w:t>Jamkesmas</w:t>
      </w:r>
      <w:proofErr w:type="spellEnd"/>
      <w:r w:rsidRPr="00403371">
        <w:rPr>
          <w:rFonts w:ascii="Andes" w:hAnsi="Andes"/>
        </w:rPr>
        <w:t xml:space="preserve"> in 2007</w:t>
      </w:r>
    </w:p>
  </w:footnote>
  <w:footnote w:id="3">
    <w:p w:rsidR="003F7AE3" w:rsidRPr="00403371" w:rsidRDefault="003F7AE3" w:rsidP="00CE0D3F">
      <w:pPr>
        <w:pStyle w:val="FootnoteText"/>
        <w:rPr>
          <w:rFonts w:ascii="Andes" w:hAnsi="Andes"/>
        </w:rPr>
      </w:pPr>
      <w:r w:rsidRPr="00403371">
        <w:rPr>
          <w:rStyle w:val="FootnoteReference"/>
          <w:rFonts w:ascii="Andes" w:hAnsi="Andes"/>
        </w:rPr>
        <w:footnoteRef/>
      </w:r>
      <w:r w:rsidRPr="00403371">
        <w:rPr>
          <w:rFonts w:ascii="Andes" w:hAnsi="Andes"/>
        </w:rPr>
        <w:t xml:space="preserve"> Under JKN, the contribution for PBI (poor and near poor paid by the government) is </w:t>
      </w:r>
      <w:proofErr w:type="spellStart"/>
      <w:r w:rsidRPr="00403371">
        <w:rPr>
          <w:rFonts w:ascii="Andes" w:hAnsi="Andes"/>
        </w:rPr>
        <w:t>Rp</w:t>
      </w:r>
      <w:proofErr w:type="spellEnd"/>
      <w:r w:rsidRPr="00403371">
        <w:rPr>
          <w:rFonts w:ascii="Courier New" w:hAnsi="Courier New" w:cs="Courier New"/>
        </w:rPr>
        <w:t> </w:t>
      </w:r>
      <w:r w:rsidRPr="00403371">
        <w:rPr>
          <w:rFonts w:ascii="Andes" w:hAnsi="Andes"/>
        </w:rPr>
        <w:t>19,225 per person/per month; and for ex-</w:t>
      </w:r>
      <w:proofErr w:type="spellStart"/>
      <w:r w:rsidRPr="00403371">
        <w:rPr>
          <w:rFonts w:ascii="Andes" w:hAnsi="Andes"/>
        </w:rPr>
        <w:t>Askes</w:t>
      </w:r>
      <w:proofErr w:type="spellEnd"/>
      <w:r w:rsidRPr="00403371">
        <w:rPr>
          <w:rFonts w:ascii="Andes" w:hAnsi="Andes"/>
        </w:rPr>
        <w:t xml:space="preserve"> participants is 5 percent of salary (3 percent from employer and 2 percent from employee). For other formal sector workers, the contribution is 4.5 percent of salary (4 percent from employer and 0.5 percent from employee) until June 30, 2015, after which the contribution will be 5 percent of salary (4 percent from employer and 1 percent from employee). For the informal sector, the contribution varied according to the choice of service; </w:t>
      </w:r>
      <w:proofErr w:type="spellStart"/>
      <w:r w:rsidRPr="00403371">
        <w:rPr>
          <w:rFonts w:ascii="Andes" w:hAnsi="Andes"/>
        </w:rPr>
        <w:t>Rp</w:t>
      </w:r>
      <w:proofErr w:type="spellEnd"/>
      <w:r w:rsidRPr="00403371">
        <w:rPr>
          <w:rFonts w:ascii="Courier New" w:hAnsi="Courier New" w:cs="Courier New"/>
        </w:rPr>
        <w:t> </w:t>
      </w:r>
      <w:r w:rsidRPr="00403371">
        <w:rPr>
          <w:rFonts w:ascii="Andes" w:hAnsi="Andes"/>
        </w:rPr>
        <w:t xml:space="preserve">25,500 (class 3), </w:t>
      </w:r>
      <w:proofErr w:type="spellStart"/>
      <w:r w:rsidRPr="00403371">
        <w:rPr>
          <w:rFonts w:ascii="Andes" w:hAnsi="Andes"/>
        </w:rPr>
        <w:t>Rp</w:t>
      </w:r>
      <w:proofErr w:type="spellEnd"/>
      <w:r w:rsidRPr="00403371">
        <w:rPr>
          <w:rFonts w:ascii="Courier New" w:hAnsi="Courier New" w:cs="Courier New"/>
        </w:rPr>
        <w:t> </w:t>
      </w:r>
      <w:r w:rsidRPr="00403371">
        <w:rPr>
          <w:rFonts w:ascii="Andes" w:hAnsi="Andes"/>
        </w:rPr>
        <w:t xml:space="preserve">42,500 (class II), and </w:t>
      </w:r>
      <w:proofErr w:type="spellStart"/>
      <w:r w:rsidRPr="00403371">
        <w:rPr>
          <w:rFonts w:ascii="Andes" w:hAnsi="Andes"/>
        </w:rPr>
        <w:t>Rp</w:t>
      </w:r>
      <w:proofErr w:type="spellEnd"/>
      <w:r w:rsidRPr="00403371">
        <w:rPr>
          <w:rFonts w:ascii="Courier New" w:hAnsi="Courier New" w:cs="Courier New"/>
        </w:rPr>
        <w:t> </w:t>
      </w:r>
      <w:r w:rsidRPr="00403371">
        <w:rPr>
          <w:rFonts w:ascii="Andes" w:hAnsi="Andes"/>
        </w:rPr>
        <w:t>59,500 (class 1)</w:t>
      </w:r>
    </w:p>
  </w:footnote>
  <w:footnote w:id="4">
    <w:p w:rsidR="003F7AE3" w:rsidRPr="00403371" w:rsidRDefault="003F7AE3" w:rsidP="00CE0D3F">
      <w:pPr>
        <w:pStyle w:val="FootnoteText"/>
        <w:rPr>
          <w:rFonts w:ascii="Andes" w:hAnsi="Andes"/>
        </w:rPr>
      </w:pPr>
      <w:r w:rsidRPr="00403371">
        <w:rPr>
          <w:rStyle w:val="FootnoteReference"/>
          <w:rFonts w:ascii="Andes" w:hAnsi="Andes"/>
          <w:sz w:val="18"/>
        </w:rPr>
        <w:footnoteRef/>
      </w:r>
      <w:r w:rsidRPr="00403371">
        <w:rPr>
          <w:rFonts w:ascii="Andes" w:hAnsi="Andes"/>
        </w:rPr>
        <w:t xml:space="preserve"> Starting in 2012, </w:t>
      </w:r>
      <w:proofErr w:type="spellStart"/>
      <w:r w:rsidRPr="00403371">
        <w:rPr>
          <w:rFonts w:ascii="Andes" w:hAnsi="Andes"/>
        </w:rPr>
        <w:t>Jamsostek</w:t>
      </w:r>
      <w:proofErr w:type="spellEnd"/>
      <w:r w:rsidRPr="00403371">
        <w:rPr>
          <w:rFonts w:ascii="Andes" w:hAnsi="Andes"/>
        </w:rPr>
        <w:t xml:space="preserve"> expanded the benefit package to cover catastrophic cases as well.</w:t>
      </w:r>
    </w:p>
  </w:footnote>
  <w:footnote w:id="5">
    <w:p w:rsidR="003F7AE3" w:rsidRPr="00A64E6F" w:rsidRDefault="003F7AE3" w:rsidP="00CE0D3F">
      <w:pPr>
        <w:pStyle w:val="FootnoteText"/>
      </w:pPr>
      <w:r w:rsidRPr="00A64E6F">
        <w:rPr>
          <w:rStyle w:val="FootnoteReference"/>
        </w:rPr>
        <w:footnoteRef/>
      </w:r>
      <w:r w:rsidRPr="00A64E6F">
        <w:t xml:space="preserve"> </w:t>
      </w:r>
      <w:r w:rsidRPr="00403371">
        <w:rPr>
          <w:rFonts w:ascii="Andes" w:hAnsi="Andes"/>
        </w:rPr>
        <w:t xml:space="preserve">MOH </w:t>
      </w:r>
      <w:proofErr w:type="spellStart"/>
      <w:r w:rsidRPr="00403371">
        <w:rPr>
          <w:rFonts w:ascii="Andes" w:hAnsi="Andes"/>
        </w:rPr>
        <w:t>Rumah</w:t>
      </w:r>
      <w:proofErr w:type="spellEnd"/>
      <w:r w:rsidRPr="00403371">
        <w:rPr>
          <w:rFonts w:ascii="Andes" w:hAnsi="Andes"/>
        </w:rPr>
        <w:t xml:space="preserve"> </w:t>
      </w:r>
      <w:proofErr w:type="spellStart"/>
      <w:r w:rsidRPr="00403371">
        <w:rPr>
          <w:rFonts w:ascii="Andes" w:hAnsi="Andes"/>
        </w:rPr>
        <w:t>Sakit</w:t>
      </w:r>
      <w:proofErr w:type="spellEnd"/>
      <w:r w:rsidRPr="00403371">
        <w:rPr>
          <w:rFonts w:ascii="Andes" w:hAnsi="Andes"/>
        </w:rPr>
        <w:t xml:space="preserve"> (hospital) Online, 2013</w:t>
      </w:r>
      <w:r w:rsidRPr="00A64E6F">
        <w:t>.</w:t>
      </w:r>
    </w:p>
  </w:footnote>
  <w:footnote w:id="6">
    <w:p w:rsidR="003F7AE3" w:rsidRPr="001824E3" w:rsidRDefault="003F7AE3" w:rsidP="00CE0D3F">
      <w:pPr>
        <w:pStyle w:val="FootnoteText"/>
        <w:rPr>
          <w:rFonts w:ascii="Andes" w:hAnsi="Andes"/>
        </w:rPr>
      </w:pPr>
      <w:r w:rsidRPr="00A64E6F">
        <w:rPr>
          <w:rStyle w:val="FootnoteReference"/>
        </w:rPr>
        <w:footnoteRef/>
      </w:r>
      <w:r w:rsidRPr="00A64E6F">
        <w:t xml:space="preserve"> </w:t>
      </w:r>
      <w:r w:rsidRPr="001824E3">
        <w:rPr>
          <w:rFonts w:ascii="Andes" w:hAnsi="Andes"/>
        </w:rPr>
        <w:t>National-level government expenditure on health includes central, provincial, and district health expenditures.</w:t>
      </w:r>
    </w:p>
  </w:footnote>
  <w:footnote w:id="7">
    <w:p w:rsidR="003F7AE3" w:rsidRPr="00450413" w:rsidRDefault="003F7AE3" w:rsidP="00CE0D3F">
      <w:pPr>
        <w:pStyle w:val="FootnoteText"/>
        <w:rPr>
          <w:rFonts w:ascii="Andes" w:hAnsi="Andes"/>
        </w:rPr>
      </w:pPr>
      <w:r w:rsidRPr="00A64E6F">
        <w:rPr>
          <w:vertAlign w:val="superscript"/>
        </w:rPr>
        <w:footnoteRef/>
      </w:r>
      <w:r w:rsidRPr="00A64E6F">
        <w:t xml:space="preserve"> </w:t>
      </w:r>
      <w:r w:rsidRPr="00450413">
        <w:rPr>
          <w:rFonts w:ascii="Andes" w:hAnsi="Andes"/>
        </w:rPr>
        <w:t>The spike in inpatient service utilization was mainly due to program maturation (more became aware of the program’s benefit) and the absence of cost-containment measures (drug formulary, member verification, and so forth).</w:t>
      </w:r>
    </w:p>
  </w:footnote>
  <w:footnote w:id="8">
    <w:p w:rsidR="003F7AE3" w:rsidRPr="00A64E6F" w:rsidRDefault="003F7AE3" w:rsidP="00CE0D3F">
      <w:pPr>
        <w:pStyle w:val="FootnoteText"/>
      </w:pPr>
      <w:r w:rsidRPr="00A64E6F">
        <w:rPr>
          <w:rStyle w:val="FootnoteReference"/>
        </w:rPr>
        <w:footnoteRef/>
      </w:r>
      <w:r w:rsidRPr="00A64E6F">
        <w:t xml:space="preserve"> </w:t>
      </w:r>
      <w:proofErr w:type="spellStart"/>
      <w:r w:rsidRPr="00A861A8">
        <w:rPr>
          <w:rFonts w:ascii="Andes" w:hAnsi="Andes"/>
          <w:i/>
        </w:rPr>
        <w:t>Rifaskes</w:t>
      </w:r>
      <w:proofErr w:type="spellEnd"/>
      <w:r w:rsidRPr="00A861A8">
        <w:rPr>
          <w:rFonts w:ascii="Andes" w:hAnsi="Andes"/>
          <w:i/>
        </w:rPr>
        <w:t xml:space="preserve">: </w:t>
      </w:r>
      <w:proofErr w:type="spellStart"/>
      <w:r w:rsidRPr="00A861A8">
        <w:rPr>
          <w:rFonts w:ascii="Andes" w:hAnsi="Andes"/>
          <w:i/>
        </w:rPr>
        <w:t>Riset</w:t>
      </w:r>
      <w:proofErr w:type="spellEnd"/>
      <w:r w:rsidRPr="00A861A8">
        <w:rPr>
          <w:rFonts w:ascii="Andes" w:hAnsi="Andes"/>
          <w:i/>
        </w:rPr>
        <w:t xml:space="preserve"> </w:t>
      </w:r>
      <w:proofErr w:type="spellStart"/>
      <w:r w:rsidRPr="00A861A8">
        <w:rPr>
          <w:rFonts w:ascii="Andes" w:hAnsi="Andes"/>
          <w:i/>
        </w:rPr>
        <w:t>fasilitas</w:t>
      </w:r>
      <w:proofErr w:type="spellEnd"/>
      <w:r w:rsidRPr="00A861A8">
        <w:rPr>
          <w:rFonts w:ascii="Andes" w:hAnsi="Andes"/>
          <w:i/>
        </w:rPr>
        <w:t xml:space="preserve"> </w:t>
      </w:r>
      <w:proofErr w:type="spellStart"/>
      <w:r w:rsidRPr="00A861A8">
        <w:rPr>
          <w:rFonts w:ascii="Andes" w:hAnsi="Andes"/>
          <w:i/>
        </w:rPr>
        <w:t>kesehatan</w:t>
      </w:r>
      <w:proofErr w:type="spellEnd"/>
      <w:r w:rsidRPr="00A861A8">
        <w:rPr>
          <w:rFonts w:ascii="Andes" w:hAnsi="Andes"/>
        </w:rPr>
        <w:t xml:space="preserve"> (Health Facility Research) conducted by the National Institute for Health Research and Development, MOH</w:t>
      </w:r>
      <w:r w:rsidRPr="00A64E6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D0"/>
    <w:multiLevelType w:val="hybridMultilevel"/>
    <w:tmpl w:val="96525620"/>
    <w:lvl w:ilvl="0" w:tplc="A210E02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E2456"/>
    <w:multiLevelType w:val="hybridMultilevel"/>
    <w:tmpl w:val="68C01378"/>
    <w:lvl w:ilvl="0" w:tplc="24A43150">
      <w:start w:val="1"/>
      <w:numFmt w:val="upperRoman"/>
      <w:pStyle w:val="mypara"/>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6E24DE"/>
    <w:multiLevelType w:val="hybridMultilevel"/>
    <w:tmpl w:val="04AEBF5C"/>
    <w:lvl w:ilvl="0" w:tplc="4E766216">
      <w:start w:val="1"/>
      <w:numFmt w:val="lowerLetter"/>
      <w:pStyle w:val="ListParagraph"/>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37EF9"/>
    <w:multiLevelType w:val="multilevel"/>
    <w:tmpl w:val="84D2F476"/>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53F82AC9"/>
    <w:multiLevelType w:val="hybridMultilevel"/>
    <w:tmpl w:val="307C78F8"/>
    <w:lvl w:ilvl="0" w:tplc="1F66E9BE">
      <w:start w:val="1"/>
      <w:numFmt w:val="decimal"/>
      <w:pStyle w:val="ParaNumberPinar"/>
      <w:lvlText w:val="%1."/>
      <w:lvlJc w:val="left"/>
      <w:pPr>
        <w:ind w:left="360" w:hanging="360"/>
      </w:pPr>
      <w:rPr>
        <w:rFonts w:ascii="Garamond" w:hAnsi="Garamond" w:hint="default"/>
        <w:b w:val="0"/>
        <w:i w:val="0"/>
        <w:caps w:val="0"/>
        <w:strike w:val="0"/>
        <w:dstrike w:val="0"/>
        <w:vanish w:val="0"/>
        <w:color w:val="auto"/>
        <w:sz w:val="24"/>
        <w:u w:val="none"/>
        <w:vertAlign w:val="baseline"/>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
    <w:nsid w:val="5E1F2504"/>
    <w:multiLevelType w:val="hybridMultilevel"/>
    <w:tmpl w:val="E4843310"/>
    <w:lvl w:ilvl="0" w:tplc="4C0258BC">
      <w:start w:val="1"/>
      <w:numFmt w:val="upperLetter"/>
      <w:pStyle w:val="ColorfulList-Accent1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3F63E9"/>
    <w:multiLevelType w:val="hybridMultilevel"/>
    <w:tmpl w:val="74CADC90"/>
    <w:lvl w:ilvl="0" w:tplc="965A6172">
      <w:start w:val="1"/>
      <w:numFmt w:val="decimal"/>
      <w:lvlText w:val="%1."/>
      <w:lvlJc w:val="left"/>
      <w:pPr>
        <w:ind w:left="720" w:hanging="360"/>
      </w:pPr>
      <w:rPr>
        <w:rFonts w:ascii="Andes" w:hAnsi="Andes"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11F90"/>
    <w:multiLevelType w:val="multilevel"/>
    <w:tmpl w:val="DAFCB80E"/>
    <w:styleLink w:val="StyleOutlinenumbered"/>
    <w:lvl w:ilvl="0">
      <w:start w:val="1"/>
      <w:numFmt w:val="decimal"/>
      <w:pStyle w:val="para1"/>
      <w:lvlText w:val="%1."/>
      <w:lvlJc w:val="left"/>
      <w:pPr>
        <w:tabs>
          <w:tab w:val="num" w:pos="720"/>
        </w:tabs>
      </w:pPr>
      <w:rPr>
        <w:rFonts w:cs="Times New Roman" w:hint="default"/>
        <w:sz w:val="22"/>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6D0532DF"/>
    <w:multiLevelType w:val="hybridMultilevel"/>
    <w:tmpl w:val="DDF459B0"/>
    <w:lvl w:ilvl="0" w:tplc="C89A5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F96F29"/>
    <w:multiLevelType w:val="hybridMultilevel"/>
    <w:tmpl w:val="B0845408"/>
    <w:lvl w:ilvl="0" w:tplc="46C6672C">
      <w:start w:val="1"/>
      <w:numFmt w:val="decimal"/>
      <w:pStyle w:val="Numberedliststyle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4"/>
  </w:num>
  <w:num w:numId="12">
    <w:abstractNumId w:val="1"/>
  </w:num>
  <w:num w:numId="13">
    <w:abstractNumId w:val="4"/>
  </w:num>
  <w:num w:numId="14">
    <w:abstractNumId w:val="5"/>
  </w:num>
  <w:num w:numId="15">
    <w:abstractNumId w:val="9"/>
  </w:num>
  <w:num w:numId="16">
    <w:abstractNumId w:val="0"/>
  </w:num>
  <w:num w:numId="17">
    <w:abstractNumId w:val="7"/>
    <w:lvlOverride w:ilvl="0">
      <w:lvl w:ilvl="0">
        <w:start w:val="1"/>
        <w:numFmt w:val="decimal"/>
        <w:pStyle w:val="para1"/>
        <w:lvlText w:val="%1."/>
        <w:lvlJc w:val="left"/>
        <w:pPr>
          <w:tabs>
            <w:tab w:val="num" w:pos="720"/>
          </w:tabs>
        </w:pPr>
        <w:rPr>
          <w:rFonts w:cs="Times New Roman" w:hint="default"/>
          <w:color w:val="auto"/>
          <w:sz w:val="22"/>
        </w:rPr>
      </w:lvl>
    </w:lvlOverride>
  </w:num>
  <w:num w:numId="18">
    <w:abstractNumId w:val="7"/>
  </w:num>
  <w:num w:numId="19">
    <w:abstractNumId w:val="5"/>
  </w:num>
  <w:num w:numId="20">
    <w:abstractNumId w:val="9"/>
  </w:num>
  <w:num w:numId="21">
    <w:abstractNumId w:val="0"/>
  </w:num>
  <w:num w:numId="22">
    <w:abstractNumId w:val="7"/>
    <w:lvlOverride w:ilvl="0">
      <w:lvl w:ilvl="0">
        <w:start w:val="1"/>
        <w:numFmt w:val="decimal"/>
        <w:pStyle w:val="para1"/>
        <w:lvlText w:val="%1."/>
        <w:lvlJc w:val="left"/>
        <w:pPr>
          <w:tabs>
            <w:tab w:val="num" w:pos="720"/>
          </w:tabs>
        </w:pPr>
        <w:rPr>
          <w:rFonts w:cs="Times New Roman" w:hint="default"/>
          <w:color w:val="auto"/>
          <w:sz w:val="22"/>
        </w:rPr>
      </w:lvl>
    </w:lvlOverride>
  </w:num>
  <w:num w:numId="23">
    <w:abstractNumId w:val="7"/>
  </w:num>
  <w:num w:numId="24">
    <w:abstractNumId w:val="1"/>
  </w:num>
  <w:num w:numId="25">
    <w:abstractNumId w:val="4"/>
  </w:num>
  <w:num w:numId="26">
    <w:abstractNumId w:val="1"/>
  </w:num>
  <w:num w:numId="27">
    <w:abstractNumId w:val="4"/>
  </w:num>
  <w:num w:numId="28">
    <w:abstractNumId w:val="1"/>
  </w:num>
  <w:num w:numId="29">
    <w:abstractNumId w:val="4"/>
  </w:num>
  <w:num w:numId="30">
    <w:abstractNumId w:val="5"/>
  </w:num>
  <w:num w:numId="31">
    <w:abstractNumId w:val="9"/>
  </w:num>
  <w:num w:numId="32">
    <w:abstractNumId w:val="0"/>
  </w:num>
  <w:num w:numId="33">
    <w:abstractNumId w:val="7"/>
  </w:num>
  <w:num w:numId="34">
    <w:abstractNumId w:val="7"/>
  </w:num>
  <w:num w:numId="35">
    <w:abstractNumId w:val="6"/>
  </w:num>
  <w:num w:numId="36">
    <w:abstractNumId w:val="8"/>
  </w:num>
  <w:num w:numId="37">
    <w:abstractNumId w:val="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3F"/>
    <w:rsid w:val="00031CE5"/>
    <w:rsid w:val="0004011F"/>
    <w:rsid w:val="00042438"/>
    <w:rsid w:val="00042A8D"/>
    <w:rsid w:val="000546A0"/>
    <w:rsid w:val="00062081"/>
    <w:rsid w:val="00076B89"/>
    <w:rsid w:val="000914AF"/>
    <w:rsid w:val="000A0206"/>
    <w:rsid w:val="000B11A5"/>
    <w:rsid w:val="000B13B2"/>
    <w:rsid w:val="000D2102"/>
    <w:rsid w:val="000E021D"/>
    <w:rsid w:val="000E35FE"/>
    <w:rsid w:val="000E702C"/>
    <w:rsid w:val="000F6D01"/>
    <w:rsid w:val="001001B4"/>
    <w:rsid w:val="00101E4A"/>
    <w:rsid w:val="00104E52"/>
    <w:rsid w:val="001063C9"/>
    <w:rsid w:val="001126AF"/>
    <w:rsid w:val="0011536E"/>
    <w:rsid w:val="00130D65"/>
    <w:rsid w:val="00141474"/>
    <w:rsid w:val="0014227A"/>
    <w:rsid w:val="001535A5"/>
    <w:rsid w:val="00153BB9"/>
    <w:rsid w:val="001632FC"/>
    <w:rsid w:val="00167754"/>
    <w:rsid w:val="00177BF4"/>
    <w:rsid w:val="001824E3"/>
    <w:rsid w:val="00183446"/>
    <w:rsid w:val="0018585A"/>
    <w:rsid w:val="00192A3A"/>
    <w:rsid w:val="00195A82"/>
    <w:rsid w:val="00195A9E"/>
    <w:rsid w:val="001A77C0"/>
    <w:rsid w:val="001B453E"/>
    <w:rsid w:val="001B6060"/>
    <w:rsid w:val="001C12EF"/>
    <w:rsid w:val="001C6A90"/>
    <w:rsid w:val="001D553E"/>
    <w:rsid w:val="001E4D1C"/>
    <w:rsid w:val="001F0330"/>
    <w:rsid w:val="001F4B6C"/>
    <w:rsid w:val="00200C2A"/>
    <w:rsid w:val="00203215"/>
    <w:rsid w:val="00213C68"/>
    <w:rsid w:val="00230A77"/>
    <w:rsid w:val="00236FFA"/>
    <w:rsid w:val="00250452"/>
    <w:rsid w:val="002511D3"/>
    <w:rsid w:val="00254732"/>
    <w:rsid w:val="002774CA"/>
    <w:rsid w:val="0027787B"/>
    <w:rsid w:val="00286454"/>
    <w:rsid w:val="00291BCB"/>
    <w:rsid w:val="00293010"/>
    <w:rsid w:val="002A294A"/>
    <w:rsid w:val="002A3D4E"/>
    <w:rsid w:val="002A5F5C"/>
    <w:rsid w:val="002A6ED3"/>
    <w:rsid w:val="002B6243"/>
    <w:rsid w:val="002C66ED"/>
    <w:rsid w:val="002D350D"/>
    <w:rsid w:val="002D5D11"/>
    <w:rsid w:val="002D76D6"/>
    <w:rsid w:val="002F0934"/>
    <w:rsid w:val="002F5B62"/>
    <w:rsid w:val="002F5C9A"/>
    <w:rsid w:val="002F718D"/>
    <w:rsid w:val="00302664"/>
    <w:rsid w:val="003255CC"/>
    <w:rsid w:val="00343C50"/>
    <w:rsid w:val="003456C4"/>
    <w:rsid w:val="003523C1"/>
    <w:rsid w:val="00361839"/>
    <w:rsid w:val="0037159D"/>
    <w:rsid w:val="003730C8"/>
    <w:rsid w:val="003A15EC"/>
    <w:rsid w:val="003A303B"/>
    <w:rsid w:val="003B2F4A"/>
    <w:rsid w:val="003B4911"/>
    <w:rsid w:val="003B5B8B"/>
    <w:rsid w:val="003F0E3E"/>
    <w:rsid w:val="003F119E"/>
    <w:rsid w:val="003F7AE3"/>
    <w:rsid w:val="00403371"/>
    <w:rsid w:val="00413035"/>
    <w:rsid w:val="00413FA7"/>
    <w:rsid w:val="00416F3C"/>
    <w:rsid w:val="00421CCA"/>
    <w:rsid w:val="00450413"/>
    <w:rsid w:val="00455A59"/>
    <w:rsid w:val="0046320E"/>
    <w:rsid w:val="00465C32"/>
    <w:rsid w:val="00471F23"/>
    <w:rsid w:val="00472CCC"/>
    <w:rsid w:val="004836DC"/>
    <w:rsid w:val="004848CE"/>
    <w:rsid w:val="004851F8"/>
    <w:rsid w:val="00487989"/>
    <w:rsid w:val="00493915"/>
    <w:rsid w:val="00496597"/>
    <w:rsid w:val="004A5B4A"/>
    <w:rsid w:val="004B3FE1"/>
    <w:rsid w:val="004C5D23"/>
    <w:rsid w:val="004E71C5"/>
    <w:rsid w:val="004F0601"/>
    <w:rsid w:val="004F71EB"/>
    <w:rsid w:val="004F782D"/>
    <w:rsid w:val="004F79D5"/>
    <w:rsid w:val="00500A8E"/>
    <w:rsid w:val="00515DDD"/>
    <w:rsid w:val="00523E4D"/>
    <w:rsid w:val="00525F22"/>
    <w:rsid w:val="005309EB"/>
    <w:rsid w:val="00531447"/>
    <w:rsid w:val="00533C32"/>
    <w:rsid w:val="005340CB"/>
    <w:rsid w:val="00534A12"/>
    <w:rsid w:val="00552FD0"/>
    <w:rsid w:val="0055302C"/>
    <w:rsid w:val="00564F43"/>
    <w:rsid w:val="005713AE"/>
    <w:rsid w:val="00577DAF"/>
    <w:rsid w:val="0058555D"/>
    <w:rsid w:val="005A22F5"/>
    <w:rsid w:val="005A4C8E"/>
    <w:rsid w:val="005B103E"/>
    <w:rsid w:val="005B4CEC"/>
    <w:rsid w:val="005C66F2"/>
    <w:rsid w:val="005D6272"/>
    <w:rsid w:val="005E38DB"/>
    <w:rsid w:val="005E4F45"/>
    <w:rsid w:val="005F4587"/>
    <w:rsid w:val="005F4BD6"/>
    <w:rsid w:val="00600A42"/>
    <w:rsid w:val="006166C4"/>
    <w:rsid w:val="00621425"/>
    <w:rsid w:val="006242CC"/>
    <w:rsid w:val="0063224B"/>
    <w:rsid w:val="006331CF"/>
    <w:rsid w:val="00633AC0"/>
    <w:rsid w:val="00644C76"/>
    <w:rsid w:val="00657F9B"/>
    <w:rsid w:val="00667AE3"/>
    <w:rsid w:val="00676978"/>
    <w:rsid w:val="00680251"/>
    <w:rsid w:val="00685889"/>
    <w:rsid w:val="006858F6"/>
    <w:rsid w:val="006956C0"/>
    <w:rsid w:val="006B6B8D"/>
    <w:rsid w:val="006D446C"/>
    <w:rsid w:val="006F79D4"/>
    <w:rsid w:val="007143E8"/>
    <w:rsid w:val="0071483B"/>
    <w:rsid w:val="00714F67"/>
    <w:rsid w:val="00731FC7"/>
    <w:rsid w:val="0073347A"/>
    <w:rsid w:val="00756160"/>
    <w:rsid w:val="007573B9"/>
    <w:rsid w:val="00784AB4"/>
    <w:rsid w:val="007A2885"/>
    <w:rsid w:val="007B16F7"/>
    <w:rsid w:val="007B29CD"/>
    <w:rsid w:val="007B72F1"/>
    <w:rsid w:val="007C2CF5"/>
    <w:rsid w:val="007C54EE"/>
    <w:rsid w:val="007C5D73"/>
    <w:rsid w:val="007D16D9"/>
    <w:rsid w:val="007D6574"/>
    <w:rsid w:val="007D7BE6"/>
    <w:rsid w:val="007E27EC"/>
    <w:rsid w:val="007E4409"/>
    <w:rsid w:val="007E59A5"/>
    <w:rsid w:val="00802EBE"/>
    <w:rsid w:val="00816D58"/>
    <w:rsid w:val="00823F25"/>
    <w:rsid w:val="008731A5"/>
    <w:rsid w:val="0087516E"/>
    <w:rsid w:val="00881244"/>
    <w:rsid w:val="00882AD7"/>
    <w:rsid w:val="008B1F14"/>
    <w:rsid w:val="008B4C13"/>
    <w:rsid w:val="008B5200"/>
    <w:rsid w:val="008C20F6"/>
    <w:rsid w:val="008C5E63"/>
    <w:rsid w:val="008C6472"/>
    <w:rsid w:val="008D0A5A"/>
    <w:rsid w:val="008D1B46"/>
    <w:rsid w:val="008E681B"/>
    <w:rsid w:val="008F06FF"/>
    <w:rsid w:val="0090188F"/>
    <w:rsid w:val="00905496"/>
    <w:rsid w:val="009075B6"/>
    <w:rsid w:val="009156B0"/>
    <w:rsid w:val="0092471F"/>
    <w:rsid w:val="0092758A"/>
    <w:rsid w:val="00940579"/>
    <w:rsid w:val="009566BF"/>
    <w:rsid w:val="009622C0"/>
    <w:rsid w:val="00972486"/>
    <w:rsid w:val="009757E0"/>
    <w:rsid w:val="009807DE"/>
    <w:rsid w:val="009822C7"/>
    <w:rsid w:val="00987E99"/>
    <w:rsid w:val="009A0595"/>
    <w:rsid w:val="009A150B"/>
    <w:rsid w:val="009A2348"/>
    <w:rsid w:val="009B28DE"/>
    <w:rsid w:val="009C61A3"/>
    <w:rsid w:val="009E6654"/>
    <w:rsid w:val="00A0679A"/>
    <w:rsid w:val="00A158AD"/>
    <w:rsid w:val="00A23514"/>
    <w:rsid w:val="00A258E1"/>
    <w:rsid w:val="00A33BB4"/>
    <w:rsid w:val="00A467E4"/>
    <w:rsid w:val="00A5258C"/>
    <w:rsid w:val="00A622F3"/>
    <w:rsid w:val="00A659AD"/>
    <w:rsid w:val="00A75B46"/>
    <w:rsid w:val="00A8194F"/>
    <w:rsid w:val="00A854A3"/>
    <w:rsid w:val="00A861A8"/>
    <w:rsid w:val="00AA3D95"/>
    <w:rsid w:val="00AB2DEF"/>
    <w:rsid w:val="00AB4A2D"/>
    <w:rsid w:val="00AB7358"/>
    <w:rsid w:val="00AB78B2"/>
    <w:rsid w:val="00AC6089"/>
    <w:rsid w:val="00AC7DC1"/>
    <w:rsid w:val="00AD68AD"/>
    <w:rsid w:val="00AE7B6D"/>
    <w:rsid w:val="00AF095C"/>
    <w:rsid w:val="00B172A7"/>
    <w:rsid w:val="00B31362"/>
    <w:rsid w:val="00B35428"/>
    <w:rsid w:val="00B35D88"/>
    <w:rsid w:val="00B42D1B"/>
    <w:rsid w:val="00B63E1F"/>
    <w:rsid w:val="00B653E2"/>
    <w:rsid w:val="00B663FB"/>
    <w:rsid w:val="00B74BA4"/>
    <w:rsid w:val="00B77D8A"/>
    <w:rsid w:val="00B820A6"/>
    <w:rsid w:val="00B822BE"/>
    <w:rsid w:val="00B860EF"/>
    <w:rsid w:val="00B941B9"/>
    <w:rsid w:val="00B96612"/>
    <w:rsid w:val="00BA3756"/>
    <w:rsid w:val="00BB2431"/>
    <w:rsid w:val="00BB726B"/>
    <w:rsid w:val="00BD1969"/>
    <w:rsid w:val="00BD7A30"/>
    <w:rsid w:val="00BE6693"/>
    <w:rsid w:val="00C01201"/>
    <w:rsid w:val="00C042F8"/>
    <w:rsid w:val="00C06E0E"/>
    <w:rsid w:val="00C22C37"/>
    <w:rsid w:val="00C2592F"/>
    <w:rsid w:val="00C354E7"/>
    <w:rsid w:val="00C619B4"/>
    <w:rsid w:val="00C67AFE"/>
    <w:rsid w:val="00C711F6"/>
    <w:rsid w:val="00C74A5B"/>
    <w:rsid w:val="00C76ED7"/>
    <w:rsid w:val="00C8213A"/>
    <w:rsid w:val="00C84A8D"/>
    <w:rsid w:val="00C97F75"/>
    <w:rsid w:val="00CA5CCE"/>
    <w:rsid w:val="00CA6FDC"/>
    <w:rsid w:val="00CB0329"/>
    <w:rsid w:val="00CB6DB4"/>
    <w:rsid w:val="00CC1F08"/>
    <w:rsid w:val="00CD2562"/>
    <w:rsid w:val="00CD3272"/>
    <w:rsid w:val="00CD5EB0"/>
    <w:rsid w:val="00CD716C"/>
    <w:rsid w:val="00CE0D3F"/>
    <w:rsid w:val="00CF067D"/>
    <w:rsid w:val="00CF0895"/>
    <w:rsid w:val="00CF7C4A"/>
    <w:rsid w:val="00CF7D7C"/>
    <w:rsid w:val="00D11B7E"/>
    <w:rsid w:val="00D1307B"/>
    <w:rsid w:val="00D138E9"/>
    <w:rsid w:val="00D459A6"/>
    <w:rsid w:val="00D47A0A"/>
    <w:rsid w:val="00D55C86"/>
    <w:rsid w:val="00D7091F"/>
    <w:rsid w:val="00D726F8"/>
    <w:rsid w:val="00D748C1"/>
    <w:rsid w:val="00D7578C"/>
    <w:rsid w:val="00D841E9"/>
    <w:rsid w:val="00D93DDB"/>
    <w:rsid w:val="00D95B65"/>
    <w:rsid w:val="00D95CF6"/>
    <w:rsid w:val="00D97CE5"/>
    <w:rsid w:val="00DA0AFC"/>
    <w:rsid w:val="00DA43F2"/>
    <w:rsid w:val="00DA63A7"/>
    <w:rsid w:val="00DB29F4"/>
    <w:rsid w:val="00DD74F2"/>
    <w:rsid w:val="00DF1B33"/>
    <w:rsid w:val="00DF2DEB"/>
    <w:rsid w:val="00E01735"/>
    <w:rsid w:val="00E02517"/>
    <w:rsid w:val="00E07E93"/>
    <w:rsid w:val="00E11322"/>
    <w:rsid w:val="00E14A73"/>
    <w:rsid w:val="00E2091A"/>
    <w:rsid w:val="00E3525B"/>
    <w:rsid w:val="00E4173B"/>
    <w:rsid w:val="00E428C0"/>
    <w:rsid w:val="00E5642C"/>
    <w:rsid w:val="00E56F28"/>
    <w:rsid w:val="00E97DF6"/>
    <w:rsid w:val="00EA1857"/>
    <w:rsid w:val="00ED126B"/>
    <w:rsid w:val="00EF54A3"/>
    <w:rsid w:val="00F03409"/>
    <w:rsid w:val="00F03BE8"/>
    <w:rsid w:val="00F15500"/>
    <w:rsid w:val="00F343C5"/>
    <w:rsid w:val="00F43F36"/>
    <w:rsid w:val="00F516BC"/>
    <w:rsid w:val="00F77667"/>
    <w:rsid w:val="00F83C8E"/>
    <w:rsid w:val="00F841D2"/>
    <w:rsid w:val="00F90041"/>
    <w:rsid w:val="00FB58DC"/>
    <w:rsid w:val="00FC04DD"/>
    <w:rsid w:val="00FC22B6"/>
    <w:rsid w:val="00FD0F3D"/>
    <w:rsid w:val="00FE2433"/>
    <w:rsid w:val="00FE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3D effects 3"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E0D3F"/>
    <w:rPr>
      <w:rFonts w:ascii="Andes" w:eastAsia="MS Mincho" w:hAnsi="Andes" w:cs="Calibri"/>
    </w:rPr>
  </w:style>
  <w:style w:type="paragraph" w:styleId="Heading1">
    <w:name w:val="heading 1"/>
    <w:basedOn w:val="Normal"/>
    <w:next w:val="Normal"/>
    <w:link w:val="Heading1Char"/>
    <w:uiPriority w:val="9"/>
    <w:qFormat/>
    <w:rsid w:val="00CE0D3F"/>
    <w:pPr>
      <w:keepNext/>
      <w:keepLines/>
      <w:spacing w:before="480" w:after="240"/>
      <w:jc w:val="center"/>
      <w:outlineLvl w:val="0"/>
    </w:pPr>
    <w:rPr>
      <w:rFonts w:eastAsiaTheme="majorEastAsia" w:cs="Arial"/>
      <w:b/>
      <w:bCs/>
      <w:color w:val="365F91" w:themeColor="accent1" w:themeShade="BF"/>
      <w:kern w:val="24"/>
      <w:sz w:val="28"/>
      <w:szCs w:val="28"/>
    </w:rPr>
  </w:style>
  <w:style w:type="paragraph" w:styleId="Heading2">
    <w:name w:val="heading 2"/>
    <w:basedOn w:val="Normal"/>
    <w:next w:val="Normal"/>
    <w:link w:val="Heading2Char"/>
    <w:unhideWhenUsed/>
    <w:qFormat/>
    <w:rsid w:val="00CE0D3F"/>
    <w:pPr>
      <w:keepNext/>
      <w:keepLines/>
      <w:spacing w:before="360"/>
      <w:outlineLvl w:val="1"/>
    </w:pPr>
    <w:rPr>
      <w:rFonts w:ascii="Arial" w:eastAsiaTheme="majorEastAsia" w:hAnsi="Arial" w:cstheme="majorBidi"/>
      <w:b/>
      <w:bCs/>
      <w:color w:val="1F497D" w:themeColor="text2"/>
      <w:kern w:val="24"/>
      <w:sz w:val="24"/>
      <w:szCs w:val="24"/>
    </w:rPr>
  </w:style>
  <w:style w:type="paragraph" w:styleId="Heading3">
    <w:name w:val="heading 3"/>
    <w:basedOn w:val="Normal"/>
    <w:next w:val="Normal"/>
    <w:link w:val="Heading3Char"/>
    <w:uiPriority w:val="9"/>
    <w:unhideWhenUsed/>
    <w:qFormat/>
    <w:rsid w:val="00CE0D3F"/>
    <w:pPr>
      <w:keepNext/>
      <w:keepLines/>
      <w:spacing w:before="240"/>
      <w:outlineLvl w:val="2"/>
    </w:pPr>
    <w:rPr>
      <w:rFonts w:eastAsiaTheme="majorEastAsia" w:cs="Arial"/>
      <w:b/>
      <w:bCs/>
      <w:color w:val="4F81BD" w:themeColor="accent1"/>
      <w:kern w:val="24"/>
    </w:rPr>
  </w:style>
  <w:style w:type="paragraph" w:styleId="Heading4">
    <w:name w:val="heading 4"/>
    <w:basedOn w:val="Heading3"/>
    <w:next w:val="Normal"/>
    <w:link w:val="Heading4Char"/>
    <w:uiPriority w:val="9"/>
    <w:unhideWhenUsed/>
    <w:qFormat/>
    <w:rsid w:val="00CE0D3F"/>
    <w:pPr>
      <w:ind w:left="720"/>
      <w:outlineLvl w:val="3"/>
    </w:pPr>
    <w:rPr>
      <w:rFonts w:ascii="Arial" w:hAnsi="Arial"/>
      <w:i/>
      <w:color w:val="1F497D" w:themeColor="text2"/>
    </w:rPr>
  </w:style>
  <w:style w:type="paragraph" w:styleId="Heading5">
    <w:name w:val="heading 5"/>
    <w:basedOn w:val="Heading4"/>
    <w:next w:val="Normal"/>
    <w:link w:val="Heading5Char"/>
    <w:uiPriority w:val="9"/>
    <w:unhideWhenUsed/>
    <w:qFormat/>
    <w:rsid w:val="00CE0D3F"/>
    <w:pPr>
      <w:outlineLvl w:val="4"/>
    </w:pPr>
    <w:rPr>
      <w:rFonts w:asciiTheme="majorHAnsi" w:hAnsiTheme="majorHAnsi" w:cstheme="majorBidi"/>
      <w:lang w:eastAsia="ja-JP"/>
    </w:rPr>
  </w:style>
  <w:style w:type="paragraph" w:styleId="Heading6">
    <w:name w:val="heading 6"/>
    <w:basedOn w:val="Normal"/>
    <w:next w:val="Normal"/>
    <w:link w:val="Heading6Char"/>
    <w:unhideWhenUsed/>
    <w:qFormat/>
    <w:rsid w:val="00CE0D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E0D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E0D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CE0D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3F"/>
    <w:rPr>
      <w:rFonts w:ascii="Andes" w:eastAsiaTheme="majorEastAsia" w:hAnsi="Andes" w:cs="Arial"/>
      <w:b/>
      <w:bCs/>
      <w:color w:val="365F91" w:themeColor="accent1" w:themeShade="BF"/>
      <w:kern w:val="24"/>
      <w:sz w:val="28"/>
      <w:szCs w:val="28"/>
    </w:rPr>
  </w:style>
  <w:style w:type="character" w:customStyle="1" w:styleId="Heading2Char">
    <w:name w:val="Heading 2 Char"/>
    <w:basedOn w:val="DefaultParagraphFont"/>
    <w:link w:val="Heading2"/>
    <w:rsid w:val="00CE0D3F"/>
    <w:rPr>
      <w:rFonts w:ascii="Arial" w:eastAsiaTheme="majorEastAsia" w:hAnsi="Arial" w:cstheme="majorBidi"/>
      <w:b/>
      <w:bCs/>
      <w:color w:val="1F497D" w:themeColor="text2"/>
      <w:kern w:val="24"/>
      <w:sz w:val="24"/>
      <w:szCs w:val="24"/>
    </w:rPr>
  </w:style>
  <w:style w:type="character" w:customStyle="1" w:styleId="Heading3Char">
    <w:name w:val="Heading 3 Char"/>
    <w:basedOn w:val="DefaultParagraphFont"/>
    <w:link w:val="Heading3"/>
    <w:uiPriority w:val="9"/>
    <w:rsid w:val="00CE0D3F"/>
    <w:rPr>
      <w:rFonts w:ascii="Andes" w:eastAsiaTheme="majorEastAsia" w:hAnsi="Andes" w:cs="Arial"/>
      <w:b/>
      <w:bCs/>
      <w:color w:val="4F81BD" w:themeColor="accent1"/>
      <w:kern w:val="24"/>
    </w:rPr>
  </w:style>
  <w:style w:type="character" w:customStyle="1" w:styleId="Heading4Char">
    <w:name w:val="Heading 4 Char"/>
    <w:basedOn w:val="DefaultParagraphFont"/>
    <w:link w:val="Heading4"/>
    <w:uiPriority w:val="9"/>
    <w:rsid w:val="00CE0D3F"/>
    <w:rPr>
      <w:rFonts w:ascii="Arial" w:eastAsiaTheme="majorEastAsia" w:hAnsi="Arial" w:cs="Arial"/>
      <w:b/>
      <w:bCs/>
      <w:i/>
      <w:color w:val="1F497D" w:themeColor="text2"/>
      <w:kern w:val="24"/>
    </w:rPr>
  </w:style>
  <w:style w:type="character" w:customStyle="1" w:styleId="Heading5Char">
    <w:name w:val="Heading 5 Char"/>
    <w:basedOn w:val="DefaultParagraphFont"/>
    <w:link w:val="Heading5"/>
    <w:uiPriority w:val="9"/>
    <w:rsid w:val="00CE0D3F"/>
    <w:rPr>
      <w:rFonts w:asciiTheme="majorHAnsi" w:eastAsiaTheme="majorEastAsia" w:hAnsiTheme="majorHAnsi" w:cstheme="majorBidi"/>
      <w:b/>
      <w:bCs/>
      <w:i/>
      <w:color w:val="1F497D" w:themeColor="text2"/>
      <w:kern w:val="24"/>
      <w:lang w:eastAsia="ja-JP"/>
    </w:rPr>
  </w:style>
  <w:style w:type="character" w:customStyle="1" w:styleId="Heading6Char">
    <w:name w:val="Heading 6 Char"/>
    <w:basedOn w:val="DefaultParagraphFont"/>
    <w:link w:val="Heading6"/>
    <w:rsid w:val="00CE0D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E0D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E0D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CE0D3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nhideWhenUsed/>
    <w:rsid w:val="001535A5"/>
    <w:pPr>
      <w:tabs>
        <w:tab w:val="left" w:pos="720"/>
      </w:tabs>
    </w:pPr>
    <w:rPr>
      <w:szCs w:val="20"/>
    </w:rPr>
  </w:style>
  <w:style w:type="character" w:customStyle="1" w:styleId="EndnoteTextChar">
    <w:name w:val="Endnote Text Char"/>
    <w:basedOn w:val="DefaultParagraphFont"/>
    <w:link w:val="EndnoteText"/>
    <w:rsid w:val="001535A5"/>
    <w:rPr>
      <w:rFonts w:ascii="Arial" w:hAnsi="Arial" w:cs="Calibri"/>
      <w:kern w:val="24"/>
      <w:sz w:val="20"/>
      <w:szCs w:val="20"/>
    </w:rPr>
  </w:style>
  <w:style w:type="paragraph" w:customStyle="1" w:styleId="Bodytext">
    <w:name w:val="Bodytext"/>
    <w:basedOn w:val="Normal"/>
    <w:link w:val="BodytextChar"/>
    <w:uiPriority w:val="99"/>
    <w:rsid w:val="001535A5"/>
  </w:style>
  <w:style w:type="paragraph" w:styleId="Caption">
    <w:name w:val="caption"/>
    <w:basedOn w:val="Normal"/>
    <w:next w:val="Normal"/>
    <w:link w:val="CaptionChar"/>
    <w:uiPriority w:val="99"/>
    <w:unhideWhenUsed/>
    <w:qFormat/>
    <w:rsid w:val="003456C4"/>
    <w:pPr>
      <w:spacing w:before="240"/>
    </w:pPr>
    <w:rPr>
      <w:rFonts w:ascii="Arial" w:hAnsi="Arial"/>
      <w:b/>
      <w:bCs/>
      <w:lang w:eastAsia="ja-JP"/>
    </w:rPr>
  </w:style>
  <w:style w:type="character" w:customStyle="1" w:styleId="CaptionChar">
    <w:name w:val="Caption Char"/>
    <w:link w:val="Caption"/>
    <w:uiPriority w:val="99"/>
    <w:locked/>
    <w:rsid w:val="003456C4"/>
    <w:rPr>
      <w:rFonts w:ascii="Arial" w:eastAsia="MS Mincho" w:hAnsi="Arial" w:cs="Calibri"/>
      <w:b/>
      <w:bCs/>
      <w:lang w:eastAsia="ja-JP"/>
    </w:rPr>
  </w:style>
  <w:style w:type="paragraph" w:styleId="Title">
    <w:name w:val="Title"/>
    <w:basedOn w:val="Normal"/>
    <w:next w:val="Normal"/>
    <w:link w:val="TitleChar"/>
    <w:qFormat/>
    <w:rsid w:val="00CE0D3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CE0D3F"/>
    <w:rPr>
      <w:rFonts w:ascii="Andes" w:eastAsiaTheme="majorEastAsia" w:hAnsi="Andes"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0D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D3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E0D3F"/>
    <w:rPr>
      <w:b/>
      <w:bCs/>
    </w:rPr>
  </w:style>
  <w:style w:type="character" w:styleId="Emphasis">
    <w:name w:val="Emphasis"/>
    <w:basedOn w:val="DefaultParagraphFont"/>
    <w:qFormat/>
    <w:rsid w:val="00CE0D3F"/>
    <w:rPr>
      <w:i/>
      <w:iCs/>
    </w:rPr>
  </w:style>
  <w:style w:type="paragraph" w:styleId="NoSpacing">
    <w:name w:val="No Spacing"/>
    <w:aliases w:val="Subtitle 1"/>
    <w:basedOn w:val="Heading3"/>
    <w:link w:val="NoSpacingChar"/>
    <w:uiPriority w:val="1"/>
    <w:qFormat/>
    <w:rsid w:val="00CE0D3F"/>
    <w:pPr>
      <w:ind w:left="-720"/>
      <w:jc w:val="center"/>
    </w:pPr>
    <w:rPr>
      <w:rFonts w:cstheme="majorBidi"/>
      <w:color w:val="1F497D" w:themeColor="text2"/>
      <w:kern w:val="0"/>
      <w:sz w:val="28"/>
      <w:szCs w:val="28"/>
    </w:rPr>
  </w:style>
  <w:style w:type="paragraph" w:styleId="ListParagraph">
    <w:name w:val="List Paragraph"/>
    <w:aliases w:val="Bullet Paragraph"/>
    <w:basedOn w:val="Normal"/>
    <w:link w:val="ListParagraphChar"/>
    <w:uiPriority w:val="34"/>
    <w:qFormat/>
    <w:rsid w:val="00CE0D3F"/>
    <w:pPr>
      <w:numPr>
        <w:numId w:val="37"/>
      </w:numPr>
      <w:ind w:left="720"/>
    </w:pPr>
    <w:rPr>
      <w:rFonts w:eastAsiaTheme="minorHAnsi"/>
      <w:kern w:val="24"/>
    </w:rPr>
  </w:style>
  <w:style w:type="character" w:customStyle="1" w:styleId="NoSpacingChar">
    <w:name w:val="No Spacing Char"/>
    <w:aliases w:val="Subtitle 1 Char"/>
    <w:basedOn w:val="DefaultParagraphFont"/>
    <w:link w:val="NoSpacing"/>
    <w:uiPriority w:val="1"/>
    <w:rsid w:val="00CE0D3F"/>
    <w:rPr>
      <w:rFonts w:ascii="Andes" w:eastAsiaTheme="majorEastAsia" w:hAnsi="Andes" w:cstheme="majorBidi"/>
      <w:b/>
      <w:bCs/>
      <w:color w:val="1F497D" w:themeColor="text2"/>
      <w:sz w:val="28"/>
      <w:szCs w:val="28"/>
    </w:rPr>
  </w:style>
  <w:style w:type="paragraph" w:styleId="Quote">
    <w:name w:val="Quote"/>
    <w:basedOn w:val="Normal"/>
    <w:next w:val="Normal"/>
    <w:link w:val="QuoteChar"/>
    <w:uiPriority w:val="29"/>
    <w:qFormat/>
    <w:rsid w:val="00CE0D3F"/>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E0D3F"/>
    <w:rPr>
      <w:i/>
      <w:iCs/>
      <w:color w:val="000000" w:themeColor="text1"/>
    </w:rPr>
  </w:style>
  <w:style w:type="paragraph" w:styleId="IntenseQuote">
    <w:name w:val="Intense Quote"/>
    <w:basedOn w:val="Normal"/>
    <w:next w:val="Normal"/>
    <w:link w:val="IntenseQuoteChar"/>
    <w:uiPriority w:val="30"/>
    <w:qFormat/>
    <w:rsid w:val="00CE0D3F"/>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E0D3F"/>
    <w:rPr>
      <w:b/>
      <w:bCs/>
      <w:i/>
      <w:iCs/>
      <w:color w:val="4F81BD" w:themeColor="accent1"/>
    </w:rPr>
  </w:style>
  <w:style w:type="character" w:styleId="SubtleEmphasis">
    <w:name w:val="Subtle Emphasis"/>
    <w:basedOn w:val="DefaultParagraphFont"/>
    <w:uiPriority w:val="19"/>
    <w:qFormat/>
    <w:rsid w:val="00CE0D3F"/>
    <w:rPr>
      <w:i/>
      <w:iCs/>
      <w:color w:val="808080" w:themeColor="text1" w:themeTint="7F"/>
    </w:rPr>
  </w:style>
  <w:style w:type="character" w:styleId="IntenseEmphasis">
    <w:name w:val="Intense Emphasis"/>
    <w:basedOn w:val="DefaultParagraphFont"/>
    <w:uiPriority w:val="21"/>
    <w:qFormat/>
    <w:rsid w:val="00CE0D3F"/>
    <w:rPr>
      <w:b/>
      <w:bCs/>
      <w:i/>
      <w:iCs/>
      <w:color w:val="4F81BD" w:themeColor="accent1"/>
    </w:rPr>
  </w:style>
  <w:style w:type="character" w:styleId="SubtleReference">
    <w:name w:val="Subtle Reference"/>
    <w:basedOn w:val="DefaultParagraphFont"/>
    <w:uiPriority w:val="31"/>
    <w:qFormat/>
    <w:rsid w:val="00CE0D3F"/>
    <w:rPr>
      <w:smallCaps/>
      <w:color w:val="C0504D" w:themeColor="accent2"/>
      <w:u w:val="single"/>
    </w:rPr>
  </w:style>
  <w:style w:type="character" w:styleId="IntenseReference">
    <w:name w:val="Intense Reference"/>
    <w:basedOn w:val="DefaultParagraphFont"/>
    <w:uiPriority w:val="32"/>
    <w:qFormat/>
    <w:rsid w:val="00CE0D3F"/>
    <w:rPr>
      <w:b/>
      <w:bCs/>
      <w:smallCaps/>
      <w:color w:val="C0504D" w:themeColor="accent2"/>
      <w:spacing w:val="5"/>
      <w:u w:val="single"/>
    </w:rPr>
  </w:style>
  <w:style w:type="character" w:styleId="BookTitle">
    <w:name w:val="Book Title"/>
    <w:basedOn w:val="DefaultParagraphFont"/>
    <w:uiPriority w:val="33"/>
    <w:qFormat/>
    <w:rsid w:val="00CE0D3F"/>
    <w:rPr>
      <w:b/>
      <w:bCs/>
      <w:smallCaps/>
      <w:spacing w:val="5"/>
    </w:rPr>
  </w:style>
  <w:style w:type="paragraph" w:styleId="TOCHeading">
    <w:name w:val="TOC Heading"/>
    <w:basedOn w:val="Heading1"/>
    <w:next w:val="Normal"/>
    <w:unhideWhenUsed/>
    <w:qFormat/>
    <w:rsid w:val="00CE0D3F"/>
    <w:pPr>
      <w:outlineLvl w:val="9"/>
    </w:pPr>
    <w:rPr>
      <w:kern w:val="0"/>
    </w:rPr>
  </w:style>
  <w:style w:type="paragraph" w:customStyle="1" w:styleId="2">
    <w:name w:val="リスト段落2"/>
    <w:basedOn w:val="Normal"/>
    <w:rsid w:val="001535A5"/>
    <w:pPr>
      <w:ind w:left="720"/>
      <w:contextualSpacing/>
    </w:pPr>
    <w:rPr>
      <w:rFonts w:cs="Times New Roman"/>
    </w:rPr>
  </w:style>
  <w:style w:type="paragraph" w:customStyle="1" w:styleId="mypara">
    <w:name w:val="mypara"/>
    <w:basedOn w:val="para1"/>
    <w:link w:val="myparaChar"/>
    <w:rsid w:val="001535A5"/>
    <w:pPr>
      <w:numPr>
        <w:numId w:val="28"/>
      </w:numPr>
    </w:pPr>
    <w:rPr>
      <w:bCs/>
    </w:rPr>
  </w:style>
  <w:style w:type="character" w:customStyle="1" w:styleId="myparaChar">
    <w:name w:val="mypara Char"/>
    <w:link w:val="mypara"/>
    <w:rsid w:val="001535A5"/>
    <w:rPr>
      <w:rFonts w:ascii="Times New Roman" w:eastAsia="Times New Roman" w:hAnsi="Times New Roman" w:cs="Times New Roman"/>
      <w:bCs/>
      <w:sz w:val="20"/>
      <w:szCs w:val="20"/>
    </w:rPr>
  </w:style>
  <w:style w:type="paragraph" w:customStyle="1" w:styleId="ColorfulList-Accent12">
    <w:name w:val="Colorful List - Accent 12"/>
    <w:basedOn w:val="Normal"/>
    <w:uiPriority w:val="34"/>
    <w:rsid w:val="00680251"/>
    <w:pPr>
      <w:spacing w:after="200" w:line="276" w:lineRule="auto"/>
      <w:ind w:left="720"/>
      <w:contextualSpacing/>
    </w:pPr>
    <w:rPr>
      <w:rFonts w:eastAsia="Calibri" w:cs="Times New Roman"/>
    </w:rPr>
  </w:style>
  <w:style w:type="paragraph" w:customStyle="1" w:styleId="Source">
    <w:name w:val="Source"/>
    <w:basedOn w:val="BodyText0"/>
    <w:qFormat/>
    <w:rsid w:val="00CE0D3F"/>
    <w:pPr>
      <w:spacing w:after="0"/>
    </w:pPr>
    <w:rPr>
      <w:rFonts w:cstheme="minorBidi"/>
      <w:sz w:val="20"/>
      <w:szCs w:val="20"/>
      <w:lang w:eastAsia="ja-JP"/>
    </w:rPr>
  </w:style>
  <w:style w:type="paragraph" w:styleId="BodyText0">
    <w:name w:val="Body Text"/>
    <w:basedOn w:val="Normal"/>
    <w:link w:val="BodyTextChar0"/>
    <w:rsid w:val="001535A5"/>
  </w:style>
  <w:style w:type="character" w:customStyle="1" w:styleId="BodyTextChar0">
    <w:name w:val="Body Text Char"/>
    <w:basedOn w:val="DefaultParagraphFont"/>
    <w:link w:val="BodyText0"/>
    <w:rsid w:val="001535A5"/>
    <w:rPr>
      <w:rFonts w:ascii="Arial" w:eastAsia="MS Mincho" w:hAnsi="Arial" w:cs="Calibri"/>
      <w:sz w:val="20"/>
    </w:rPr>
  </w:style>
  <w:style w:type="paragraph" w:customStyle="1" w:styleId="TOCHeading2">
    <w:name w:val="TOC Heading2"/>
    <w:basedOn w:val="Heading1"/>
    <w:next w:val="Normal"/>
    <w:uiPriority w:val="39"/>
    <w:semiHidden/>
    <w:unhideWhenUsed/>
    <w:qFormat/>
    <w:rsid w:val="00CE0D3F"/>
    <w:pPr>
      <w:spacing w:after="0" w:line="276" w:lineRule="auto"/>
      <w:jc w:val="left"/>
      <w:outlineLvl w:val="9"/>
    </w:pPr>
    <w:rPr>
      <w:rFonts w:ascii="Cambria" w:eastAsia="MS Gothic" w:hAnsi="Cambria"/>
      <w:color w:val="365F91"/>
      <w:kern w:val="0"/>
      <w:lang w:eastAsia="ja-JP"/>
    </w:rPr>
  </w:style>
  <w:style w:type="paragraph" w:customStyle="1" w:styleId="5text">
    <w:name w:val="5 text"/>
    <w:basedOn w:val="Normal"/>
    <w:qFormat/>
    <w:rsid w:val="00CE0D3F"/>
    <w:pPr>
      <w:spacing w:before="120" w:after="0" w:line="360" w:lineRule="auto"/>
      <w:ind w:firstLine="426"/>
    </w:pPr>
    <w:rPr>
      <w:rFonts w:ascii="Times New Roman" w:hAnsi="Times New Roman" w:cs="Times New Roman"/>
    </w:rPr>
  </w:style>
  <w:style w:type="paragraph" w:customStyle="1" w:styleId="Mypara0">
    <w:name w:val="Mypara"/>
    <w:basedOn w:val="Normal"/>
    <w:link w:val="MyparaChar0"/>
    <w:rsid w:val="001535A5"/>
    <w:pPr>
      <w:autoSpaceDE w:val="0"/>
      <w:autoSpaceDN w:val="0"/>
      <w:adjustRightInd w:val="0"/>
      <w:spacing w:before="120" w:after="240" w:line="300" w:lineRule="auto"/>
    </w:pPr>
    <w:rPr>
      <w:rFonts w:ascii="Times New Roman" w:hAnsi="Times New Roman" w:cs="Arial"/>
      <w:color w:val="000000"/>
      <w:shd w:val="clear" w:color="auto" w:fill="FFFFFF"/>
    </w:rPr>
  </w:style>
  <w:style w:type="character" w:customStyle="1" w:styleId="MyparaChar0">
    <w:name w:val="Mypara Char"/>
    <w:basedOn w:val="DefaultParagraphFont"/>
    <w:link w:val="Mypara0"/>
    <w:rsid w:val="001535A5"/>
    <w:rPr>
      <w:rFonts w:ascii="Times New Roman" w:eastAsia="MS Mincho" w:hAnsi="Times New Roman" w:cs="Arial"/>
      <w:color w:val="000000"/>
      <w:sz w:val="20"/>
    </w:rPr>
  </w:style>
  <w:style w:type="paragraph" w:customStyle="1" w:styleId="ParaNumberPinar">
    <w:name w:val="Para. Number Pinar"/>
    <w:basedOn w:val="Normal"/>
    <w:rsid w:val="001535A5"/>
    <w:pPr>
      <w:numPr>
        <w:numId w:val="29"/>
      </w:numPr>
      <w:spacing w:before="120"/>
      <w:outlineLvl w:val="1"/>
    </w:pPr>
    <w:rPr>
      <w:rFonts w:ascii="Garamond" w:eastAsia="Times New Roman" w:hAnsi="Garamond" w:cs="Times New Roman"/>
      <w:sz w:val="24"/>
      <w:szCs w:val="24"/>
      <w:lang w:bidi="en-US"/>
    </w:rPr>
  </w:style>
  <w:style w:type="paragraph" w:customStyle="1" w:styleId="Footnote">
    <w:name w:val="Footnote"/>
    <w:basedOn w:val="FootnoteText"/>
    <w:link w:val="FootnoteChar"/>
    <w:qFormat/>
    <w:rsid w:val="00CE0D3F"/>
  </w:style>
  <w:style w:type="character" w:customStyle="1" w:styleId="FootnoteChar">
    <w:name w:val="Footnote Char"/>
    <w:basedOn w:val="FootnoteTextChar"/>
    <w:link w:val="Footnote"/>
    <w:rsid w:val="00CE0D3F"/>
    <w:rPr>
      <w:rFonts w:ascii="Arial" w:hAnsi="Arial" w:cs="Arial"/>
      <w:sz w:val="18"/>
      <w:szCs w:val="18"/>
      <w:lang w:eastAsia="ja-JP"/>
    </w:rPr>
  </w:style>
  <w:style w:type="paragraph" w:styleId="FootnoteText">
    <w:name w:val="footnote text"/>
    <w:aliases w:val="Texto nota pie Car Car,Texto nota pie Car Car Car Car Car Car,Texto nota pie Car Car Car Car Car,Texto nota pie Car Car Car Car Car Car Car,Texto nota pie Car Car Car,single space,footnote text,fn,FOOTNOTES,Footnote Text qer,ft,f,ADB"/>
    <w:basedOn w:val="Normal"/>
    <w:link w:val="FootnoteTextChar"/>
    <w:unhideWhenUsed/>
    <w:qFormat/>
    <w:rsid w:val="00CE0D3F"/>
    <w:pPr>
      <w:spacing w:after="0"/>
    </w:pPr>
    <w:rPr>
      <w:rFonts w:ascii="Arial" w:eastAsiaTheme="minorHAnsi" w:hAnsi="Arial" w:cs="Arial"/>
      <w:sz w:val="18"/>
      <w:szCs w:val="18"/>
      <w:lang w:eastAsia="ja-JP"/>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single space Char,footnote text Char"/>
    <w:basedOn w:val="DefaultParagraphFont"/>
    <w:link w:val="FootnoteText"/>
    <w:rsid w:val="00CE0D3F"/>
    <w:rPr>
      <w:rFonts w:ascii="Arial" w:hAnsi="Arial" w:cs="Arial"/>
      <w:sz w:val="18"/>
      <w:szCs w:val="18"/>
      <w:lang w:eastAsia="ja-JP"/>
    </w:rPr>
  </w:style>
  <w:style w:type="character" w:customStyle="1" w:styleId="ListParagraphChar">
    <w:name w:val="List Paragraph Char"/>
    <w:aliases w:val="Bullet Paragraph Char"/>
    <w:link w:val="ListParagraph"/>
    <w:uiPriority w:val="34"/>
    <w:locked/>
    <w:rsid w:val="00CE0D3F"/>
    <w:rPr>
      <w:rFonts w:ascii="Andes" w:hAnsi="Andes" w:cs="Calibri"/>
      <w:kern w:val="24"/>
    </w:rPr>
  </w:style>
  <w:style w:type="character" w:customStyle="1" w:styleId="FootnoteTextChar1">
    <w:name w:val="Footnote Text Char1"/>
    <w:aliases w:val="FOOTNOTES Char1,fn Char1,single space Char1,ft Char1,footnote text Char Char1,footnote text Char Char Char Char Char Char1,footnote text Char Char Char Char Char2,footnote text Char1,FOOTNOTES Char,ft Char,Footnote Text Char2 Char"/>
    <w:basedOn w:val="DefaultParagraphFont"/>
    <w:rsid w:val="001535A5"/>
    <w:rPr>
      <w:rFonts w:ascii="Calibri" w:hAnsi="Calibri" w:cs="Calibri"/>
      <w:kern w:val="24"/>
      <w:sz w:val="20"/>
      <w:szCs w:val="20"/>
    </w:rPr>
  </w:style>
  <w:style w:type="paragraph" w:customStyle="1" w:styleId="NoSpacing1">
    <w:name w:val="No Spacing1"/>
    <w:basedOn w:val="Normal"/>
    <w:rsid w:val="001535A5"/>
    <w:rPr>
      <w:rFonts w:cs="Times New Roman"/>
      <w:szCs w:val="20"/>
    </w:rPr>
  </w:style>
  <w:style w:type="paragraph" w:customStyle="1" w:styleId="ColorfulList-Accent11">
    <w:name w:val="Colorful List - Accent 11"/>
    <w:basedOn w:val="Normal"/>
    <w:link w:val="ColorfulList-Accent1Char"/>
    <w:rsid w:val="001535A5"/>
    <w:pPr>
      <w:numPr>
        <w:numId w:val="30"/>
      </w:numPr>
    </w:pPr>
    <w:rPr>
      <w:rFonts w:cs="Times New Roman"/>
      <w:szCs w:val="20"/>
      <w:lang w:eastAsia="ja-JP"/>
    </w:rPr>
  </w:style>
  <w:style w:type="character" w:customStyle="1" w:styleId="ColorfulList-Accent1Char">
    <w:name w:val="Colorful List - Accent 1 Char"/>
    <w:link w:val="ColorfulList-Accent11"/>
    <w:locked/>
    <w:rsid w:val="001535A5"/>
    <w:rPr>
      <w:rFonts w:ascii="Arial" w:eastAsia="MS Mincho" w:hAnsi="Arial" w:cs="Times New Roman"/>
      <w:sz w:val="20"/>
      <w:szCs w:val="20"/>
      <w:lang w:eastAsia="ja-JP"/>
    </w:rPr>
  </w:style>
  <w:style w:type="paragraph" w:customStyle="1" w:styleId="ColorfulGrid-Accent11">
    <w:name w:val="Colorful Grid - Accent 11"/>
    <w:basedOn w:val="Normal"/>
    <w:next w:val="Normal"/>
    <w:link w:val="ColorfulGrid-Accent1Char"/>
    <w:rsid w:val="001535A5"/>
    <w:rPr>
      <w:rFonts w:ascii="Cambria" w:eastAsia="MS Gothic" w:hAnsi="Cambria" w:cs="Times New Roman"/>
      <w:i/>
      <w:color w:val="5A5A5A"/>
      <w:szCs w:val="20"/>
    </w:rPr>
  </w:style>
  <w:style w:type="character" w:customStyle="1" w:styleId="ColorfulGrid-Accent1Char">
    <w:name w:val="Colorful Grid - Accent 1 Char"/>
    <w:link w:val="ColorfulGrid-Accent11"/>
    <w:locked/>
    <w:rsid w:val="001535A5"/>
    <w:rPr>
      <w:rFonts w:ascii="Cambria" w:eastAsia="MS Gothic" w:hAnsi="Cambria" w:cs="Times New Roman"/>
      <w:i/>
      <w:color w:val="5A5A5A"/>
      <w:sz w:val="20"/>
      <w:szCs w:val="20"/>
    </w:rPr>
  </w:style>
  <w:style w:type="paragraph" w:customStyle="1" w:styleId="LightShading-Accent21">
    <w:name w:val="Light Shading - Accent 21"/>
    <w:basedOn w:val="Normal"/>
    <w:next w:val="Normal"/>
    <w:link w:val="LightShading-Accent2Char"/>
    <w:rsid w:val="001535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cs="Times New Roman"/>
      <w:i/>
      <w:color w:val="FFFFFF"/>
      <w:sz w:val="24"/>
      <w:szCs w:val="20"/>
    </w:rPr>
  </w:style>
  <w:style w:type="character" w:customStyle="1" w:styleId="LightShading-Accent2Char">
    <w:name w:val="Light Shading - Accent 2 Char"/>
    <w:link w:val="LightShading-Accent21"/>
    <w:locked/>
    <w:rsid w:val="001535A5"/>
    <w:rPr>
      <w:rFonts w:ascii="Cambria" w:eastAsia="MS Gothic" w:hAnsi="Cambria" w:cs="Times New Roman"/>
      <w:i/>
      <w:color w:val="FFFFFF"/>
      <w:sz w:val="24"/>
      <w:szCs w:val="20"/>
      <w:shd w:val="clear" w:color="auto" w:fill="4F81BD"/>
    </w:rPr>
  </w:style>
  <w:style w:type="character" w:customStyle="1" w:styleId="SubtleEmphasis1">
    <w:name w:val="Subtle Emphasis1"/>
    <w:rsid w:val="001535A5"/>
    <w:rPr>
      <w:i/>
      <w:color w:val="5A5A5A"/>
    </w:rPr>
  </w:style>
  <w:style w:type="character" w:customStyle="1" w:styleId="IntenseEmphasis1">
    <w:name w:val="Intense Emphasis1"/>
    <w:rsid w:val="001535A5"/>
    <w:rPr>
      <w:rFonts w:ascii="Cambria" w:hAnsi="Cambria"/>
      <w:b/>
      <w:i/>
      <w:color w:val="365F91"/>
      <w:sz w:val="24"/>
    </w:rPr>
  </w:style>
  <w:style w:type="character" w:customStyle="1" w:styleId="SubtleReference1">
    <w:name w:val="Subtle Reference1"/>
    <w:rsid w:val="001535A5"/>
    <w:rPr>
      <w:color w:val="auto"/>
      <w:u w:val="single" w:color="9BBB59"/>
    </w:rPr>
  </w:style>
  <w:style w:type="character" w:customStyle="1" w:styleId="IntenseReference1">
    <w:name w:val="Intense Reference1"/>
    <w:rsid w:val="001535A5"/>
    <w:rPr>
      <w:b/>
      <w:color w:val="76923C"/>
      <w:u w:val="single" w:color="9BBB59"/>
    </w:rPr>
  </w:style>
  <w:style w:type="character" w:customStyle="1" w:styleId="BookTitle1">
    <w:name w:val="Book Title1"/>
    <w:rsid w:val="001535A5"/>
    <w:rPr>
      <w:rFonts w:ascii="Cambria" w:eastAsia="MS Gothic" w:hAnsi="Cambria"/>
      <w:b/>
      <w:i/>
      <w:color w:val="auto"/>
    </w:rPr>
  </w:style>
  <w:style w:type="paragraph" w:customStyle="1" w:styleId="TOCHeading1">
    <w:name w:val="TOC Heading1"/>
    <w:basedOn w:val="Heading1"/>
    <w:next w:val="Normal"/>
    <w:rsid w:val="001535A5"/>
    <w:pPr>
      <w:spacing w:after="0"/>
      <w:jc w:val="left"/>
      <w:outlineLvl w:val="9"/>
    </w:pPr>
    <w:rPr>
      <w:rFonts w:ascii="Cambria" w:eastAsia="MS Gothic" w:hAnsi="Cambria" w:cs="Times New Roman"/>
      <w:bCs w:val="0"/>
      <w:color w:val="365F91"/>
      <w:kern w:val="0"/>
      <w:szCs w:val="20"/>
      <w:lang w:val="fr-FR"/>
    </w:rPr>
  </w:style>
  <w:style w:type="paragraph" w:customStyle="1" w:styleId="1">
    <w:name w:val="リスト段落1"/>
    <w:basedOn w:val="Normal"/>
    <w:link w:val="a"/>
    <w:rsid w:val="001535A5"/>
    <w:pPr>
      <w:ind w:left="1080" w:hanging="360"/>
    </w:pPr>
    <w:rPr>
      <w:rFonts w:cs="Arial"/>
      <w:lang w:eastAsia="ja-JP"/>
    </w:rPr>
  </w:style>
  <w:style w:type="character" w:customStyle="1" w:styleId="a">
    <w:name w:val="リスト段落 (文字)"/>
    <w:link w:val="1"/>
    <w:locked/>
    <w:rsid w:val="001535A5"/>
    <w:rPr>
      <w:rFonts w:ascii="Arial" w:eastAsia="MS Mincho" w:hAnsi="Arial" w:cs="Arial"/>
      <w:sz w:val="20"/>
      <w:lang w:eastAsia="ja-JP"/>
    </w:rPr>
  </w:style>
  <w:style w:type="paragraph" w:customStyle="1" w:styleId="Numberedliststyle1">
    <w:name w:val="Numbered list style 1"/>
    <w:basedOn w:val="1"/>
    <w:link w:val="Numberedliststyle1Char"/>
    <w:rsid w:val="001535A5"/>
    <w:pPr>
      <w:numPr>
        <w:numId w:val="31"/>
      </w:numPr>
      <w:autoSpaceDE w:val="0"/>
      <w:autoSpaceDN w:val="0"/>
      <w:adjustRightInd w:val="0"/>
    </w:pPr>
  </w:style>
  <w:style w:type="character" w:customStyle="1" w:styleId="Numberedliststyle1Char">
    <w:name w:val="Numbered list style 1 Char"/>
    <w:basedOn w:val="a"/>
    <w:link w:val="Numberedliststyle1"/>
    <w:locked/>
    <w:rsid w:val="001535A5"/>
    <w:rPr>
      <w:rFonts w:ascii="Arial" w:eastAsia="MS Mincho" w:hAnsi="Arial" w:cs="Arial"/>
      <w:sz w:val="20"/>
      <w:lang w:eastAsia="ja-JP"/>
    </w:rPr>
  </w:style>
  <w:style w:type="paragraph" w:customStyle="1" w:styleId="a0">
    <w:name w:val="リスト段落"/>
    <w:basedOn w:val="Normal"/>
    <w:rsid w:val="001535A5"/>
    <w:pPr>
      <w:ind w:left="1080" w:hanging="360"/>
    </w:pPr>
    <w:rPr>
      <w:rFonts w:cs="Arial"/>
      <w:lang w:eastAsia="ja-JP"/>
    </w:rPr>
  </w:style>
  <w:style w:type="paragraph" w:customStyle="1" w:styleId="ListParagraph1">
    <w:name w:val="List Paragraph1"/>
    <w:basedOn w:val="Normal"/>
    <w:rsid w:val="001535A5"/>
    <w:pPr>
      <w:ind w:left="720"/>
      <w:contextualSpacing/>
    </w:pPr>
    <w:rPr>
      <w:rFonts w:cs="Times New Roman"/>
    </w:rPr>
  </w:style>
  <w:style w:type="paragraph" w:customStyle="1" w:styleId="11">
    <w:name w:val="リスト段落11"/>
    <w:basedOn w:val="Normal"/>
    <w:rsid w:val="001535A5"/>
    <w:pPr>
      <w:ind w:left="1080" w:hanging="360"/>
    </w:pPr>
    <w:rPr>
      <w:rFonts w:cs="Times New Roman"/>
      <w:szCs w:val="20"/>
      <w:lang w:eastAsia="ja-JP"/>
    </w:rPr>
  </w:style>
  <w:style w:type="paragraph" w:customStyle="1" w:styleId="Figtitle">
    <w:name w:val="Figtitle"/>
    <w:basedOn w:val="Normal"/>
    <w:rsid w:val="001535A5"/>
    <w:pPr>
      <w:keepNext/>
      <w:spacing w:before="240"/>
      <w:jc w:val="center"/>
    </w:pPr>
    <w:rPr>
      <w:rFonts w:ascii="Times New Roman" w:eastAsia="Times New Roman" w:hAnsi="Times New Roman" w:cs="Times New Roman"/>
      <w:b/>
    </w:rPr>
  </w:style>
  <w:style w:type="paragraph" w:customStyle="1" w:styleId="Default">
    <w:name w:val="Default"/>
    <w:rsid w:val="001535A5"/>
    <w:pPr>
      <w:autoSpaceDE w:val="0"/>
      <w:autoSpaceDN w:val="0"/>
      <w:adjustRightInd w:val="0"/>
      <w:spacing w:after="0"/>
    </w:pPr>
    <w:rPr>
      <w:rFonts w:ascii="Calibri" w:eastAsia="MS Mincho" w:hAnsi="Calibri" w:cs="Calibri"/>
      <w:color w:val="000000"/>
      <w:sz w:val="24"/>
      <w:szCs w:val="24"/>
    </w:rPr>
  </w:style>
  <w:style w:type="table" w:customStyle="1" w:styleId="LightShading1">
    <w:name w:val="Light Shading1"/>
    <w:basedOn w:val="TableNormal"/>
    <w:uiPriority w:val="60"/>
    <w:rsid w:val="001535A5"/>
    <w:pPr>
      <w:spacing w:after="0"/>
    </w:pPr>
    <w:rPr>
      <w:rFonts w:ascii="Calibri" w:eastAsia="MS Mincho"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
    <w:name w:val="Bullet"/>
    <w:basedOn w:val="BodyText0"/>
    <w:rsid w:val="001535A5"/>
    <w:pPr>
      <w:numPr>
        <w:numId w:val="32"/>
      </w:numPr>
      <w:contextualSpacing/>
    </w:pPr>
    <w:rPr>
      <w:rFonts w:cs="Times New Roman"/>
    </w:rPr>
  </w:style>
  <w:style w:type="paragraph" w:customStyle="1" w:styleId="H1Part">
    <w:name w:val="H1 Part"/>
    <w:basedOn w:val="Normal"/>
    <w:rsid w:val="001535A5"/>
    <w:pPr>
      <w:keepNext/>
      <w:tabs>
        <w:tab w:val="left" w:pos="1080"/>
      </w:tabs>
      <w:spacing w:before="240" w:after="240"/>
    </w:pPr>
    <w:rPr>
      <w:rFonts w:cs="Times New Roman"/>
      <w:b/>
      <w:caps/>
      <w:sz w:val="24"/>
      <w:szCs w:val="24"/>
    </w:rPr>
  </w:style>
  <w:style w:type="paragraph" w:customStyle="1" w:styleId="H2A">
    <w:name w:val="H2 A"/>
    <w:aliases w:val="B,C,D"/>
    <w:basedOn w:val="Normal"/>
    <w:rsid w:val="001535A5"/>
    <w:pPr>
      <w:keepNext/>
      <w:keepLines/>
      <w:spacing w:before="120" w:after="240"/>
    </w:pPr>
    <w:rPr>
      <w:rFonts w:cs="Times New Roman"/>
      <w:b/>
    </w:rPr>
  </w:style>
  <w:style w:type="paragraph" w:customStyle="1" w:styleId="H31">
    <w:name w:val="H3 1"/>
    <w:aliases w:val="2,3,4"/>
    <w:basedOn w:val="Normal"/>
    <w:rsid w:val="001535A5"/>
    <w:pPr>
      <w:keepNext/>
      <w:keepLines/>
      <w:spacing w:before="240"/>
      <w:ind w:left="720"/>
    </w:pPr>
    <w:rPr>
      <w:rFonts w:cs="Times New Roman"/>
      <w:b/>
      <w:u w:val="single"/>
      <w:lang w:eastAsia="ja-JP"/>
    </w:rPr>
  </w:style>
  <w:style w:type="paragraph" w:customStyle="1" w:styleId="10">
    <w:name w:val="目次の見出し1"/>
    <w:basedOn w:val="Heading1"/>
    <w:next w:val="Normal"/>
    <w:rsid w:val="001535A5"/>
    <w:pPr>
      <w:spacing w:after="0"/>
      <w:jc w:val="left"/>
      <w:outlineLvl w:val="9"/>
    </w:pPr>
    <w:rPr>
      <w:rFonts w:ascii="Cambria" w:eastAsia="MS Gothic" w:hAnsi="Cambria" w:cs="Times New Roman"/>
      <w:bCs w:val="0"/>
      <w:color w:val="365F91"/>
      <w:kern w:val="0"/>
      <w:szCs w:val="20"/>
      <w:lang w:val="fr-FR" w:eastAsia="ja-JP"/>
    </w:rPr>
  </w:style>
  <w:style w:type="paragraph" w:customStyle="1" w:styleId="12">
    <w:name w:val="行間詰め1"/>
    <w:rsid w:val="001535A5"/>
    <w:pPr>
      <w:spacing w:after="0"/>
    </w:pPr>
    <w:rPr>
      <w:rFonts w:ascii="Calibri" w:eastAsia="MS Mincho" w:hAnsi="Calibri" w:cs="Times New Roman"/>
    </w:rPr>
  </w:style>
  <w:style w:type="paragraph" w:customStyle="1" w:styleId="para1">
    <w:name w:val="para1"/>
    <w:basedOn w:val="Normal"/>
    <w:link w:val="para1Char"/>
    <w:uiPriority w:val="99"/>
    <w:rsid w:val="001535A5"/>
    <w:pPr>
      <w:numPr>
        <w:numId w:val="34"/>
      </w:numPr>
      <w:spacing w:after="240"/>
    </w:pPr>
    <w:rPr>
      <w:rFonts w:ascii="Times New Roman" w:eastAsia="Times New Roman" w:hAnsi="Times New Roman" w:cs="Times New Roman"/>
      <w:szCs w:val="20"/>
    </w:rPr>
  </w:style>
  <w:style w:type="character" w:customStyle="1" w:styleId="para1Char">
    <w:name w:val="para1 Char"/>
    <w:link w:val="para1"/>
    <w:uiPriority w:val="99"/>
    <w:locked/>
    <w:rsid w:val="001535A5"/>
    <w:rPr>
      <w:rFonts w:ascii="Times New Roman" w:eastAsia="Times New Roman" w:hAnsi="Times New Roman" w:cs="Times New Roman"/>
      <w:sz w:val="20"/>
      <w:szCs w:val="20"/>
    </w:rPr>
  </w:style>
  <w:style w:type="numbering" w:customStyle="1" w:styleId="StyleOutlinenumbered">
    <w:name w:val="Style Outline numbered"/>
    <w:rsid w:val="001535A5"/>
    <w:pPr>
      <w:numPr>
        <w:numId w:val="18"/>
      </w:numPr>
    </w:pPr>
  </w:style>
  <w:style w:type="paragraph" w:customStyle="1" w:styleId="Pa2">
    <w:name w:val="Pa2"/>
    <w:basedOn w:val="Normal"/>
    <w:next w:val="Normal"/>
    <w:uiPriority w:val="99"/>
    <w:rsid w:val="001535A5"/>
    <w:pPr>
      <w:autoSpaceDE w:val="0"/>
      <w:autoSpaceDN w:val="0"/>
      <w:adjustRightInd w:val="0"/>
      <w:spacing w:after="0" w:line="241" w:lineRule="atLeast"/>
    </w:pPr>
    <w:rPr>
      <w:rFonts w:ascii="Optima LT Std" w:hAnsi="Optima LT Std" w:cs="Times New Roman"/>
      <w:sz w:val="24"/>
      <w:szCs w:val="24"/>
    </w:rPr>
  </w:style>
  <w:style w:type="character" w:customStyle="1" w:styleId="ja50-ce-author">
    <w:name w:val="ja50-ce-author"/>
    <w:rsid w:val="001535A5"/>
  </w:style>
  <w:style w:type="character" w:customStyle="1" w:styleId="apple-converted-space">
    <w:name w:val="apple-converted-space"/>
    <w:rsid w:val="001535A5"/>
  </w:style>
  <w:style w:type="character" w:customStyle="1" w:styleId="ja50-ce-sup">
    <w:name w:val="ja50-ce-sup"/>
    <w:rsid w:val="001535A5"/>
  </w:style>
  <w:style w:type="character" w:customStyle="1" w:styleId="hps">
    <w:name w:val="hps"/>
    <w:rsid w:val="001535A5"/>
  </w:style>
  <w:style w:type="paragraph" w:customStyle="1" w:styleId="Fig">
    <w:name w:val="Fig"/>
    <w:basedOn w:val="BodyText0"/>
    <w:rsid w:val="001535A5"/>
    <w:pPr>
      <w:keepNext/>
      <w:spacing w:before="120"/>
    </w:pPr>
    <w:rPr>
      <w:rFonts w:cs="Times New Roman"/>
      <w:b/>
    </w:rPr>
  </w:style>
  <w:style w:type="character" w:customStyle="1" w:styleId="shorttext">
    <w:name w:val="short_text"/>
    <w:rsid w:val="001535A5"/>
  </w:style>
  <w:style w:type="character" w:customStyle="1" w:styleId="st">
    <w:name w:val="st"/>
    <w:basedOn w:val="DefaultParagraphFont"/>
    <w:rsid w:val="001535A5"/>
  </w:style>
  <w:style w:type="paragraph" w:customStyle="1" w:styleId="Refs">
    <w:name w:val="Refs"/>
    <w:basedOn w:val="BodyText0"/>
    <w:rsid w:val="001535A5"/>
    <w:pPr>
      <w:ind w:left="720" w:hanging="720"/>
    </w:pPr>
    <w:rPr>
      <w:rFonts w:cs="Times New Roman"/>
      <w:lang w:val="en-GB"/>
    </w:rPr>
  </w:style>
  <w:style w:type="paragraph" w:customStyle="1" w:styleId="Figure">
    <w:name w:val="Figure"/>
    <w:basedOn w:val="Normal"/>
    <w:rsid w:val="001535A5"/>
    <w:pPr>
      <w:keepNext/>
      <w:spacing w:before="240" w:line="252" w:lineRule="auto"/>
    </w:pPr>
    <w:rPr>
      <w:rFonts w:cs="Times New Roman"/>
      <w:b/>
    </w:rPr>
  </w:style>
  <w:style w:type="paragraph" w:customStyle="1" w:styleId="Table">
    <w:name w:val="Table"/>
    <w:basedOn w:val="Figure"/>
    <w:rsid w:val="001535A5"/>
    <w:rPr>
      <w:rFonts w:asciiTheme="minorHAnsi" w:hAnsiTheme="minorHAnsi"/>
    </w:rPr>
  </w:style>
  <w:style w:type="paragraph" w:customStyle="1" w:styleId="Boxtitle">
    <w:name w:val="Box title"/>
    <w:basedOn w:val="Figure"/>
    <w:rsid w:val="001535A5"/>
    <w:rPr>
      <w:rFonts w:asciiTheme="minorHAnsi" w:hAnsiTheme="minorHAnsi"/>
    </w:rPr>
  </w:style>
  <w:style w:type="paragraph" w:customStyle="1" w:styleId="Abstract">
    <w:name w:val="Abstract"/>
    <w:basedOn w:val="Normal"/>
    <w:rsid w:val="001535A5"/>
    <w:pPr>
      <w:spacing w:before="240" w:after="240" w:line="276" w:lineRule="auto"/>
      <w:ind w:left="576" w:right="576"/>
    </w:pPr>
    <w:rPr>
      <w:rFonts w:asciiTheme="minorHAnsi" w:hAnsiTheme="minorHAnsi" w:cs="Times New Roman"/>
      <w:lang w:eastAsia="ja-JP"/>
    </w:rPr>
  </w:style>
  <w:style w:type="character" w:customStyle="1" w:styleId="A5">
    <w:name w:val="A5"/>
    <w:uiPriority w:val="99"/>
    <w:rsid w:val="001535A5"/>
    <w:rPr>
      <w:rFonts w:cs="Arial Narrow"/>
      <w:color w:val="000000"/>
      <w:sz w:val="20"/>
      <w:szCs w:val="20"/>
    </w:rPr>
  </w:style>
  <w:style w:type="character" w:customStyle="1" w:styleId="googqs-tidbit">
    <w:name w:val="goog_qs-tidbit"/>
    <w:rsid w:val="001535A5"/>
  </w:style>
  <w:style w:type="paragraph" w:customStyle="1" w:styleId="a1">
    <w:name w:val="文献目録"/>
    <w:basedOn w:val="Normal"/>
    <w:next w:val="Normal"/>
    <w:rsid w:val="001535A5"/>
    <w:rPr>
      <w:rFonts w:cs="Arial"/>
      <w:lang w:eastAsia="ja-JP"/>
    </w:rPr>
  </w:style>
  <w:style w:type="paragraph" w:styleId="TOC1">
    <w:name w:val="toc 1"/>
    <w:basedOn w:val="Normal"/>
    <w:next w:val="Normal"/>
    <w:autoRedefine/>
    <w:uiPriority w:val="39"/>
    <w:unhideWhenUsed/>
    <w:rsid w:val="001535A5"/>
    <w:pPr>
      <w:spacing w:before="120" w:after="100" w:line="252" w:lineRule="auto"/>
    </w:pPr>
    <w:rPr>
      <w:rFonts w:cs="Times New Roman"/>
    </w:rPr>
  </w:style>
  <w:style w:type="paragraph" w:styleId="TOC2">
    <w:name w:val="toc 2"/>
    <w:basedOn w:val="Normal"/>
    <w:next w:val="Normal"/>
    <w:autoRedefine/>
    <w:uiPriority w:val="39"/>
    <w:rsid w:val="001535A5"/>
    <w:pPr>
      <w:ind w:left="220"/>
    </w:pPr>
    <w:rPr>
      <w:rFonts w:cs="Times New Roman"/>
    </w:rPr>
  </w:style>
  <w:style w:type="paragraph" w:styleId="TOC3">
    <w:name w:val="toc 3"/>
    <w:basedOn w:val="Normal"/>
    <w:next w:val="Normal"/>
    <w:autoRedefine/>
    <w:uiPriority w:val="39"/>
    <w:unhideWhenUsed/>
    <w:rsid w:val="001535A5"/>
    <w:pPr>
      <w:spacing w:before="120" w:after="100" w:line="252" w:lineRule="auto"/>
      <w:ind w:left="440"/>
    </w:pPr>
    <w:rPr>
      <w:rFonts w:cs="Times New Roman"/>
    </w:rPr>
  </w:style>
  <w:style w:type="paragraph" w:styleId="CommentText">
    <w:name w:val="annotation text"/>
    <w:basedOn w:val="Normal"/>
    <w:link w:val="CommentTextChar"/>
    <w:unhideWhenUsed/>
    <w:rsid w:val="001535A5"/>
    <w:rPr>
      <w:szCs w:val="20"/>
    </w:rPr>
  </w:style>
  <w:style w:type="character" w:customStyle="1" w:styleId="CommentTextChar">
    <w:name w:val="Comment Text Char"/>
    <w:basedOn w:val="DefaultParagraphFont"/>
    <w:link w:val="CommentText"/>
    <w:rsid w:val="001535A5"/>
    <w:rPr>
      <w:rFonts w:ascii="Arial" w:hAnsi="Arial" w:cs="Calibri"/>
      <w:kern w:val="24"/>
      <w:sz w:val="20"/>
      <w:szCs w:val="20"/>
    </w:rPr>
  </w:style>
  <w:style w:type="paragraph" w:styleId="Header">
    <w:name w:val="header"/>
    <w:basedOn w:val="Normal"/>
    <w:link w:val="HeaderChar"/>
    <w:rsid w:val="001535A5"/>
    <w:pPr>
      <w:tabs>
        <w:tab w:val="center" w:pos="4252"/>
        <w:tab w:val="right" w:pos="8504"/>
      </w:tabs>
      <w:snapToGrid w:val="0"/>
    </w:pPr>
    <w:rPr>
      <w:rFonts w:cs="Times New Roman"/>
    </w:rPr>
  </w:style>
  <w:style w:type="character" w:customStyle="1" w:styleId="HeaderChar">
    <w:name w:val="Header Char"/>
    <w:basedOn w:val="DefaultParagraphFont"/>
    <w:link w:val="Header"/>
    <w:rsid w:val="001535A5"/>
    <w:rPr>
      <w:rFonts w:ascii="Arial" w:eastAsia="MS Mincho" w:hAnsi="Arial" w:cs="Times New Roman"/>
      <w:sz w:val="20"/>
    </w:rPr>
  </w:style>
  <w:style w:type="paragraph" w:styleId="Footer">
    <w:name w:val="footer"/>
    <w:basedOn w:val="Normal"/>
    <w:link w:val="FooterChar"/>
    <w:uiPriority w:val="99"/>
    <w:rsid w:val="001535A5"/>
    <w:pPr>
      <w:tabs>
        <w:tab w:val="center" w:pos="4252"/>
        <w:tab w:val="right" w:pos="8504"/>
      </w:tabs>
      <w:snapToGrid w:val="0"/>
    </w:pPr>
    <w:rPr>
      <w:rFonts w:cs="Times New Roman"/>
    </w:rPr>
  </w:style>
  <w:style w:type="character" w:customStyle="1" w:styleId="FooterChar">
    <w:name w:val="Footer Char"/>
    <w:basedOn w:val="DefaultParagraphFont"/>
    <w:link w:val="Footer"/>
    <w:uiPriority w:val="99"/>
    <w:rsid w:val="001535A5"/>
    <w:rPr>
      <w:rFonts w:ascii="Arial" w:eastAsia="MS Mincho" w:hAnsi="Arial" w:cs="Times New Roman"/>
      <w:sz w:val="20"/>
    </w:rPr>
  </w:style>
  <w:style w:type="character" w:styleId="FootnoteReference">
    <w:name w:val="footnote reference"/>
    <w:aliases w:val="ftref,Char Char1,16 Point,FO,footnote ref,Fodnotetekst Tegn Char1,Footnote Text Char2 Char Char1,Footnote Text Char2 Char Char Char Char1,BVI fnr,Ref,de nota al pie,Superscript 6 Point,Char Char Char Char Car Char, BVI fnr, Car1,Car1"/>
    <w:link w:val="FNRefeCharChar"/>
    <w:uiPriority w:val="99"/>
    <w:rsid w:val="001535A5"/>
    <w:rPr>
      <w:sz w:val="20"/>
      <w:vertAlign w:val="superscript"/>
    </w:rPr>
  </w:style>
  <w:style w:type="character" w:styleId="CommentReference">
    <w:name w:val="annotation reference"/>
    <w:basedOn w:val="DefaultParagraphFont"/>
    <w:unhideWhenUsed/>
    <w:rsid w:val="001535A5"/>
    <w:rPr>
      <w:sz w:val="16"/>
      <w:szCs w:val="16"/>
    </w:rPr>
  </w:style>
  <w:style w:type="character" w:styleId="PageNumber">
    <w:name w:val="page number"/>
    <w:basedOn w:val="DefaultParagraphFont"/>
    <w:uiPriority w:val="99"/>
    <w:rsid w:val="001535A5"/>
  </w:style>
  <w:style w:type="character" w:styleId="EndnoteReference">
    <w:name w:val="endnote reference"/>
    <w:semiHidden/>
    <w:rsid w:val="001535A5"/>
    <w:rPr>
      <w:rFonts w:cs="Times New Roman"/>
      <w:sz w:val="32"/>
      <w:szCs w:val="32"/>
      <w:vertAlign w:val="superscript"/>
    </w:rPr>
  </w:style>
  <w:style w:type="character" w:styleId="Hyperlink">
    <w:name w:val="Hyperlink"/>
    <w:basedOn w:val="DefaultParagraphFont"/>
    <w:rsid w:val="001535A5"/>
    <w:rPr>
      <w:color w:val="0000FF" w:themeColor="hyperlink"/>
      <w:u w:val="single"/>
    </w:rPr>
  </w:style>
  <w:style w:type="character" w:styleId="FollowedHyperlink">
    <w:name w:val="FollowedHyperlink"/>
    <w:rsid w:val="001535A5"/>
    <w:rPr>
      <w:color w:val="800080"/>
      <w:u w:val="single"/>
    </w:rPr>
  </w:style>
  <w:style w:type="paragraph" w:styleId="DocumentMap">
    <w:name w:val="Document Map"/>
    <w:basedOn w:val="Normal"/>
    <w:link w:val="DocumentMapChar"/>
    <w:uiPriority w:val="99"/>
    <w:semiHidden/>
    <w:unhideWhenUsed/>
    <w:rsid w:val="001535A5"/>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35A5"/>
    <w:rPr>
      <w:rFonts w:ascii="Lucida Grande" w:hAnsi="Lucida Grande" w:cs="Lucida Grande"/>
      <w:sz w:val="24"/>
      <w:szCs w:val="24"/>
    </w:rPr>
  </w:style>
  <w:style w:type="paragraph" w:styleId="NormalWeb">
    <w:name w:val="Normal (Web)"/>
    <w:basedOn w:val="Normal"/>
    <w:unhideWhenUsed/>
    <w:rsid w:val="001535A5"/>
    <w:pPr>
      <w:spacing w:before="100" w:beforeAutospacing="1" w:after="100" w:afterAutospacing="1" w:line="252"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15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52"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535A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sid w:val="001535A5"/>
    <w:rPr>
      <w:b/>
      <w:bCs/>
    </w:rPr>
  </w:style>
  <w:style w:type="character" w:customStyle="1" w:styleId="CommentSubjectChar">
    <w:name w:val="Comment Subject Char"/>
    <w:basedOn w:val="CommentTextChar"/>
    <w:link w:val="CommentSubject"/>
    <w:uiPriority w:val="99"/>
    <w:rsid w:val="001535A5"/>
    <w:rPr>
      <w:rFonts w:ascii="Arial" w:hAnsi="Arial" w:cs="Calibri"/>
      <w:b/>
      <w:bCs/>
      <w:kern w:val="24"/>
      <w:sz w:val="20"/>
      <w:szCs w:val="20"/>
    </w:rPr>
  </w:style>
  <w:style w:type="table" w:styleId="Table3Deffects3">
    <w:name w:val="Table 3D effects 3"/>
    <w:basedOn w:val="TableNormal"/>
    <w:rsid w:val="001535A5"/>
    <w:rPr>
      <w:rFonts w:ascii="Calibri" w:eastAsia="MS Mincho"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535A5"/>
    <w:rPr>
      <w:rFonts w:ascii="Calibri" w:eastAsia="MS Mincho"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1535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A5"/>
    <w:rPr>
      <w:rFonts w:ascii="Tahoma" w:hAnsi="Tahoma" w:cs="Tahoma"/>
      <w:kern w:val="24"/>
      <w:sz w:val="16"/>
      <w:szCs w:val="16"/>
    </w:rPr>
  </w:style>
  <w:style w:type="table" w:styleId="TableGrid">
    <w:name w:val="Table Grid"/>
    <w:basedOn w:val="TableNormal"/>
    <w:uiPriority w:val="59"/>
    <w:rsid w:val="001535A5"/>
    <w:pPr>
      <w:spacing w:after="0"/>
    </w:pPr>
    <w:rPr>
      <w:rFonts w:ascii="Calibri" w:eastAsia="MS Mincho"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35A5"/>
    <w:rPr>
      <w:color w:val="808080"/>
    </w:rPr>
  </w:style>
  <w:style w:type="table" w:styleId="LightShading-Accent1">
    <w:name w:val="Light Shading Accent 1"/>
    <w:basedOn w:val="TableNormal"/>
    <w:uiPriority w:val="60"/>
    <w:rsid w:val="00C74A5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74A5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1535A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2">
    <w:name w:val="Light Grid Accent 2"/>
    <w:basedOn w:val="TableNormal"/>
    <w:uiPriority w:val="62"/>
    <w:rsid w:val="001535A5"/>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535A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1535A5"/>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535A5"/>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5">
    <w:name w:val="Light Shading Accent 5"/>
    <w:basedOn w:val="TableNormal"/>
    <w:uiPriority w:val="60"/>
    <w:rsid w:val="001535A5"/>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1535A5"/>
    <w:pPr>
      <w:spacing w:after="0"/>
    </w:pPr>
    <w:rPr>
      <w:rFonts w:asciiTheme="majorHAnsi" w:eastAsiaTheme="majorEastAsia" w:hAnsiTheme="majorHAnsi" w:cstheme="majorBidi"/>
      <w:color w:val="000000" w:themeColor="text1"/>
      <w:lang w:val="en-MY"/>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1535A5"/>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unhideWhenUsed/>
    <w:rsid w:val="001535A5"/>
    <w:rPr>
      <w:rFonts w:cs="Times New Roman"/>
    </w:rPr>
  </w:style>
  <w:style w:type="character" w:customStyle="1" w:styleId="BodytextChar">
    <w:name w:val="Bodytext Char"/>
    <w:basedOn w:val="DefaultParagraphFont"/>
    <w:link w:val="Bodytext"/>
    <w:uiPriority w:val="99"/>
    <w:locked/>
    <w:rsid w:val="001535A5"/>
    <w:rPr>
      <w:rFonts w:ascii="Arial" w:hAnsi="Arial" w:cs="Calibri"/>
      <w:kern w:val="24"/>
      <w:sz w:val="20"/>
    </w:rPr>
  </w:style>
  <w:style w:type="paragraph" w:customStyle="1" w:styleId="Reference">
    <w:name w:val="Reference"/>
    <w:basedOn w:val="Normal"/>
    <w:link w:val="ReferenceChar"/>
    <w:qFormat/>
    <w:rsid w:val="00CE0D3F"/>
    <w:pPr>
      <w:ind w:left="720" w:hanging="720"/>
    </w:pPr>
    <w:rPr>
      <w:rFonts w:eastAsiaTheme="minorHAnsi"/>
      <w:noProof/>
      <w:kern w:val="24"/>
    </w:rPr>
  </w:style>
  <w:style w:type="character" w:customStyle="1" w:styleId="ReferenceChar">
    <w:name w:val="Reference Char"/>
    <w:basedOn w:val="DefaultParagraphFont"/>
    <w:link w:val="Reference"/>
    <w:rsid w:val="00CE0D3F"/>
    <w:rPr>
      <w:rFonts w:ascii="Andes" w:hAnsi="Andes" w:cs="Calibri"/>
      <w:noProof/>
      <w:kern w:val="24"/>
    </w:rPr>
  </w:style>
  <w:style w:type="table" w:customStyle="1" w:styleId="LightShading-Accent11">
    <w:name w:val="Light Shading - Accent 11"/>
    <w:basedOn w:val="TableNormal"/>
    <w:uiPriority w:val="60"/>
    <w:rsid w:val="001535A5"/>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1535A5"/>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NRefeCharChar">
    <w:name w:val="FNRefe Char Char"/>
    <w:aliases w:val="BVI fnr Char Char, BVI fnr Char Char Char, BVI fnr Car Car Char Char Char,BVI fnr Car Char Char Char, BVI fnr Car Car Car Car Char Char Char Char Char"/>
    <w:basedOn w:val="Normal"/>
    <w:link w:val="FootnoteReference"/>
    <w:uiPriority w:val="99"/>
    <w:rsid w:val="001535A5"/>
    <w:pPr>
      <w:spacing w:after="160" w:line="240" w:lineRule="exact"/>
    </w:pPr>
    <w:rPr>
      <w:rFonts w:asciiTheme="minorHAnsi" w:hAnsiTheme="minorHAnsi" w:cstheme="minorBidi"/>
      <w:vertAlign w:val="superscript"/>
    </w:rPr>
  </w:style>
  <w:style w:type="paragraph" w:customStyle="1" w:styleId="BookTitle2">
    <w:name w:val="Book Title 2"/>
    <w:basedOn w:val="Normal"/>
    <w:rsid w:val="00680251"/>
    <w:pPr>
      <w:jc w:val="center"/>
    </w:pPr>
    <w:rPr>
      <w:sz w:val="32"/>
      <w:szCs w:val="32"/>
    </w:rPr>
  </w:style>
  <w:style w:type="paragraph" w:customStyle="1" w:styleId="Subtitle2">
    <w:name w:val="Subtitle 2"/>
    <w:basedOn w:val="Normal"/>
    <w:link w:val="Subtitle2Char"/>
    <w:qFormat/>
    <w:rsid w:val="00AB2DEF"/>
    <w:pPr>
      <w:jc w:val="center"/>
    </w:pPr>
    <w:rPr>
      <w:b/>
      <w:color w:val="1F497D" w:themeColor="text2"/>
      <w:sz w:val="28"/>
      <w:szCs w:val="28"/>
    </w:rPr>
  </w:style>
  <w:style w:type="character" w:customStyle="1" w:styleId="Subtitle2Char">
    <w:name w:val="Subtitle 2 Char"/>
    <w:basedOn w:val="DefaultParagraphFont"/>
    <w:link w:val="Subtitle2"/>
    <w:rsid w:val="00AB2DEF"/>
    <w:rPr>
      <w:rFonts w:ascii="Andes" w:eastAsia="MS Mincho" w:hAnsi="Andes" w:cs="Calibri"/>
      <w:b/>
      <w:color w:val="1F497D" w:themeColor="text2"/>
      <w:sz w:val="28"/>
      <w:szCs w:val="28"/>
    </w:rPr>
  </w:style>
  <w:style w:type="paragraph" w:customStyle="1" w:styleId="BankNormal">
    <w:name w:val="BankNormal"/>
    <w:basedOn w:val="Normal"/>
    <w:rsid w:val="00E4173B"/>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3D effects 3"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E0D3F"/>
    <w:rPr>
      <w:rFonts w:ascii="Andes" w:eastAsia="MS Mincho" w:hAnsi="Andes" w:cs="Calibri"/>
    </w:rPr>
  </w:style>
  <w:style w:type="paragraph" w:styleId="Heading1">
    <w:name w:val="heading 1"/>
    <w:basedOn w:val="Normal"/>
    <w:next w:val="Normal"/>
    <w:link w:val="Heading1Char"/>
    <w:uiPriority w:val="9"/>
    <w:qFormat/>
    <w:rsid w:val="00CE0D3F"/>
    <w:pPr>
      <w:keepNext/>
      <w:keepLines/>
      <w:spacing w:before="480" w:after="240"/>
      <w:jc w:val="center"/>
      <w:outlineLvl w:val="0"/>
    </w:pPr>
    <w:rPr>
      <w:rFonts w:eastAsiaTheme="majorEastAsia" w:cs="Arial"/>
      <w:b/>
      <w:bCs/>
      <w:color w:val="365F91" w:themeColor="accent1" w:themeShade="BF"/>
      <w:kern w:val="24"/>
      <w:sz w:val="28"/>
      <w:szCs w:val="28"/>
    </w:rPr>
  </w:style>
  <w:style w:type="paragraph" w:styleId="Heading2">
    <w:name w:val="heading 2"/>
    <w:basedOn w:val="Normal"/>
    <w:next w:val="Normal"/>
    <w:link w:val="Heading2Char"/>
    <w:unhideWhenUsed/>
    <w:qFormat/>
    <w:rsid w:val="00CE0D3F"/>
    <w:pPr>
      <w:keepNext/>
      <w:keepLines/>
      <w:spacing w:before="360"/>
      <w:outlineLvl w:val="1"/>
    </w:pPr>
    <w:rPr>
      <w:rFonts w:ascii="Arial" w:eastAsiaTheme="majorEastAsia" w:hAnsi="Arial" w:cstheme="majorBidi"/>
      <w:b/>
      <w:bCs/>
      <w:color w:val="1F497D" w:themeColor="text2"/>
      <w:kern w:val="24"/>
      <w:sz w:val="24"/>
      <w:szCs w:val="24"/>
    </w:rPr>
  </w:style>
  <w:style w:type="paragraph" w:styleId="Heading3">
    <w:name w:val="heading 3"/>
    <w:basedOn w:val="Normal"/>
    <w:next w:val="Normal"/>
    <w:link w:val="Heading3Char"/>
    <w:uiPriority w:val="9"/>
    <w:unhideWhenUsed/>
    <w:qFormat/>
    <w:rsid w:val="00CE0D3F"/>
    <w:pPr>
      <w:keepNext/>
      <w:keepLines/>
      <w:spacing w:before="240"/>
      <w:outlineLvl w:val="2"/>
    </w:pPr>
    <w:rPr>
      <w:rFonts w:eastAsiaTheme="majorEastAsia" w:cs="Arial"/>
      <w:b/>
      <w:bCs/>
      <w:color w:val="4F81BD" w:themeColor="accent1"/>
      <w:kern w:val="24"/>
    </w:rPr>
  </w:style>
  <w:style w:type="paragraph" w:styleId="Heading4">
    <w:name w:val="heading 4"/>
    <w:basedOn w:val="Heading3"/>
    <w:next w:val="Normal"/>
    <w:link w:val="Heading4Char"/>
    <w:uiPriority w:val="9"/>
    <w:unhideWhenUsed/>
    <w:qFormat/>
    <w:rsid w:val="00CE0D3F"/>
    <w:pPr>
      <w:ind w:left="720"/>
      <w:outlineLvl w:val="3"/>
    </w:pPr>
    <w:rPr>
      <w:rFonts w:ascii="Arial" w:hAnsi="Arial"/>
      <w:i/>
      <w:color w:val="1F497D" w:themeColor="text2"/>
    </w:rPr>
  </w:style>
  <w:style w:type="paragraph" w:styleId="Heading5">
    <w:name w:val="heading 5"/>
    <w:basedOn w:val="Heading4"/>
    <w:next w:val="Normal"/>
    <w:link w:val="Heading5Char"/>
    <w:uiPriority w:val="9"/>
    <w:unhideWhenUsed/>
    <w:qFormat/>
    <w:rsid w:val="00CE0D3F"/>
    <w:pPr>
      <w:outlineLvl w:val="4"/>
    </w:pPr>
    <w:rPr>
      <w:rFonts w:asciiTheme="majorHAnsi" w:hAnsiTheme="majorHAnsi" w:cstheme="majorBidi"/>
      <w:lang w:eastAsia="ja-JP"/>
    </w:rPr>
  </w:style>
  <w:style w:type="paragraph" w:styleId="Heading6">
    <w:name w:val="heading 6"/>
    <w:basedOn w:val="Normal"/>
    <w:next w:val="Normal"/>
    <w:link w:val="Heading6Char"/>
    <w:unhideWhenUsed/>
    <w:qFormat/>
    <w:rsid w:val="00CE0D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E0D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E0D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CE0D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3F"/>
    <w:rPr>
      <w:rFonts w:ascii="Andes" w:eastAsiaTheme="majorEastAsia" w:hAnsi="Andes" w:cs="Arial"/>
      <w:b/>
      <w:bCs/>
      <w:color w:val="365F91" w:themeColor="accent1" w:themeShade="BF"/>
      <w:kern w:val="24"/>
      <w:sz w:val="28"/>
      <w:szCs w:val="28"/>
    </w:rPr>
  </w:style>
  <w:style w:type="character" w:customStyle="1" w:styleId="Heading2Char">
    <w:name w:val="Heading 2 Char"/>
    <w:basedOn w:val="DefaultParagraphFont"/>
    <w:link w:val="Heading2"/>
    <w:rsid w:val="00CE0D3F"/>
    <w:rPr>
      <w:rFonts w:ascii="Arial" w:eastAsiaTheme="majorEastAsia" w:hAnsi="Arial" w:cstheme="majorBidi"/>
      <w:b/>
      <w:bCs/>
      <w:color w:val="1F497D" w:themeColor="text2"/>
      <w:kern w:val="24"/>
      <w:sz w:val="24"/>
      <w:szCs w:val="24"/>
    </w:rPr>
  </w:style>
  <w:style w:type="character" w:customStyle="1" w:styleId="Heading3Char">
    <w:name w:val="Heading 3 Char"/>
    <w:basedOn w:val="DefaultParagraphFont"/>
    <w:link w:val="Heading3"/>
    <w:uiPriority w:val="9"/>
    <w:rsid w:val="00CE0D3F"/>
    <w:rPr>
      <w:rFonts w:ascii="Andes" w:eastAsiaTheme="majorEastAsia" w:hAnsi="Andes" w:cs="Arial"/>
      <w:b/>
      <w:bCs/>
      <w:color w:val="4F81BD" w:themeColor="accent1"/>
      <w:kern w:val="24"/>
    </w:rPr>
  </w:style>
  <w:style w:type="character" w:customStyle="1" w:styleId="Heading4Char">
    <w:name w:val="Heading 4 Char"/>
    <w:basedOn w:val="DefaultParagraphFont"/>
    <w:link w:val="Heading4"/>
    <w:uiPriority w:val="9"/>
    <w:rsid w:val="00CE0D3F"/>
    <w:rPr>
      <w:rFonts w:ascii="Arial" w:eastAsiaTheme="majorEastAsia" w:hAnsi="Arial" w:cs="Arial"/>
      <w:b/>
      <w:bCs/>
      <w:i/>
      <w:color w:val="1F497D" w:themeColor="text2"/>
      <w:kern w:val="24"/>
    </w:rPr>
  </w:style>
  <w:style w:type="character" w:customStyle="1" w:styleId="Heading5Char">
    <w:name w:val="Heading 5 Char"/>
    <w:basedOn w:val="DefaultParagraphFont"/>
    <w:link w:val="Heading5"/>
    <w:uiPriority w:val="9"/>
    <w:rsid w:val="00CE0D3F"/>
    <w:rPr>
      <w:rFonts w:asciiTheme="majorHAnsi" w:eastAsiaTheme="majorEastAsia" w:hAnsiTheme="majorHAnsi" w:cstheme="majorBidi"/>
      <w:b/>
      <w:bCs/>
      <w:i/>
      <w:color w:val="1F497D" w:themeColor="text2"/>
      <w:kern w:val="24"/>
      <w:lang w:eastAsia="ja-JP"/>
    </w:rPr>
  </w:style>
  <w:style w:type="character" w:customStyle="1" w:styleId="Heading6Char">
    <w:name w:val="Heading 6 Char"/>
    <w:basedOn w:val="DefaultParagraphFont"/>
    <w:link w:val="Heading6"/>
    <w:rsid w:val="00CE0D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E0D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E0D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CE0D3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nhideWhenUsed/>
    <w:rsid w:val="001535A5"/>
    <w:pPr>
      <w:tabs>
        <w:tab w:val="left" w:pos="720"/>
      </w:tabs>
    </w:pPr>
    <w:rPr>
      <w:szCs w:val="20"/>
    </w:rPr>
  </w:style>
  <w:style w:type="character" w:customStyle="1" w:styleId="EndnoteTextChar">
    <w:name w:val="Endnote Text Char"/>
    <w:basedOn w:val="DefaultParagraphFont"/>
    <w:link w:val="EndnoteText"/>
    <w:rsid w:val="001535A5"/>
    <w:rPr>
      <w:rFonts w:ascii="Arial" w:hAnsi="Arial" w:cs="Calibri"/>
      <w:kern w:val="24"/>
      <w:sz w:val="20"/>
      <w:szCs w:val="20"/>
    </w:rPr>
  </w:style>
  <w:style w:type="paragraph" w:customStyle="1" w:styleId="Bodytext">
    <w:name w:val="Bodytext"/>
    <w:basedOn w:val="Normal"/>
    <w:link w:val="BodytextChar"/>
    <w:uiPriority w:val="99"/>
    <w:rsid w:val="001535A5"/>
  </w:style>
  <w:style w:type="paragraph" w:styleId="Caption">
    <w:name w:val="caption"/>
    <w:basedOn w:val="Normal"/>
    <w:next w:val="Normal"/>
    <w:link w:val="CaptionChar"/>
    <w:uiPriority w:val="99"/>
    <w:unhideWhenUsed/>
    <w:qFormat/>
    <w:rsid w:val="003456C4"/>
    <w:pPr>
      <w:spacing w:before="240"/>
    </w:pPr>
    <w:rPr>
      <w:rFonts w:ascii="Arial" w:hAnsi="Arial"/>
      <w:b/>
      <w:bCs/>
      <w:lang w:eastAsia="ja-JP"/>
    </w:rPr>
  </w:style>
  <w:style w:type="character" w:customStyle="1" w:styleId="CaptionChar">
    <w:name w:val="Caption Char"/>
    <w:link w:val="Caption"/>
    <w:uiPriority w:val="99"/>
    <w:locked/>
    <w:rsid w:val="003456C4"/>
    <w:rPr>
      <w:rFonts w:ascii="Arial" w:eastAsia="MS Mincho" w:hAnsi="Arial" w:cs="Calibri"/>
      <w:b/>
      <w:bCs/>
      <w:lang w:eastAsia="ja-JP"/>
    </w:rPr>
  </w:style>
  <w:style w:type="paragraph" w:styleId="Title">
    <w:name w:val="Title"/>
    <w:basedOn w:val="Normal"/>
    <w:next w:val="Normal"/>
    <w:link w:val="TitleChar"/>
    <w:qFormat/>
    <w:rsid w:val="00CE0D3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CE0D3F"/>
    <w:rPr>
      <w:rFonts w:ascii="Andes" w:eastAsiaTheme="majorEastAsia" w:hAnsi="Andes"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0D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D3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E0D3F"/>
    <w:rPr>
      <w:b/>
      <w:bCs/>
    </w:rPr>
  </w:style>
  <w:style w:type="character" w:styleId="Emphasis">
    <w:name w:val="Emphasis"/>
    <w:basedOn w:val="DefaultParagraphFont"/>
    <w:qFormat/>
    <w:rsid w:val="00CE0D3F"/>
    <w:rPr>
      <w:i/>
      <w:iCs/>
    </w:rPr>
  </w:style>
  <w:style w:type="paragraph" w:styleId="NoSpacing">
    <w:name w:val="No Spacing"/>
    <w:aliases w:val="Subtitle 1"/>
    <w:basedOn w:val="Heading3"/>
    <w:link w:val="NoSpacingChar"/>
    <w:uiPriority w:val="1"/>
    <w:qFormat/>
    <w:rsid w:val="00CE0D3F"/>
    <w:pPr>
      <w:ind w:left="-720"/>
      <w:jc w:val="center"/>
    </w:pPr>
    <w:rPr>
      <w:rFonts w:cstheme="majorBidi"/>
      <w:color w:val="1F497D" w:themeColor="text2"/>
      <w:kern w:val="0"/>
      <w:sz w:val="28"/>
      <w:szCs w:val="28"/>
    </w:rPr>
  </w:style>
  <w:style w:type="paragraph" w:styleId="ListParagraph">
    <w:name w:val="List Paragraph"/>
    <w:aliases w:val="Bullet Paragraph"/>
    <w:basedOn w:val="Normal"/>
    <w:link w:val="ListParagraphChar"/>
    <w:uiPriority w:val="34"/>
    <w:qFormat/>
    <w:rsid w:val="00CE0D3F"/>
    <w:pPr>
      <w:numPr>
        <w:numId w:val="37"/>
      </w:numPr>
      <w:ind w:left="720"/>
    </w:pPr>
    <w:rPr>
      <w:rFonts w:eastAsiaTheme="minorHAnsi"/>
      <w:kern w:val="24"/>
    </w:rPr>
  </w:style>
  <w:style w:type="character" w:customStyle="1" w:styleId="NoSpacingChar">
    <w:name w:val="No Spacing Char"/>
    <w:aliases w:val="Subtitle 1 Char"/>
    <w:basedOn w:val="DefaultParagraphFont"/>
    <w:link w:val="NoSpacing"/>
    <w:uiPriority w:val="1"/>
    <w:rsid w:val="00CE0D3F"/>
    <w:rPr>
      <w:rFonts w:ascii="Andes" w:eastAsiaTheme="majorEastAsia" w:hAnsi="Andes" w:cstheme="majorBidi"/>
      <w:b/>
      <w:bCs/>
      <w:color w:val="1F497D" w:themeColor="text2"/>
      <w:sz w:val="28"/>
      <w:szCs w:val="28"/>
    </w:rPr>
  </w:style>
  <w:style w:type="paragraph" w:styleId="Quote">
    <w:name w:val="Quote"/>
    <w:basedOn w:val="Normal"/>
    <w:next w:val="Normal"/>
    <w:link w:val="QuoteChar"/>
    <w:uiPriority w:val="29"/>
    <w:qFormat/>
    <w:rsid w:val="00CE0D3F"/>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E0D3F"/>
    <w:rPr>
      <w:i/>
      <w:iCs/>
      <w:color w:val="000000" w:themeColor="text1"/>
    </w:rPr>
  </w:style>
  <w:style w:type="paragraph" w:styleId="IntenseQuote">
    <w:name w:val="Intense Quote"/>
    <w:basedOn w:val="Normal"/>
    <w:next w:val="Normal"/>
    <w:link w:val="IntenseQuoteChar"/>
    <w:uiPriority w:val="30"/>
    <w:qFormat/>
    <w:rsid w:val="00CE0D3F"/>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E0D3F"/>
    <w:rPr>
      <w:b/>
      <w:bCs/>
      <w:i/>
      <w:iCs/>
      <w:color w:val="4F81BD" w:themeColor="accent1"/>
    </w:rPr>
  </w:style>
  <w:style w:type="character" w:styleId="SubtleEmphasis">
    <w:name w:val="Subtle Emphasis"/>
    <w:basedOn w:val="DefaultParagraphFont"/>
    <w:uiPriority w:val="19"/>
    <w:qFormat/>
    <w:rsid w:val="00CE0D3F"/>
    <w:rPr>
      <w:i/>
      <w:iCs/>
      <w:color w:val="808080" w:themeColor="text1" w:themeTint="7F"/>
    </w:rPr>
  </w:style>
  <w:style w:type="character" w:styleId="IntenseEmphasis">
    <w:name w:val="Intense Emphasis"/>
    <w:basedOn w:val="DefaultParagraphFont"/>
    <w:uiPriority w:val="21"/>
    <w:qFormat/>
    <w:rsid w:val="00CE0D3F"/>
    <w:rPr>
      <w:b/>
      <w:bCs/>
      <w:i/>
      <w:iCs/>
      <w:color w:val="4F81BD" w:themeColor="accent1"/>
    </w:rPr>
  </w:style>
  <w:style w:type="character" w:styleId="SubtleReference">
    <w:name w:val="Subtle Reference"/>
    <w:basedOn w:val="DefaultParagraphFont"/>
    <w:uiPriority w:val="31"/>
    <w:qFormat/>
    <w:rsid w:val="00CE0D3F"/>
    <w:rPr>
      <w:smallCaps/>
      <w:color w:val="C0504D" w:themeColor="accent2"/>
      <w:u w:val="single"/>
    </w:rPr>
  </w:style>
  <w:style w:type="character" w:styleId="IntenseReference">
    <w:name w:val="Intense Reference"/>
    <w:basedOn w:val="DefaultParagraphFont"/>
    <w:uiPriority w:val="32"/>
    <w:qFormat/>
    <w:rsid w:val="00CE0D3F"/>
    <w:rPr>
      <w:b/>
      <w:bCs/>
      <w:smallCaps/>
      <w:color w:val="C0504D" w:themeColor="accent2"/>
      <w:spacing w:val="5"/>
      <w:u w:val="single"/>
    </w:rPr>
  </w:style>
  <w:style w:type="character" w:styleId="BookTitle">
    <w:name w:val="Book Title"/>
    <w:basedOn w:val="DefaultParagraphFont"/>
    <w:uiPriority w:val="33"/>
    <w:qFormat/>
    <w:rsid w:val="00CE0D3F"/>
    <w:rPr>
      <w:b/>
      <w:bCs/>
      <w:smallCaps/>
      <w:spacing w:val="5"/>
    </w:rPr>
  </w:style>
  <w:style w:type="paragraph" w:styleId="TOCHeading">
    <w:name w:val="TOC Heading"/>
    <w:basedOn w:val="Heading1"/>
    <w:next w:val="Normal"/>
    <w:unhideWhenUsed/>
    <w:qFormat/>
    <w:rsid w:val="00CE0D3F"/>
    <w:pPr>
      <w:outlineLvl w:val="9"/>
    </w:pPr>
    <w:rPr>
      <w:kern w:val="0"/>
    </w:rPr>
  </w:style>
  <w:style w:type="paragraph" w:customStyle="1" w:styleId="2">
    <w:name w:val="リスト段落2"/>
    <w:basedOn w:val="Normal"/>
    <w:rsid w:val="001535A5"/>
    <w:pPr>
      <w:ind w:left="720"/>
      <w:contextualSpacing/>
    </w:pPr>
    <w:rPr>
      <w:rFonts w:cs="Times New Roman"/>
    </w:rPr>
  </w:style>
  <w:style w:type="paragraph" w:customStyle="1" w:styleId="mypara">
    <w:name w:val="mypara"/>
    <w:basedOn w:val="para1"/>
    <w:link w:val="myparaChar"/>
    <w:rsid w:val="001535A5"/>
    <w:pPr>
      <w:numPr>
        <w:numId w:val="28"/>
      </w:numPr>
    </w:pPr>
    <w:rPr>
      <w:bCs/>
    </w:rPr>
  </w:style>
  <w:style w:type="character" w:customStyle="1" w:styleId="myparaChar">
    <w:name w:val="mypara Char"/>
    <w:link w:val="mypara"/>
    <w:rsid w:val="001535A5"/>
    <w:rPr>
      <w:rFonts w:ascii="Times New Roman" w:eastAsia="Times New Roman" w:hAnsi="Times New Roman" w:cs="Times New Roman"/>
      <w:bCs/>
      <w:sz w:val="20"/>
      <w:szCs w:val="20"/>
    </w:rPr>
  </w:style>
  <w:style w:type="paragraph" w:customStyle="1" w:styleId="ColorfulList-Accent12">
    <w:name w:val="Colorful List - Accent 12"/>
    <w:basedOn w:val="Normal"/>
    <w:uiPriority w:val="34"/>
    <w:rsid w:val="00680251"/>
    <w:pPr>
      <w:spacing w:after="200" w:line="276" w:lineRule="auto"/>
      <w:ind w:left="720"/>
      <w:contextualSpacing/>
    </w:pPr>
    <w:rPr>
      <w:rFonts w:eastAsia="Calibri" w:cs="Times New Roman"/>
    </w:rPr>
  </w:style>
  <w:style w:type="paragraph" w:customStyle="1" w:styleId="Source">
    <w:name w:val="Source"/>
    <w:basedOn w:val="BodyText0"/>
    <w:qFormat/>
    <w:rsid w:val="00CE0D3F"/>
    <w:pPr>
      <w:spacing w:after="0"/>
    </w:pPr>
    <w:rPr>
      <w:rFonts w:cstheme="minorBidi"/>
      <w:sz w:val="20"/>
      <w:szCs w:val="20"/>
      <w:lang w:eastAsia="ja-JP"/>
    </w:rPr>
  </w:style>
  <w:style w:type="paragraph" w:styleId="BodyText0">
    <w:name w:val="Body Text"/>
    <w:basedOn w:val="Normal"/>
    <w:link w:val="BodyTextChar0"/>
    <w:rsid w:val="001535A5"/>
  </w:style>
  <w:style w:type="character" w:customStyle="1" w:styleId="BodyTextChar0">
    <w:name w:val="Body Text Char"/>
    <w:basedOn w:val="DefaultParagraphFont"/>
    <w:link w:val="BodyText0"/>
    <w:rsid w:val="001535A5"/>
    <w:rPr>
      <w:rFonts w:ascii="Arial" w:eastAsia="MS Mincho" w:hAnsi="Arial" w:cs="Calibri"/>
      <w:sz w:val="20"/>
    </w:rPr>
  </w:style>
  <w:style w:type="paragraph" w:customStyle="1" w:styleId="TOCHeading2">
    <w:name w:val="TOC Heading2"/>
    <w:basedOn w:val="Heading1"/>
    <w:next w:val="Normal"/>
    <w:uiPriority w:val="39"/>
    <w:semiHidden/>
    <w:unhideWhenUsed/>
    <w:qFormat/>
    <w:rsid w:val="00CE0D3F"/>
    <w:pPr>
      <w:spacing w:after="0" w:line="276" w:lineRule="auto"/>
      <w:jc w:val="left"/>
      <w:outlineLvl w:val="9"/>
    </w:pPr>
    <w:rPr>
      <w:rFonts w:ascii="Cambria" w:eastAsia="MS Gothic" w:hAnsi="Cambria"/>
      <w:color w:val="365F91"/>
      <w:kern w:val="0"/>
      <w:lang w:eastAsia="ja-JP"/>
    </w:rPr>
  </w:style>
  <w:style w:type="paragraph" w:customStyle="1" w:styleId="5text">
    <w:name w:val="5 text"/>
    <w:basedOn w:val="Normal"/>
    <w:qFormat/>
    <w:rsid w:val="00CE0D3F"/>
    <w:pPr>
      <w:spacing w:before="120" w:after="0" w:line="360" w:lineRule="auto"/>
      <w:ind w:firstLine="426"/>
    </w:pPr>
    <w:rPr>
      <w:rFonts w:ascii="Times New Roman" w:hAnsi="Times New Roman" w:cs="Times New Roman"/>
    </w:rPr>
  </w:style>
  <w:style w:type="paragraph" w:customStyle="1" w:styleId="Mypara0">
    <w:name w:val="Mypara"/>
    <w:basedOn w:val="Normal"/>
    <w:link w:val="MyparaChar0"/>
    <w:rsid w:val="001535A5"/>
    <w:pPr>
      <w:autoSpaceDE w:val="0"/>
      <w:autoSpaceDN w:val="0"/>
      <w:adjustRightInd w:val="0"/>
      <w:spacing w:before="120" w:after="240" w:line="300" w:lineRule="auto"/>
    </w:pPr>
    <w:rPr>
      <w:rFonts w:ascii="Times New Roman" w:hAnsi="Times New Roman" w:cs="Arial"/>
      <w:color w:val="000000"/>
      <w:shd w:val="clear" w:color="auto" w:fill="FFFFFF"/>
    </w:rPr>
  </w:style>
  <w:style w:type="character" w:customStyle="1" w:styleId="MyparaChar0">
    <w:name w:val="Mypara Char"/>
    <w:basedOn w:val="DefaultParagraphFont"/>
    <w:link w:val="Mypara0"/>
    <w:rsid w:val="001535A5"/>
    <w:rPr>
      <w:rFonts w:ascii="Times New Roman" w:eastAsia="MS Mincho" w:hAnsi="Times New Roman" w:cs="Arial"/>
      <w:color w:val="000000"/>
      <w:sz w:val="20"/>
    </w:rPr>
  </w:style>
  <w:style w:type="paragraph" w:customStyle="1" w:styleId="ParaNumberPinar">
    <w:name w:val="Para. Number Pinar"/>
    <w:basedOn w:val="Normal"/>
    <w:rsid w:val="001535A5"/>
    <w:pPr>
      <w:numPr>
        <w:numId w:val="29"/>
      </w:numPr>
      <w:spacing w:before="120"/>
      <w:outlineLvl w:val="1"/>
    </w:pPr>
    <w:rPr>
      <w:rFonts w:ascii="Garamond" w:eastAsia="Times New Roman" w:hAnsi="Garamond" w:cs="Times New Roman"/>
      <w:sz w:val="24"/>
      <w:szCs w:val="24"/>
      <w:lang w:bidi="en-US"/>
    </w:rPr>
  </w:style>
  <w:style w:type="paragraph" w:customStyle="1" w:styleId="Footnote">
    <w:name w:val="Footnote"/>
    <w:basedOn w:val="FootnoteText"/>
    <w:link w:val="FootnoteChar"/>
    <w:qFormat/>
    <w:rsid w:val="00CE0D3F"/>
  </w:style>
  <w:style w:type="character" w:customStyle="1" w:styleId="FootnoteChar">
    <w:name w:val="Footnote Char"/>
    <w:basedOn w:val="FootnoteTextChar"/>
    <w:link w:val="Footnote"/>
    <w:rsid w:val="00CE0D3F"/>
    <w:rPr>
      <w:rFonts w:ascii="Arial" w:hAnsi="Arial" w:cs="Arial"/>
      <w:sz w:val="18"/>
      <w:szCs w:val="18"/>
      <w:lang w:eastAsia="ja-JP"/>
    </w:rPr>
  </w:style>
  <w:style w:type="paragraph" w:styleId="FootnoteText">
    <w:name w:val="footnote text"/>
    <w:aliases w:val="Texto nota pie Car Car,Texto nota pie Car Car Car Car Car Car,Texto nota pie Car Car Car Car Car,Texto nota pie Car Car Car Car Car Car Car,Texto nota pie Car Car Car,single space,footnote text,fn,FOOTNOTES,Footnote Text qer,ft,f,ADB"/>
    <w:basedOn w:val="Normal"/>
    <w:link w:val="FootnoteTextChar"/>
    <w:unhideWhenUsed/>
    <w:qFormat/>
    <w:rsid w:val="00CE0D3F"/>
    <w:pPr>
      <w:spacing w:after="0"/>
    </w:pPr>
    <w:rPr>
      <w:rFonts w:ascii="Arial" w:eastAsiaTheme="minorHAnsi" w:hAnsi="Arial" w:cs="Arial"/>
      <w:sz w:val="18"/>
      <w:szCs w:val="18"/>
      <w:lang w:eastAsia="ja-JP"/>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single space Char,footnote text Char"/>
    <w:basedOn w:val="DefaultParagraphFont"/>
    <w:link w:val="FootnoteText"/>
    <w:rsid w:val="00CE0D3F"/>
    <w:rPr>
      <w:rFonts w:ascii="Arial" w:hAnsi="Arial" w:cs="Arial"/>
      <w:sz w:val="18"/>
      <w:szCs w:val="18"/>
      <w:lang w:eastAsia="ja-JP"/>
    </w:rPr>
  </w:style>
  <w:style w:type="character" w:customStyle="1" w:styleId="ListParagraphChar">
    <w:name w:val="List Paragraph Char"/>
    <w:aliases w:val="Bullet Paragraph Char"/>
    <w:link w:val="ListParagraph"/>
    <w:uiPriority w:val="34"/>
    <w:locked/>
    <w:rsid w:val="00CE0D3F"/>
    <w:rPr>
      <w:rFonts w:ascii="Andes" w:hAnsi="Andes" w:cs="Calibri"/>
      <w:kern w:val="24"/>
    </w:rPr>
  </w:style>
  <w:style w:type="character" w:customStyle="1" w:styleId="FootnoteTextChar1">
    <w:name w:val="Footnote Text Char1"/>
    <w:aliases w:val="FOOTNOTES Char1,fn Char1,single space Char1,ft Char1,footnote text Char Char1,footnote text Char Char Char Char Char Char1,footnote text Char Char Char Char Char2,footnote text Char1,FOOTNOTES Char,ft Char,Footnote Text Char2 Char"/>
    <w:basedOn w:val="DefaultParagraphFont"/>
    <w:rsid w:val="001535A5"/>
    <w:rPr>
      <w:rFonts w:ascii="Calibri" w:hAnsi="Calibri" w:cs="Calibri"/>
      <w:kern w:val="24"/>
      <w:sz w:val="20"/>
      <w:szCs w:val="20"/>
    </w:rPr>
  </w:style>
  <w:style w:type="paragraph" w:customStyle="1" w:styleId="NoSpacing1">
    <w:name w:val="No Spacing1"/>
    <w:basedOn w:val="Normal"/>
    <w:rsid w:val="001535A5"/>
    <w:rPr>
      <w:rFonts w:cs="Times New Roman"/>
      <w:szCs w:val="20"/>
    </w:rPr>
  </w:style>
  <w:style w:type="paragraph" w:customStyle="1" w:styleId="ColorfulList-Accent11">
    <w:name w:val="Colorful List - Accent 11"/>
    <w:basedOn w:val="Normal"/>
    <w:link w:val="ColorfulList-Accent1Char"/>
    <w:rsid w:val="001535A5"/>
    <w:pPr>
      <w:numPr>
        <w:numId w:val="30"/>
      </w:numPr>
    </w:pPr>
    <w:rPr>
      <w:rFonts w:cs="Times New Roman"/>
      <w:szCs w:val="20"/>
      <w:lang w:eastAsia="ja-JP"/>
    </w:rPr>
  </w:style>
  <w:style w:type="character" w:customStyle="1" w:styleId="ColorfulList-Accent1Char">
    <w:name w:val="Colorful List - Accent 1 Char"/>
    <w:link w:val="ColorfulList-Accent11"/>
    <w:locked/>
    <w:rsid w:val="001535A5"/>
    <w:rPr>
      <w:rFonts w:ascii="Arial" w:eastAsia="MS Mincho" w:hAnsi="Arial" w:cs="Times New Roman"/>
      <w:sz w:val="20"/>
      <w:szCs w:val="20"/>
      <w:lang w:eastAsia="ja-JP"/>
    </w:rPr>
  </w:style>
  <w:style w:type="paragraph" w:customStyle="1" w:styleId="ColorfulGrid-Accent11">
    <w:name w:val="Colorful Grid - Accent 11"/>
    <w:basedOn w:val="Normal"/>
    <w:next w:val="Normal"/>
    <w:link w:val="ColorfulGrid-Accent1Char"/>
    <w:rsid w:val="001535A5"/>
    <w:rPr>
      <w:rFonts w:ascii="Cambria" w:eastAsia="MS Gothic" w:hAnsi="Cambria" w:cs="Times New Roman"/>
      <w:i/>
      <w:color w:val="5A5A5A"/>
      <w:szCs w:val="20"/>
    </w:rPr>
  </w:style>
  <w:style w:type="character" w:customStyle="1" w:styleId="ColorfulGrid-Accent1Char">
    <w:name w:val="Colorful Grid - Accent 1 Char"/>
    <w:link w:val="ColorfulGrid-Accent11"/>
    <w:locked/>
    <w:rsid w:val="001535A5"/>
    <w:rPr>
      <w:rFonts w:ascii="Cambria" w:eastAsia="MS Gothic" w:hAnsi="Cambria" w:cs="Times New Roman"/>
      <w:i/>
      <w:color w:val="5A5A5A"/>
      <w:sz w:val="20"/>
      <w:szCs w:val="20"/>
    </w:rPr>
  </w:style>
  <w:style w:type="paragraph" w:customStyle="1" w:styleId="LightShading-Accent21">
    <w:name w:val="Light Shading - Accent 21"/>
    <w:basedOn w:val="Normal"/>
    <w:next w:val="Normal"/>
    <w:link w:val="LightShading-Accent2Char"/>
    <w:rsid w:val="001535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cs="Times New Roman"/>
      <w:i/>
      <w:color w:val="FFFFFF"/>
      <w:sz w:val="24"/>
      <w:szCs w:val="20"/>
    </w:rPr>
  </w:style>
  <w:style w:type="character" w:customStyle="1" w:styleId="LightShading-Accent2Char">
    <w:name w:val="Light Shading - Accent 2 Char"/>
    <w:link w:val="LightShading-Accent21"/>
    <w:locked/>
    <w:rsid w:val="001535A5"/>
    <w:rPr>
      <w:rFonts w:ascii="Cambria" w:eastAsia="MS Gothic" w:hAnsi="Cambria" w:cs="Times New Roman"/>
      <w:i/>
      <w:color w:val="FFFFFF"/>
      <w:sz w:val="24"/>
      <w:szCs w:val="20"/>
      <w:shd w:val="clear" w:color="auto" w:fill="4F81BD"/>
    </w:rPr>
  </w:style>
  <w:style w:type="character" w:customStyle="1" w:styleId="SubtleEmphasis1">
    <w:name w:val="Subtle Emphasis1"/>
    <w:rsid w:val="001535A5"/>
    <w:rPr>
      <w:i/>
      <w:color w:val="5A5A5A"/>
    </w:rPr>
  </w:style>
  <w:style w:type="character" w:customStyle="1" w:styleId="IntenseEmphasis1">
    <w:name w:val="Intense Emphasis1"/>
    <w:rsid w:val="001535A5"/>
    <w:rPr>
      <w:rFonts w:ascii="Cambria" w:hAnsi="Cambria"/>
      <w:b/>
      <w:i/>
      <w:color w:val="365F91"/>
      <w:sz w:val="24"/>
    </w:rPr>
  </w:style>
  <w:style w:type="character" w:customStyle="1" w:styleId="SubtleReference1">
    <w:name w:val="Subtle Reference1"/>
    <w:rsid w:val="001535A5"/>
    <w:rPr>
      <w:color w:val="auto"/>
      <w:u w:val="single" w:color="9BBB59"/>
    </w:rPr>
  </w:style>
  <w:style w:type="character" w:customStyle="1" w:styleId="IntenseReference1">
    <w:name w:val="Intense Reference1"/>
    <w:rsid w:val="001535A5"/>
    <w:rPr>
      <w:b/>
      <w:color w:val="76923C"/>
      <w:u w:val="single" w:color="9BBB59"/>
    </w:rPr>
  </w:style>
  <w:style w:type="character" w:customStyle="1" w:styleId="BookTitle1">
    <w:name w:val="Book Title1"/>
    <w:rsid w:val="001535A5"/>
    <w:rPr>
      <w:rFonts w:ascii="Cambria" w:eastAsia="MS Gothic" w:hAnsi="Cambria"/>
      <w:b/>
      <w:i/>
      <w:color w:val="auto"/>
    </w:rPr>
  </w:style>
  <w:style w:type="paragraph" w:customStyle="1" w:styleId="TOCHeading1">
    <w:name w:val="TOC Heading1"/>
    <w:basedOn w:val="Heading1"/>
    <w:next w:val="Normal"/>
    <w:rsid w:val="001535A5"/>
    <w:pPr>
      <w:spacing w:after="0"/>
      <w:jc w:val="left"/>
      <w:outlineLvl w:val="9"/>
    </w:pPr>
    <w:rPr>
      <w:rFonts w:ascii="Cambria" w:eastAsia="MS Gothic" w:hAnsi="Cambria" w:cs="Times New Roman"/>
      <w:bCs w:val="0"/>
      <w:color w:val="365F91"/>
      <w:kern w:val="0"/>
      <w:szCs w:val="20"/>
      <w:lang w:val="fr-FR"/>
    </w:rPr>
  </w:style>
  <w:style w:type="paragraph" w:customStyle="1" w:styleId="1">
    <w:name w:val="リスト段落1"/>
    <w:basedOn w:val="Normal"/>
    <w:link w:val="a"/>
    <w:rsid w:val="001535A5"/>
    <w:pPr>
      <w:ind w:left="1080" w:hanging="360"/>
    </w:pPr>
    <w:rPr>
      <w:rFonts w:cs="Arial"/>
      <w:lang w:eastAsia="ja-JP"/>
    </w:rPr>
  </w:style>
  <w:style w:type="character" w:customStyle="1" w:styleId="a">
    <w:name w:val="リスト段落 (文字)"/>
    <w:link w:val="1"/>
    <w:locked/>
    <w:rsid w:val="001535A5"/>
    <w:rPr>
      <w:rFonts w:ascii="Arial" w:eastAsia="MS Mincho" w:hAnsi="Arial" w:cs="Arial"/>
      <w:sz w:val="20"/>
      <w:lang w:eastAsia="ja-JP"/>
    </w:rPr>
  </w:style>
  <w:style w:type="paragraph" w:customStyle="1" w:styleId="Numberedliststyle1">
    <w:name w:val="Numbered list style 1"/>
    <w:basedOn w:val="1"/>
    <w:link w:val="Numberedliststyle1Char"/>
    <w:rsid w:val="001535A5"/>
    <w:pPr>
      <w:numPr>
        <w:numId w:val="31"/>
      </w:numPr>
      <w:autoSpaceDE w:val="0"/>
      <w:autoSpaceDN w:val="0"/>
      <w:adjustRightInd w:val="0"/>
    </w:pPr>
  </w:style>
  <w:style w:type="character" w:customStyle="1" w:styleId="Numberedliststyle1Char">
    <w:name w:val="Numbered list style 1 Char"/>
    <w:basedOn w:val="a"/>
    <w:link w:val="Numberedliststyle1"/>
    <w:locked/>
    <w:rsid w:val="001535A5"/>
    <w:rPr>
      <w:rFonts w:ascii="Arial" w:eastAsia="MS Mincho" w:hAnsi="Arial" w:cs="Arial"/>
      <w:sz w:val="20"/>
      <w:lang w:eastAsia="ja-JP"/>
    </w:rPr>
  </w:style>
  <w:style w:type="paragraph" w:customStyle="1" w:styleId="a0">
    <w:name w:val="リスト段落"/>
    <w:basedOn w:val="Normal"/>
    <w:rsid w:val="001535A5"/>
    <w:pPr>
      <w:ind w:left="1080" w:hanging="360"/>
    </w:pPr>
    <w:rPr>
      <w:rFonts w:cs="Arial"/>
      <w:lang w:eastAsia="ja-JP"/>
    </w:rPr>
  </w:style>
  <w:style w:type="paragraph" w:customStyle="1" w:styleId="ListParagraph1">
    <w:name w:val="List Paragraph1"/>
    <w:basedOn w:val="Normal"/>
    <w:rsid w:val="001535A5"/>
    <w:pPr>
      <w:ind w:left="720"/>
      <w:contextualSpacing/>
    </w:pPr>
    <w:rPr>
      <w:rFonts w:cs="Times New Roman"/>
    </w:rPr>
  </w:style>
  <w:style w:type="paragraph" w:customStyle="1" w:styleId="11">
    <w:name w:val="リスト段落11"/>
    <w:basedOn w:val="Normal"/>
    <w:rsid w:val="001535A5"/>
    <w:pPr>
      <w:ind w:left="1080" w:hanging="360"/>
    </w:pPr>
    <w:rPr>
      <w:rFonts w:cs="Times New Roman"/>
      <w:szCs w:val="20"/>
      <w:lang w:eastAsia="ja-JP"/>
    </w:rPr>
  </w:style>
  <w:style w:type="paragraph" w:customStyle="1" w:styleId="Figtitle">
    <w:name w:val="Figtitle"/>
    <w:basedOn w:val="Normal"/>
    <w:rsid w:val="001535A5"/>
    <w:pPr>
      <w:keepNext/>
      <w:spacing w:before="240"/>
      <w:jc w:val="center"/>
    </w:pPr>
    <w:rPr>
      <w:rFonts w:ascii="Times New Roman" w:eastAsia="Times New Roman" w:hAnsi="Times New Roman" w:cs="Times New Roman"/>
      <w:b/>
    </w:rPr>
  </w:style>
  <w:style w:type="paragraph" w:customStyle="1" w:styleId="Default">
    <w:name w:val="Default"/>
    <w:rsid w:val="001535A5"/>
    <w:pPr>
      <w:autoSpaceDE w:val="0"/>
      <w:autoSpaceDN w:val="0"/>
      <w:adjustRightInd w:val="0"/>
      <w:spacing w:after="0"/>
    </w:pPr>
    <w:rPr>
      <w:rFonts w:ascii="Calibri" w:eastAsia="MS Mincho" w:hAnsi="Calibri" w:cs="Calibri"/>
      <w:color w:val="000000"/>
      <w:sz w:val="24"/>
      <w:szCs w:val="24"/>
    </w:rPr>
  </w:style>
  <w:style w:type="table" w:customStyle="1" w:styleId="LightShading1">
    <w:name w:val="Light Shading1"/>
    <w:basedOn w:val="TableNormal"/>
    <w:uiPriority w:val="60"/>
    <w:rsid w:val="001535A5"/>
    <w:pPr>
      <w:spacing w:after="0"/>
    </w:pPr>
    <w:rPr>
      <w:rFonts w:ascii="Calibri" w:eastAsia="MS Mincho"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
    <w:name w:val="Bullet"/>
    <w:basedOn w:val="BodyText0"/>
    <w:rsid w:val="001535A5"/>
    <w:pPr>
      <w:numPr>
        <w:numId w:val="32"/>
      </w:numPr>
      <w:contextualSpacing/>
    </w:pPr>
    <w:rPr>
      <w:rFonts w:cs="Times New Roman"/>
    </w:rPr>
  </w:style>
  <w:style w:type="paragraph" w:customStyle="1" w:styleId="H1Part">
    <w:name w:val="H1 Part"/>
    <w:basedOn w:val="Normal"/>
    <w:rsid w:val="001535A5"/>
    <w:pPr>
      <w:keepNext/>
      <w:tabs>
        <w:tab w:val="left" w:pos="1080"/>
      </w:tabs>
      <w:spacing w:before="240" w:after="240"/>
    </w:pPr>
    <w:rPr>
      <w:rFonts w:cs="Times New Roman"/>
      <w:b/>
      <w:caps/>
      <w:sz w:val="24"/>
      <w:szCs w:val="24"/>
    </w:rPr>
  </w:style>
  <w:style w:type="paragraph" w:customStyle="1" w:styleId="H2A">
    <w:name w:val="H2 A"/>
    <w:aliases w:val="B,C,D"/>
    <w:basedOn w:val="Normal"/>
    <w:rsid w:val="001535A5"/>
    <w:pPr>
      <w:keepNext/>
      <w:keepLines/>
      <w:spacing w:before="120" w:after="240"/>
    </w:pPr>
    <w:rPr>
      <w:rFonts w:cs="Times New Roman"/>
      <w:b/>
    </w:rPr>
  </w:style>
  <w:style w:type="paragraph" w:customStyle="1" w:styleId="H31">
    <w:name w:val="H3 1"/>
    <w:aliases w:val="2,3,4"/>
    <w:basedOn w:val="Normal"/>
    <w:rsid w:val="001535A5"/>
    <w:pPr>
      <w:keepNext/>
      <w:keepLines/>
      <w:spacing w:before="240"/>
      <w:ind w:left="720"/>
    </w:pPr>
    <w:rPr>
      <w:rFonts w:cs="Times New Roman"/>
      <w:b/>
      <w:u w:val="single"/>
      <w:lang w:eastAsia="ja-JP"/>
    </w:rPr>
  </w:style>
  <w:style w:type="paragraph" w:customStyle="1" w:styleId="10">
    <w:name w:val="目次の見出し1"/>
    <w:basedOn w:val="Heading1"/>
    <w:next w:val="Normal"/>
    <w:rsid w:val="001535A5"/>
    <w:pPr>
      <w:spacing w:after="0"/>
      <w:jc w:val="left"/>
      <w:outlineLvl w:val="9"/>
    </w:pPr>
    <w:rPr>
      <w:rFonts w:ascii="Cambria" w:eastAsia="MS Gothic" w:hAnsi="Cambria" w:cs="Times New Roman"/>
      <w:bCs w:val="0"/>
      <w:color w:val="365F91"/>
      <w:kern w:val="0"/>
      <w:szCs w:val="20"/>
      <w:lang w:val="fr-FR" w:eastAsia="ja-JP"/>
    </w:rPr>
  </w:style>
  <w:style w:type="paragraph" w:customStyle="1" w:styleId="12">
    <w:name w:val="行間詰め1"/>
    <w:rsid w:val="001535A5"/>
    <w:pPr>
      <w:spacing w:after="0"/>
    </w:pPr>
    <w:rPr>
      <w:rFonts w:ascii="Calibri" w:eastAsia="MS Mincho" w:hAnsi="Calibri" w:cs="Times New Roman"/>
    </w:rPr>
  </w:style>
  <w:style w:type="paragraph" w:customStyle="1" w:styleId="para1">
    <w:name w:val="para1"/>
    <w:basedOn w:val="Normal"/>
    <w:link w:val="para1Char"/>
    <w:uiPriority w:val="99"/>
    <w:rsid w:val="001535A5"/>
    <w:pPr>
      <w:numPr>
        <w:numId w:val="34"/>
      </w:numPr>
      <w:spacing w:after="240"/>
    </w:pPr>
    <w:rPr>
      <w:rFonts w:ascii="Times New Roman" w:eastAsia="Times New Roman" w:hAnsi="Times New Roman" w:cs="Times New Roman"/>
      <w:szCs w:val="20"/>
    </w:rPr>
  </w:style>
  <w:style w:type="character" w:customStyle="1" w:styleId="para1Char">
    <w:name w:val="para1 Char"/>
    <w:link w:val="para1"/>
    <w:uiPriority w:val="99"/>
    <w:locked/>
    <w:rsid w:val="001535A5"/>
    <w:rPr>
      <w:rFonts w:ascii="Times New Roman" w:eastAsia="Times New Roman" w:hAnsi="Times New Roman" w:cs="Times New Roman"/>
      <w:sz w:val="20"/>
      <w:szCs w:val="20"/>
    </w:rPr>
  </w:style>
  <w:style w:type="numbering" w:customStyle="1" w:styleId="StyleOutlinenumbered">
    <w:name w:val="Style Outline numbered"/>
    <w:rsid w:val="001535A5"/>
    <w:pPr>
      <w:numPr>
        <w:numId w:val="18"/>
      </w:numPr>
    </w:pPr>
  </w:style>
  <w:style w:type="paragraph" w:customStyle="1" w:styleId="Pa2">
    <w:name w:val="Pa2"/>
    <w:basedOn w:val="Normal"/>
    <w:next w:val="Normal"/>
    <w:uiPriority w:val="99"/>
    <w:rsid w:val="001535A5"/>
    <w:pPr>
      <w:autoSpaceDE w:val="0"/>
      <w:autoSpaceDN w:val="0"/>
      <w:adjustRightInd w:val="0"/>
      <w:spacing w:after="0" w:line="241" w:lineRule="atLeast"/>
    </w:pPr>
    <w:rPr>
      <w:rFonts w:ascii="Optima LT Std" w:hAnsi="Optima LT Std" w:cs="Times New Roman"/>
      <w:sz w:val="24"/>
      <w:szCs w:val="24"/>
    </w:rPr>
  </w:style>
  <w:style w:type="character" w:customStyle="1" w:styleId="ja50-ce-author">
    <w:name w:val="ja50-ce-author"/>
    <w:rsid w:val="001535A5"/>
  </w:style>
  <w:style w:type="character" w:customStyle="1" w:styleId="apple-converted-space">
    <w:name w:val="apple-converted-space"/>
    <w:rsid w:val="001535A5"/>
  </w:style>
  <w:style w:type="character" w:customStyle="1" w:styleId="ja50-ce-sup">
    <w:name w:val="ja50-ce-sup"/>
    <w:rsid w:val="001535A5"/>
  </w:style>
  <w:style w:type="character" w:customStyle="1" w:styleId="hps">
    <w:name w:val="hps"/>
    <w:rsid w:val="001535A5"/>
  </w:style>
  <w:style w:type="paragraph" w:customStyle="1" w:styleId="Fig">
    <w:name w:val="Fig"/>
    <w:basedOn w:val="BodyText0"/>
    <w:rsid w:val="001535A5"/>
    <w:pPr>
      <w:keepNext/>
      <w:spacing w:before="120"/>
    </w:pPr>
    <w:rPr>
      <w:rFonts w:cs="Times New Roman"/>
      <w:b/>
    </w:rPr>
  </w:style>
  <w:style w:type="character" w:customStyle="1" w:styleId="shorttext">
    <w:name w:val="short_text"/>
    <w:rsid w:val="001535A5"/>
  </w:style>
  <w:style w:type="character" w:customStyle="1" w:styleId="st">
    <w:name w:val="st"/>
    <w:basedOn w:val="DefaultParagraphFont"/>
    <w:rsid w:val="001535A5"/>
  </w:style>
  <w:style w:type="paragraph" w:customStyle="1" w:styleId="Refs">
    <w:name w:val="Refs"/>
    <w:basedOn w:val="BodyText0"/>
    <w:rsid w:val="001535A5"/>
    <w:pPr>
      <w:ind w:left="720" w:hanging="720"/>
    </w:pPr>
    <w:rPr>
      <w:rFonts w:cs="Times New Roman"/>
      <w:lang w:val="en-GB"/>
    </w:rPr>
  </w:style>
  <w:style w:type="paragraph" w:customStyle="1" w:styleId="Figure">
    <w:name w:val="Figure"/>
    <w:basedOn w:val="Normal"/>
    <w:rsid w:val="001535A5"/>
    <w:pPr>
      <w:keepNext/>
      <w:spacing w:before="240" w:line="252" w:lineRule="auto"/>
    </w:pPr>
    <w:rPr>
      <w:rFonts w:cs="Times New Roman"/>
      <w:b/>
    </w:rPr>
  </w:style>
  <w:style w:type="paragraph" w:customStyle="1" w:styleId="Table">
    <w:name w:val="Table"/>
    <w:basedOn w:val="Figure"/>
    <w:rsid w:val="001535A5"/>
    <w:rPr>
      <w:rFonts w:asciiTheme="minorHAnsi" w:hAnsiTheme="minorHAnsi"/>
    </w:rPr>
  </w:style>
  <w:style w:type="paragraph" w:customStyle="1" w:styleId="Boxtitle">
    <w:name w:val="Box title"/>
    <w:basedOn w:val="Figure"/>
    <w:rsid w:val="001535A5"/>
    <w:rPr>
      <w:rFonts w:asciiTheme="minorHAnsi" w:hAnsiTheme="minorHAnsi"/>
    </w:rPr>
  </w:style>
  <w:style w:type="paragraph" w:customStyle="1" w:styleId="Abstract">
    <w:name w:val="Abstract"/>
    <w:basedOn w:val="Normal"/>
    <w:rsid w:val="001535A5"/>
    <w:pPr>
      <w:spacing w:before="240" w:after="240" w:line="276" w:lineRule="auto"/>
      <w:ind w:left="576" w:right="576"/>
    </w:pPr>
    <w:rPr>
      <w:rFonts w:asciiTheme="minorHAnsi" w:hAnsiTheme="minorHAnsi" w:cs="Times New Roman"/>
      <w:lang w:eastAsia="ja-JP"/>
    </w:rPr>
  </w:style>
  <w:style w:type="character" w:customStyle="1" w:styleId="A5">
    <w:name w:val="A5"/>
    <w:uiPriority w:val="99"/>
    <w:rsid w:val="001535A5"/>
    <w:rPr>
      <w:rFonts w:cs="Arial Narrow"/>
      <w:color w:val="000000"/>
      <w:sz w:val="20"/>
      <w:szCs w:val="20"/>
    </w:rPr>
  </w:style>
  <w:style w:type="character" w:customStyle="1" w:styleId="googqs-tidbit">
    <w:name w:val="goog_qs-tidbit"/>
    <w:rsid w:val="001535A5"/>
  </w:style>
  <w:style w:type="paragraph" w:customStyle="1" w:styleId="a1">
    <w:name w:val="文献目録"/>
    <w:basedOn w:val="Normal"/>
    <w:next w:val="Normal"/>
    <w:rsid w:val="001535A5"/>
    <w:rPr>
      <w:rFonts w:cs="Arial"/>
      <w:lang w:eastAsia="ja-JP"/>
    </w:rPr>
  </w:style>
  <w:style w:type="paragraph" w:styleId="TOC1">
    <w:name w:val="toc 1"/>
    <w:basedOn w:val="Normal"/>
    <w:next w:val="Normal"/>
    <w:autoRedefine/>
    <w:uiPriority w:val="39"/>
    <w:unhideWhenUsed/>
    <w:rsid w:val="001535A5"/>
    <w:pPr>
      <w:spacing w:before="120" w:after="100" w:line="252" w:lineRule="auto"/>
    </w:pPr>
    <w:rPr>
      <w:rFonts w:cs="Times New Roman"/>
    </w:rPr>
  </w:style>
  <w:style w:type="paragraph" w:styleId="TOC2">
    <w:name w:val="toc 2"/>
    <w:basedOn w:val="Normal"/>
    <w:next w:val="Normal"/>
    <w:autoRedefine/>
    <w:uiPriority w:val="39"/>
    <w:rsid w:val="001535A5"/>
    <w:pPr>
      <w:ind w:left="220"/>
    </w:pPr>
    <w:rPr>
      <w:rFonts w:cs="Times New Roman"/>
    </w:rPr>
  </w:style>
  <w:style w:type="paragraph" w:styleId="TOC3">
    <w:name w:val="toc 3"/>
    <w:basedOn w:val="Normal"/>
    <w:next w:val="Normal"/>
    <w:autoRedefine/>
    <w:uiPriority w:val="39"/>
    <w:unhideWhenUsed/>
    <w:rsid w:val="001535A5"/>
    <w:pPr>
      <w:spacing w:before="120" w:after="100" w:line="252" w:lineRule="auto"/>
      <w:ind w:left="440"/>
    </w:pPr>
    <w:rPr>
      <w:rFonts w:cs="Times New Roman"/>
    </w:rPr>
  </w:style>
  <w:style w:type="paragraph" w:styleId="CommentText">
    <w:name w:val="annotation text"/>
    <w:basedOn w:val="Normal"/>
    <w:link w:val="CommentTextChar"/>
    <w:unhideWhenUsed/>
    <w:rsid w:val="001535A5"/>
    <w:rPr>
      <w:szCs w:val="20"/>
    </w:rPr>
  </w:style>
  <w:style w:type="character" w:customStyle="1" w:styleId="CommentTextChar">
    <w:name w:val="Comment Text Char"/>
    <w:basedOn w:val="DefaultParagraphFont"/>
    <w:link w:val="CommentText"/>
    <w:rsid w:val="001535A5"/>
    <w:rPr>
      <w:rFonts w:ascii="Arial" w:hAnsi="Arial" w:cs="Calibri"/>
      <w:kern w:val="24"/>
      <w:sz w:val="20"/>
      <w:szCs w:val="20"/>
    </w:rPr>
  </w:style>
  <w:style w:type="paragraph" w:styleId="Header">
    <w:name w:val="header"/>
    <w:basedOn w:val="Normal"/>
    <w:link w:val="HeaderChar"/>
    <w:rsid w:val="001535A5"/>
    <w:pPr>
      <w:tabs>
        <w:tab w:val="center" w:pos="4252"/>
        <w:tab w:val="right" w:pos="8504"/>
      </w:tabs>
      <w:snapToGrid w:val="0"/>
    </w:pPr>
    <w:rPr>
      <w:rFonts w:cs="Times New Roman"/>
    </w:rPr>
  </w:style>
  <w:style w:type="character" w:customStyle="1" w:styleId="HeaderChar">
    <w:name w:val="Header Char"/>
    <w:basedOn w:val="DefaultParagraphFont"/>
    <w:link w:val="Header"/>
    <w:rsid w:val="001535A5"/>
    <w:rPr>
      <w:rFonts w:ascii="Arial" w:eastAsia="MS Mincho" w:hAnsi="Arial" w:cs="Times New Roman"/>
      <w:sz w:val="20"/>
    </w:rPr>
  </w:style>
  <w:style w:type="paragraph" w:styleId="Footer">
    <w:name w:val="footer"/>
    <w:basedOn w:val="Normal"/>
    <w:link w:val="FooterChar"/>
    <w:uiPriority w:val="99"/>
    <w:rsid w:val="001535A5"/>
    <w:pPr>
      <w:tabs>
        <w:tab w:val="center" w:pos="4252"/>
        <w:tab w:val="right" w:pos="8504"/>
      </w:tabs>
      <w:snapToGrid w:val="0"/>
    </w:pPr>
    <w:rPr>
      <w:rFonts w:cs="Times New Roman"/>
    </w:rPr>
  </w:style>
  <w:style w:type="character" w:customStyle="1" w:styleId="FooterChar">
    <w:name w:val="Footer Char"/>
    <w:basedOn w:val="DefaultParagraphFont"/>
    <w:link w:val="Footer"/>
    <w:uiPriority w:val="99"/>
    <w:rsid w:val="001535A5"/>
    <w:rPr>
      <w:rFonts w:ascii="Arial" w:eastAsia="MS Mincho" w:hAnsi="Arial" w:cs="Times New Roman"/>
      <w:sz w:val="20"/>
    </w:rPr>
  </w:style>
  <w:style w:type="character" w:styleId="FootnoteReference">
    <w:name w:val="footnote reference"/>
    <w:aliases w:val="ftref,Char Char1,16 Point,FO,footnote ref,Fodnotetekst Tegn Char1,Footnote Text Char2 Char Char1,Footnote Text Char2 Char Char Char Char1,BVI fnr,Ref,de nota al pie,Superscript 6 Point,Char Char Char Char Car Char, BVI fnr, Car1,Car1"/>
    <w:link w:val="FNRefeCharChar"/>
    <w:uiPriority w:val="99"/>
    <w:rsid w:val="001535A5"/>
    <w:rPr>
      <w:sz w:val="20"/>
      <w:vertAlign w:val="superscript"/>
    </w:rPr>
  </w:style>
  <w:style w:type="character" w:styleId="CommentReference">
    <w:name w:val="annotation reference"/>
    <w:basedOn w:val="DefaultParagraphFont"/>
    <w:unhideWhenUsed/>
    <w:rsid w:val="001535A5"/>
    <w:rPr>
      <w:sz w:val="16"/>
      <w:szCs w:val="16"/>
    </w:rPr>
  </w:style>
  <w:style w:type="character" w:styleId="PageNumber">
    <w:name w:val="page number"/>
    <w:basedOn w:val="DefaultParagraphFont"/>
    <w:uiPriority w:val="99"/>
    <w:rsid w:val="001535A5"/>
  </w:style>
  <w:style w:type="character" w:styleId="EndnoteReference">
    <w:name w:val="endnote reference"/>
    <w:semiHidden/>
    <w:rsid w:val="001535A5"/>
    <w:rPr>
      <w:rFonts w:cs="Times New Roman"/>
      <w:sz w:val="32"/>
      <w:szCs w:val="32"/>
      <w:vertAlign w:val="superscript"/>
    </w:rPr>
  </w:style>
  <w:style w:type="character" w:styleId="Hyperlink">
    <w:name w:val="Hyperlink"/>
    <w:basedOn w:val="DefaultParagraphFont"/>
    <w:rsid w:val="001535A5"/>
    <w:rPr>
      <w:color w:val="0000FF" w:themeColor="hyperlink"/>
      <w:u w:val="single"/>
    </w:rPr>
  </w:style>
  <w:style w:type="character" w:styleId="FollowedHyperlink">
    <w:name w:val="FollowedHyperlink"/>
    <w:rsid w:val="001535A5"/>
    <w:rPr>
      <w:color w:val="800080"/>
      <w:u w:val="single"/>
    </w:rPr>
  </w:style>
  <w:style w:type="paragraph" w:styleId="DocumentMap">
    <w:name w:val="Document Map"/>
    <w:basedOn w:val="Normal"/>
    <w:link w:val="DocumentMapChar"/>
    <w:uiPriority w:val="99"/>
    <w:semiHidden/>
    <w:unhideWhenUsed/>
    <w:rsid w:val="001535A5"/>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35A5"/>
    <w:rPr>
      <w:rFonts w:ascii="Lucida Grande" w:hAnsi="Lucida Grande" w:cs="Lucida Grande"/>
      <w:sz w:val="24"/>
      <w:szCs w:val="24"/>
    </w:rPr>
  </w:style>
  <w:style w:type="paragraph" w:styleId="NormalWeb">
    <w:name w:val="Normal (Web)"/>
    <w:basedOn w:val="Normal"/>
    <w:unhideWhenUsed/>
    <w:rsid w:val="001535A5"/>
    <w:pPr>
      <w:spacing w:before="100" w:beforeAutospacing="1" w:after="100" w:afterAutospacing="1" w:line="252"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15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52"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535A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sid w:val="001535A5"/>
    <w:rPr>
      <w:b/>
      <w:bCs/>
    </w:rPr>
  </w:style>
  <w:style w:type="character" w:customStyle="1" w:styleId="CommentSubjectChar">
    <w:name w:val="Comment Subject Char"/>
    <w:basedOn w:val="CommentTextChar"/>
    <w:link w:val="CommentSubject"/>
    <w:uiPriority w:val="99"/>
    <w:rsid w:val="001535A5"/>
    <w:rPr>
      <w:rFonts w:ascii="Arial" w:hAnsi="Arial" w:cs="Calibri"/>
      <w:b/>
      <w:bCs/>
      <w:kern w:val="24"/>
      <w:sz w:val="20"/>
      <w:szCs w:val="20"/>
    </w:rPr>
  </w:style>
  <w:style w:type="table" w:styleId="Table3Deffects3">
    <w:name w:val="Table 3D effects 3"/>
    <w:basedOn w:val="TableNormal"/>
    <w:rsid w:val="001535A5"/>
    <w:rPr>
      <w:rFonts w:ascii="Calibri" w:eastAsia="MS Mincho"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535A5"/>
    <w:rPr>
      <w:rFonts w:ascii="Calibri" w:eastAsia="MS Mincho"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1535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A5"/>
    <w:rPr>
      <w:rFonts w:ascii="Tahoma" w:hAnsi="Tahoma" w:cs="Tahoma"/>
      <w:kern w:val="24"/>
      <w:sz w:val="16"/>
      <w:szCs w:val="16"/>
    </w:rPr>
  </w:style>
  <w:style w:type="table" w:styleId="TableGrid">
    <w:name w:val="Table Grid"/>
    <w:basedOn w:val="TableNormal"/>
    <w:uiPriority w:val="59"/>
    <w:rsid w:val="001535A5"/>
    <w:pPr>
      <w:spacing w:after="0"/>
    </w:pPr>
    <w:rPr>
      <w:rFonts w:ascii="Calibri" w:eastAsia="MS Mincho"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35A5"/>
    <w:rPr>
      <w:color w:val="808080"/>
    </w:rPr>
  </w:style>
  <w:style w:type="table" w:styleId="LightShading-Accent1">
    <w:name w:val="Light Shading Accent 1"/>
    <w:basedOn w:val="TableNormal"/>
    <w:uiPriority w:val="60"/>
    <w:rsid w:val="00C74A5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74A5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1535A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2">
    <w:name w:val="Light Grid Accent 2"/>
    <w:basedOn w:val="TableNormal"/>
    <w:uiPriority w:val="62"/>
    <w:rsid w:val="001535A5"/>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535A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1535A5"/>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535A5"/>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5">
    <w:name w:val="Light Shading Accent 5"/>
    <w:basedOn w:val="TableNormal"/>
    <w:uiPriority w:val="60"/>
    <w:rsid w:val="001535A5"/>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1535A5"/>
    <w:pPr>
      <w:spacing w:after="0"/>
    </w:pPr>
    <w:rPr>
      <w:rFonts w:asciiTheme="majorHAnsi" w:eastAsiaTheme="majorEastAsia" w:hAnsiTheme="majorHAnsi" w:cstheme="majorBidi"/>
      <w:color w:val="000000" w:themeColor="text1"/>
      <w:lang w:val="en-MY"/>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1535A5"/>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unhideWhenUsed/>
    <w:rsid w:val="001535A5"/>
    <w:rPr>
      <w:rFonts w:cs="Times New Roman"/>
    </w:rPr>
  </w:style>
  <w:style w:type="character" w:customStyle="1" w:styleId="BodytextChar">
    <w:name w:val="Bodytext Char"/>
    <w:basedOn w:val="DefaultParagraphFont"/>
    <w:link w:val="Bodytext"/>
    <w:uiPriority w:val="99"/>
    <w:locked/>
    <w:rsid w:val="001535A5"/>
    <w:rPr>
      <w:rFonts w:ascii="Arial" w:hAnsi="Arial" w:cs="Calibri"/>
      <w:kern w:val="24"/>
      <w:sz w:val="20"/>
    </w:rPr>
  </w:style>
  <w:style w:type="paragraph" w:customStyle="1" w:styleId="Reference">
    <w:name w:val="Reference"/>
    <w:basedOn w:val="Normal"/>
    <w:link w:val="ReferenceChar"/>
    <w:qFormat/>
    <w:rsid w:val="00CE0D3F"/>
    <w:pPr>
      <w:ind w:left="720" w:hanging="720"/>
    </w:pPr>
    <w:rPr>
      <w:rFonts w:eastAsiaTheme="minorHAnsi"/>
      <w:noProof/>
      <w:kern w:val="24"/>
    </w:rPr>
  </w:style>
  <w:style w:type="character" w:customStyle="1" w:styleId="ReferenceChar">
    <w:name w:val="Reference Char"/>
    <w:basedOn w:val="DefaultParagraphFont"/>
    <w:link w:val="Reference"/>
    <w:rsid w:val="00CE0D3F"/>
    <w:rPr>
      <w:rFonts w:ascii="Andes" w:hAnsi="Andes" w:cs="Calibri"/>
      <w:noProof/>
      <w:kern w:val="24"/>
    </w:rPr>
  </w:style>
  <w:style w:type="table" w:customStyle="1" w:styleId="LightShading-Accent11">
    <w:name w:val="Light Shading - Accent 11"/>
    <w:basedOn w:val="TableNormal"/>
    <w:uiPriority w:val="60"/>
    <w:rsid w:val="001535A5"/>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1535A5"/>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NRefeCharChar">
    <w:name w:val="FNRefe Char Char"/>
    <w:aliases w:val="BVI fnr Char Char, BVI fnr Char Char Char, BVI fnr Car Car Char Char Char,BVI fnr Car Char Char Char, BVI fnr Car Car Car Car Char Char Char Char Char"/>
    <w:basedOn w:val="Normal"/>
    <w:link w:val="FootnoteReference"/>
    <w:uiPriority w:val="99"/>
    <w:rsid w:val="001535A5"/>
    <w:pPr>
      <w:spacing w:after="160" w:line="240" w:lineRule="exact"/>
    </w:pPr>
    <w:rPr>
      <w:rFonts w:asciiTheme="minorHAnsi" w:hAnsiTheme="minorHAnsi" w:cstheme="minorBidi"/>
      <w:vertAlign w:val="superscript"/>
    </w:rPr>
  </w:style>
  <w:style w:type="paragraph" w:customStyle="1" w:styleId="BookTitle2">
    <w:name w:val="Book Title 2"/>
    <w:basedOn w:val="Normal"/>
    <w:rsid w:val="00680251"/>
    <w:pPr>
      <w:jc w:val="center"/>
    </w:pPr>
    <w:rPr>
      <w:sz w:val="32"/>
      <w:szCs w:val="32"/>
    </w:rPr>
  </w:style>
  <w:style w:type="paragraph" w:customStyle="1" w:styleId="Subtitle2">
    <w:name w:val="Subtitle 2"/>
    <w:basedOn w:val="Normal"/>
    <w:link w:val="Subtitle2Char"/>
    <w:qFormat/>
    <w:rsid w:val="00AB2DEF"/>
    <w:pPr>
      <w:jc w:val="center"/>
    </w:pPr>
    <w:rPr>
      <w:b/>
      <w:color w:val="1F497D" w:themeColor="text2"/>
      <w:sz w:val="28"/>
      <w:szCs w:val="28"/>
    </w:rPr>
  </w:style>
  <w:style w:type="character" w:customStyle="1" w:styleId="Subtitle2Char">
    <w:name w:val="Subtitle 2 Char"/>
    <w:basedOn w:val="DefaultParagraphFont"/>
    <w:link w:val="Subtitle2"/>
    <w:rsid w:val="00AB2DEF"/>
    <w:rPr>
      <w:rFonts w:ascii="Andes" w:eastAsia="MS Mincho" w:hAnsi="Andes" w:cs="Calibri"/>
      <w:b/>
      <w:color w:val="1F497D" w:themeColor="text2"/>
      <w:sz w:val="28"/>
      <w:szCs w:val="28"/>
    </w:rPr>
  </w:style>
  <w:style w:type="paragraph" w:customStyle="1" w:styleId="BankNormal">
    <w:name w:val="BankNormal"/>
    <w:basedOn w:val="Normal"/>
    <w:rsid w:val="00E4173B"/>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0.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image" Target="media/image2.png"/><Relationship Id="rId19" Type="http://schemas.openxmlformats.org/officeDocument/2006/relationships/image" Target="media/image6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6741</Words>
  <Characters>38429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Maeda</dc:creator>
  <cp:lastModifiedBy>Jurgita Campbell</cp:lastModifiedBy>
  <cp:revision>3</cp:revision>
  <cp:lastPrinted>2014-08-20T15:19:00Z</cp:lastPrinted>
  <dcterms:created xsi:type="dcterms:W3CDTF">2014-09-14T11:19:00Z</dcterms:created>
  <dcterms:modified xsi:type="dcterms:W3CDTF">2014-10-07T15:26:00Z</dcterms:modified>
</cp:coreProperties>
</file>