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29B1" w14:textId="77777777" w:rsidR="007220C7" w:rsidRDefault="007220C7" w:rsidP="007220C7">
      <w:pPr>
        <w:rPr>
          <w:rFonts w:ascii="Times New Roman" w:hAnsi="Times New Roman" w:cs="Times New Roman"/>
        </w:rPr>
      </w:pPr>
    </w:p>
    <w:tbl>
      <w:tblPr>
        <w:tblW w:w="1104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1"/>
        <w:gridCol w:w="110"/>
        <w:gridCol w:w="10711"/>
      </w:tblGrid>
      <w:tr w:rsidR="007220C7" w14:paraId="4E784559"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2585E50"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43271C5F" w14:textId="77777777" w:rsidR="007220C7" w:rsidRDefault="007220C7" w:rsidP="00AE4FD0">
            <w:pPr>
              <w:rPr>
                <w:sz w:val="20"/>
                <w:szCs w:val="20"/>
              </w:rPr>
            </w:pPr>
            <w:r>
              <w:rPr>
                <w:sz w:val="20"/>
                <w:szCs w:val="20"/>
              </w:rPr>
              <w:t>Report No: ACS21875</w:t>
            </w:r>
          </w:p>
        </w:tc>
      </w:tr>
      <w:tr w:rsidR="007220C7" w14:paraId="3963A32A"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77094331" w14:textId="77777777" w:rsidR="007220C7" w:rsidRDefault="007220C7" w:rsidP="00AE4FD0">
            <w:pPr>
              <w:rPr>
                <w:rFonts w:ascii="Times" w:hAnsi="Times" w:cs="Times"/>
                <w:color w:val="FFFFFF"/>
                <w:sz w:val="10"/>
                <w:szCs w:val="10"/>
              </w:rPr>
            </w:pPr>
            <w:r>
              <w:rPr>
                <w:rFonts w:ascii="Times" w:hAnsi="Times" w:cs="Times"/>
                <w:color w:val="FFFFFF"/>
                <w:sz w:val="10"/>
                <w:szCs w:val="10"/>
              </w:rPr>
              <w:t>.</w:t>
            </w:r>
          </w:p>
        </w:tc>
      </w:tr>
      <w:tr w:rsidR="007220C7" w14:paraId="04D8587A"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E775F8B"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049936CF" w14:textId="77777777" w:rsidR="007220C7" w:rsidRDefault="007220C7" w:rsidP="00AE4FD0">
            <w:pPr>
              <w:rPr>
                <w:sz w:val="48"/>
                <w:szCs w:val="48"/>
              </w:rPr>
            </w:pPr>
            <w:r>
              <w:rPr>
                <w:sz w:val="48"/>
                <w:szCs w:val="48"/>
              </w:rPr>
              <w:t>Republic of Moldova</w:t>
            </w:r>
          </w:p>
        </w:tc>
      </w:tr>
      <w:tr w:rsidR="007220C7" w14:paraId="4DDC99EB"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7AC6F96A"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3E5B4115" w14:textId="77777777" w:rsidR="007220C7" w:rsidRDefault="007220C7" w:rsidP="00AE4FD0">
            <w:pPr>
              <w:rPr>
                <w:sz w:val="48"/>
                <w:szCs w:val="48"/>
              </w:rPr>
            </w:pPr>
            <w:r>
              <w:rPr>
                <w:sz w:val="48"/>
                <w:szCs w:val="48"/>
              </w:rPr>
              <w:t>Moldova Country Gender Action Plan</w:t>
            </w:r>
          </w:p>
        </w:tc>
      </w:tr>
      <w:tr w:rsidR="007220C7" w14:paraId="47BDEECF"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2309BDAA" w14:textId="77777777" w:rsidR="007220C7" w:rsidRDefault="007220C7" w:rsidP="00AE4FD0">
            <w:pPr>
              <w:rPr>
                <w:rFonts w:ascii="Times" w:hAnsi="Times" w:cs="Times"/>
                <w:color w:val="FFFFFF"/>
                <w:sz w:val="60"/>
                <w:szCs w:val="60"/>
              </w:rPr>
            </w:pPr>
            <w:r>
              <w:rPr>
                <w:rFonts w:ascii="Times" w:hAnsi="Times" w:cs="Times"/>
                <w:color w:val="FFFFFF"/>
                <w:sz w:val="60"/>
                <w:szCs w:val="60"/>
              </w:rPr>
              <w:t>.</w:t>
            </w:r>
          </w:p>
        </w:tc>
      </w:tr>
      <w:tr w:rsidR="007220C7" w14:paraId="297C0D48"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5C7F630C"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1E07BA20" w14:textId="77777777" w:rsidR="007220C7" w:rsidRDefault="007220C7" w:rsidP="00AE4FD0">
            <w:pPr>
              <w:rPr>
                <w:sz w:val="20"/>
                <w:szCs w:val="20"/>
              </w:rPr>
            </w:pPr>
            <w:r>
              <w:rPr>
                <w:sz w:val="20"/>
                <w:szCs w:val="20"/>
              </w:rPr>
              <w:t>April 2017</w:t>
            </w:r>
          </w:p>
        </w:tc>
      </w:tr>
      <w:tr w:rsidR="007220C7" w14:paraId="4D3D13DD"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17164AB7" w14:textId="77777777" w:rsidR="007220C7" w:rsidRDefault="007220C7" w:rsidP="00AE4FD0">
            <w:pPr>
              <w:rPr>
                <w:rFonts w:ascii="Times" w:hAnsi="Times" w:cs="Times"/>
                <w:color w:val="FFFFFF"/>
                <w:sz w:val="60"/>
                <w:szCs w:val="60"/>
              </w:rPr>
            </w:pPr>
            <w:r>
              <w:rPr>
                <w:rFonts w:ascii="Times" w:hAnsi="Times" w:cs="Times"/>
                <w:color w:val="FFFFFF"/>
                <w:sz w:val="60"/>
                <w:szCs w:val="60"/>
              </w:rPr>
              <w:t>.</w:t>
            </w:r>
          </w:p>
        </w:tc>
      </w:tr>
      <w:tr w:rsidR="007220C7" w14:paraId="2F138DD9"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B2FE6C4"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37B4D31B" w14:textId="77777777" w:rsidR="007220C7" w:rsidRDefault="007220C7" w:rsidP="00AE4FD0">
            <w:pPr>
              <w:rPr>
                <w:sz w:val="20"/>
                <w:szCs w:val="20"/>
              </w:rPr>
            </w:pPr>
            <w:r>
              <w:rPr>
                <w:sz w:val="20"/>
                <w:szCs w:val="20"/>
              </w:rPr>
              <w:t>GSU03</w:t>
            </w:r>
          </w:p>
        </w:tc>
      </w:tr>
      <w:tr w:rsidR="007220C7" w14:paraId="7107AE15"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1C358BE9"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4D452776" w14:textId="77777777" w:rsidR="007220C7" w:rsidRDefault="007220C7" w:rsidP="00AE4FD0">
            <w:pPr>
              <w:rPr>
                <w:sz w:val="20"/>
                <w:szCs w:val="20"/>
              </w:rPr>
            </w:pPr>
            <w:r>
              <w:rPr>
                <w:sz w:val="20"/>
                <w:szCs w:val="20"/>
              </w:rPr>
              <w:t>EUROPE AND CENTRAL ASIA</w:t>
            </w:r>
          </w:p>
        </w:tc>
      </w:tr>
      <w:tr w:rsidR="007220C7" w14:paraId="12F74144"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4EAE6220" w14:textId="77777777" w:rsidR="007220C7" w:rsidRDefault="007220C7" w:rsidP="00AE4FD0">
            <w:pPr>
              <w:rPr>
                <w:rFonts w:ascii="Times" w:hAnsi="Times" w:cs="Times"/>
                <w:color w:val="FFFFFF"/>
                <w:sz w:val="20"/>
                <w:szCs w:val="20"/>
              </w:rPr>
            </w:pPr>
            <w:r>
              <w:rPr>
                <w:rFonts w:ascii="Times" w:hAnsi="Times" w:cs="Times"/>
                <w:color w:val="FFFFFF"/>
                <w:sz w:val="20"/>
                <w:szCs w:val="20"/>
              </w:rPr>
              <w:t>.</w:t>
            </w:r>
          </w:p>
        </w:tc>
      </w:tr>
      <w:tr w:rsidR="007220C7" w14:paraId="10D2F5CB" w14:textId="77777777" w:rsidTr="00AE4FD0">
        <w:tblPrEx>
          <w:tblCellMar>
            <w:top w:w="0" w:type="dxa"/>
            <w:bottom w:w="0" w:type="dxa"/>
          </w:tblCellMar>
        </w:tblPrEx>
        <w:tc>
          <w:tcPr>
            <w:tcW w:w="221" w:type="dxa"/>
            <w:tcBorders>
              <w:top w:val="nil"/>
              <w:left w:val="nil"/>
              <w:bottom w:val="nil"/>
              <w:right w:val="nil"/>
            </w:tcBorders>
            <w:shd w:val="clear" w:color="auto" w:fill="FFFFFF"/>
            <w:tcMar>
              <w:top w:w="50" w:type="dxa"/>
              <w:left w:w="50" w:type="dxa"/>
              <w:bottom w:w="50" w:type="dxa"/>
              <w:right w:w="50" w:type="dxa"/>
            </w:tcMar>
            <w:vAlign w:val="center"/>
          </w:tcPr>
          <w:p w14:paraId="328F86CD" w14:textId="77777777" w:rsidR="007220C7" w:rsidRDefault="007220C7" w:rsidP="00AE4FD0">
            <w:pPr>
              <w:rPr>
                <w:rFonts w:ascii="Times New Roman" w:hAnsi="Times New Roman" w:cs="Times New Roman"/>
              </w:rPr>
            </w:pPr>
          </w:p>
        </w:tc>
        <w:tc>
          <w:tcPr>
            <w:tcW w:w="10821" w:type="dxa"/>
            <w:gridSpan w:val="2"/>
            <w:tcBorders>
              <w:top w:val="nil"/>
              <w:left w:val="nil"/>
              <w:bottom w:val="nil"/>
              <w:right w:val="nil"/>
            </w:tcBorders>
            <w:shd w:val="clear" w:color="auto" w:fill="FFFFFF"/>
            <w:tcMar>
              <w:top w:w="50" w:type="dxa"/>
              <w:left w:w="50" w:type="dxa"/>
              <w:bottom w:w="50" w:type="dxa"/>
              <w:right w:w="50" w:type="dxa"/>
            </w:tcMar>
            <w:vAlign w:val="center"/>
          </w:tcPr>
          <w:p w14:paraId="473329AF" w14:textId="7701673D" w:rsidR="007220C7" w:rsidRDefault="007220C7" w:rsidP="00AE4FD0">
            <w:pPr>
              <w:spacing w:line="320" w:lineRule="atLeast"/>
              <w:rPr>
                <w:rFonts w:ascii="Times New Roman" w:hAnsi="Times New Roman" w:cs="Times New Roman"/>
              </w:rPr>
            </w:pPr>
            <w:r>
              <w:rPr>
                <w:rFonts w:ascii="Times New Roman" w:hAnsi="Times New Roman" w:cs="Times New Roman"/>
                <w:noProof/>
              </w:rPr>
              <w:drawing>
                <wp:inline distT="0" distB="0" distL="0" distR="0" wp14:anchorId="03F86D0C" wp14:editId="19052FA4">
                  <wp:extent cx="63817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7220C7" w14:paraId="22555FEE"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082C30B6" w14:textId="77777777" w:rsidR="007220C7" w:rsidRDefault="007220C7" w:rsidP="00AE4FD0">
            <w:pPr>
              <w:rPr>
                <w:rFonts w:ascii="Times" w:hAnsi="Times" w:cs="Times"/>
                <w:color w:val="FFFFFF"/>
                <w:sz w:val="650"/>
                <w:szCs w:val="650"/>
              </w:rPr>
            </w:pPr>
            <w:r>
              <w:rPr>
                <w:rFonts w:ascii="Times" w:hAnsi="Times" w:cs="Times"/>
                <w:color w:val="FFFFFF"/>
                <w:sz w:val="650"/>
                <w:szCs w:val="650"/>
              </w:rPr>
              <w:lastRenderedPageBreak/>
              <w:t>.</w:t>
            </w:r>
          </w:p>
        </w:tc>
      </w:tr>
      <w:tr w:rsidR="007220C7" w14:paraId="08C65153"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0BE28600" w14:textId="77777777" w:rsidR="007220C7" w:rsidRDefault="007220C7" w:rsidP="00AE4FD0">
            <w:pPr>
              <w:rPr>
                <w:rFonts w:ascii="Times" w:hAnsi="Times" w:cs="Times"/>
                <w:color w:val="FFFFFF"/>
                <w:sz w:val="20"/>
                <w:szCs w:val="20"/>
              </w:rPr>
            </w:pPr>
            <w:r>
              <w:rPr>
                <w:rFonts w:ascii="Times" w:hAnsi="Times" w:cs="Times"/>
                <w:color w:val="FFFFFF"/>
                <w:sz w:val="20"/>
                <w:szCs w:val="20"/>
              </w:rPr>
              <w:t>.</w:t>
            </w:r>
          </w:p>
          <w:p w14:paraId="0C3B64C7" w14:textId="77777777" w:rsidR="007220C7" w:rsidRDefault="007220C7" w:rsidP="00AE4FD0">
            <w:pPr>
              <w:rPr>
                <w:rFonts w:ascii="Times" w:hAnsi="Times" w:cs="Times"/>
                <w:color w:val="FFFFFF"/>
                <w:sz w:val="20"/>
                <w:szCs w:val="20"/>
              </w:rPr>
            </w:pPr>
          </w:p>
          <w:p w14:paraId="5D95D14D" w14:textId="77777777" w:rsidR="007220C7" w:rsidRDefault="007220C7" w:rsidP="00AE4FD0">
            <w:pPr>
              <w:rPr>
                <w:rFonts w:ascii="Times" w:hAnsi="Times" w:cs="Times"/>
                <w:color w:val="FFFFFF"/>
                <w:sz w:val="20"/>
                <w:szCs w:val="20"/>
              </w:rPr>
            </w:pPr>
          </w:p>
          <w:p w14:paraId="578B5ADA" w14:textId="77777777" w:rsidR="007220C7" w:rsidRDefault="007220C7" w:rsidP="00AE4FD0">
            <w:pPr>
              <w:rPr>
                <w:rFonts w:ascii="Times" w:hAnsi="Times" w:cs="Times"/>
                <w:color w:val="FFFFFF"/>
                <w:sz w:val="20"/>
                <w:szCs w:val="20"/>
              </w:rPr>
            </w:pPr>
          </w:p>
          <w:p w14:paraId="18293BE8" w14:textId="77777777" w:rsidR="007220C7" w:rsidRDefault="007220C7" w:rsidP="00AE4FD0">
            <w:pPr>
              <w:rPr>
                <w:rFonts w:ascii="Times" w:hAnsi="Times" w:cs="Times"/>
                <w:color w:val="FFFFFF"/>
                <w:sz w:val="20"/>
                <w:szCs w:val="20"/>
              </w:rPr>
            </w:pPr>
          </w:p>
          <w:p w14:paraId="00EBFD8A" w14:textId="77777777" w:rsidR="007220C7" w:rsidRDefault="007220C7" w:rsidP="00AE4FD0">
            <w:pPr>
              <w:rPr>
                <w:rFonts w:ascii="Times" w:hAnsi="Times" w:cs="Times"/>
                <w:color w:val="FFFFFF"/>
                <w:sz w:val="20"/>
                <w:szCs w:val="20"/>
              </w:rPr>
            </w:pPr>
          </w:p>
          <w:p w14:paraId="7ABA59DD" w14:textId="77777777" w:rsidR="007220C7" w:rsidRDefault="007220C7" w:rsidP="00AE4FD0">
            <w:pPr>
              <w:rPr>
                <w:rFonts w:ascii="Times" w:hAnsi="Times" w:cs="Times"/>
                <w:color w:val="FFFFFF"/>
                <w:sz w:val="20"/>
                <w:szCs w:val="20"/>
              </w:rPr>
            </w:pPr>
          </w:p>
          <w:p w14:paraId="5A167B5B" w14:textId="77777777" w:rsidR="007220C7" w:rsidRDefault="007220C7" w:rsidP="00AE4FD0">
            <w:pPr>
              <w:rPr>
                <w:rFonts w:ascii="Times" w:hAnsi="Times" w:cs="Times"/>
                <w:color w:val="FFFFFF"/>
                <w:sz w:val="20"/>
                <w:szCs w:val="20"/>
              </w:rPr>
            </w:pPr>
          </w:p>
          <w:p w14:paraId="2B872681" w14:textId="77777777" w:rsidR="007220C7" w:rsidRDefault="007220C7" w:rsidP="00AE4FD0">
            <w:pPr>
              <w:rPr>
                <w:rFonts w:ascii="Times" w:hAnsi="Times" w:cs="Times"/>
                <w:color w:val="FFFFFF"/>
                <w:sz w:val="20"/>
                <w:szCs w:val="20"/>
              </w:rPr>
            </w:pPr>
          </w:p>
          <w:p w14:paraId="404DEE93" w14:textId="77777777" w:rsidR="007220C7" w:rsidRDefault="007220C7" w:rsidP="00AE4FD0">
            <w:pPr>
              <w:rPr>
                <w:rFonts w:ascii="Times" w:hAnsi="Times" w:cs="Times"/>
                <w:color w:val="FFFFFF"/>
                <w:sz w:val="20"/>
                <w:szCs w:val="20"/>
              </w:rPr>
            </w:pPr>
          </w:p>
        </w:tc>
      </w:tr>
      <w:tr w:rsidR="007220C7" w14:paraId="41C29FCB" w14:textId="77777777" w:rsidTr="00AE4FD0">
        <w:tblPrEx>
          <w:tblCellMar>
            <w:top w:w="0" w:type="dxa"/>
            <w:bottom w:w="0" w:type="dxa"/>
          </w:tblCellMar>
        </w:tblPrEx>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3B2AA16A" w14:textId="77777777" w:rsidR="007220C7" w:rsidRDefault="007220C7" w:rsidP="00AE4FD0">
            <w:pPr>
              <w:rPr>
                <w:rFonts w:ascii="Times New Roman" w:hAnsi="Times New Roman" w:cs="Times New Roman"/>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14:paraId="6D7F2530" w14:textId="77777777" w:rsidR="007220C7" w:rsidRDefault="007220C7" w:rsidP="00AE4FD0">
            <w:pPr>
              <w:rPr>
                <w:color w:val="245086"/>
                <w:sz w:val="18"/>
                <w:szCs w:val="18"/>
              </w:rPr>
            </w:pPr>
            <w:r>
              <w:rPr>
                <w:b/>
                <w:bCs/>
                <w:color w:val="245086"/>
                <w:sz w:val="18"/>
                <w:szCs w:val="18"/>
              </w:rPr>
              <w:t>Standard Disclaimer:</w:t>
            </w:r>
          </w:p>
        </w:tc>
      </w:tr>
      <w:tr w:rsidR="007220C7" w14:paraId="57A47BAA"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6279043D" w14:textId="4D249F37" w:rsidR="007220C7" w:rsidRDefault="007220C7" w:rsidP="00AE4FD0">
            <w:pPr>
              <w:rPr>
                <w:rFonts w:ascii="Times" w:hAnsi="Times" w:cs="Times"/>
                <w:color w:val="FFFFFF"/>
                <w:sz w:val="20"/>
                <w:szCs w:val="20"/>
              </w:rPr>
            </w:pPr>
          </w:p>
        </w:tc>
      </w:tr>
      <w:tr w:rsidR="007220C7" w14:paraId="24E7DFC2" w14:textId="77777777" w:rsidTr="00AE4FD0">
        <w:tblPrEx>
          <w:tblCellMar>
            <w:top w:w="0" w:type="dxa"/>
            <w:bottom w:w="0" w:type="dxa"/>
          </w:tblCellMar>
        </w:tblPrEx>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5C290AFD" w14:textId="77777777" w:rsidR="007220C7" w:rsidRDefault="007220C7" w:rsidP="00AE4FD0">
            <w:pPr>
              <w:rPr>
                <w:rFonts w:ascii="Times New Roman" w:hAnsi="Times New Roman" w:cs="Times New Roman"/>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14:paraId="2D976AC5" w14:textId="77777777" w:rsidR="007220C7" w:rsidRDefault="007220C7" w:rsidP="00AE4FD0">
            <w:pPr>
              <w:jc w:val="both"/>
              <w:rPr>
                <w:sz w:val="18"/>
                <w:szCs w:val="18"/>
              </w:rPr>
            </w:pPr>
            <w:r>
              <w:rPr>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7220C7" w14:paraId="3BD935F0"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6E7FE74C" w14:textId="77777777" w:rsidR="007220C7" w:rsidRDefault="007220C7" w:rsidP="00AE4FD0">
            <w:pPr>
              <w:rPr>
                <w:rFonts w:ascii="Times" w:hAnsi="Times" w:cs="Times"/>
                <w:color w:val="FFFFFF"/>
                <w:sz w:val="20"/>
                <w:szCs w:val="20"/>
              </w:rPr>
            </w:pPr>
            <w:r>
              <w:rPr>
                <w:rFonts w:ascii="Times" w:hAnsi="Times" w:cs="Times"/>
                <w:color w:val="FFFFFF"/>
                <w:sz w:val="20"/>
                <w:szCs w:val="20"/>
              </w:rPr>
              <w:t>.</w:t>
            </w:r>
          </w:p>
        </w:tc>
      </w:tr>
      <w:tr w:rsidR="007220C7" w14:paraId="23BCAC3D" w14:textId="77777777" w:rsidTr="00AE4FD0">
        <w:tblPrEx>
          <w:tblCellMar>
            <w:top w:w="0" w:type="dxa"/>
            <w:bottom w:w="0" w:type="dxa"/>
          </w:tblCellMar>
        </w:tblPrEx>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16F6FE40" w14:textId="77777777" w:rsidR="007220C7" w:rsidRDefault="007220C7" w:rsidP="00AE4FD0">
            <w:pPr>
              <w:rPr>
                <w:rFonts w:ascii="Times New Roman" w:hAnsi="Times New Roman" w:cs="Times New Roman"/>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14:paraId="1C848A5C" w14:textId="77777777" w:rsidR="007220C7" w:rsidRDefault="007220C7" w:rsidP="00AE4FD0">
            <w:pPr>
              <w:rPr>
                <w:color w:val="245086"/>
                <w:sz w:val="18"/>
                <w:szCs w:val="18"/>
              </w:rPr>
            </w:pPr>
            <w:r>
              <w:rPr>
                <w:b/>
                <w:bCs/>
                <w:color w:val="245086"/>
                <w:sz w:val="18"/>
                <w:szCs w:val="18"/>
              </w:rPr>
              <w:t>Copyright Statement:</w:t>
            </w:r>
          </w:p>
        </w:tc>
      </w:tr>
      <w:tr w:rsidR="007220C7" w14:paraId="5ECCBDFF" w14:textId="77777777" w:rsidTr="00AE4FD0">
        <w:tblPrEx>
          <w:tblCellMar>
            <w:top w:w="0" w:type="dxa"/>
            <w:bottom w:w="0" w:type="dxa"/>
          </w:tblCellMar>
        </w:tblPrEx>
        <w:tc>
          <w:tcPr>
            <w:tcW w:w="11042" w:type="dxa"/>
            <w:gridSpan w:val="3"/>
            <w:tcBorders>
              <w:top w:val="nil"/>
              <w:left w:val="nil"/>
              <w:bottom w:val="nil"/>
              <w:right w:val="nil"/>
            </w:tcBorders>
            <w:shd w:val="clear" w:color="auto" w:fill="FFFFFF"/>
            <w:tcMar>
              <w:top w:w="50" w:type="dxa"/>
              <w:left w:w="50" w:type="dxa"/>
              <w:bottom w:w="50" w:type="dxa"/>
              <w:right w:w="50" w:type="dxa"/>
            </w:tcMar>
            <w:vAlign w:val="center"/>
          </w:tcPr>
          <w:p w14:paraId="18285836" w14:textId="77777777" w:rsidR="007220C7" w:rsidRDefault="007220C7" w:rsidP="00AE4FD0">
            <w:pPr>
              <w:rPr>
                <w:rFonts w:ascii="Times" w:hAnsi="Times" w:cs="Times"/>
                <w:color w:val="FFFFFF"/>
                <w:sz w:val="20"/>
                <w:szCs w:val="20"/>
              </w:rPr>
            </w:pPr>
            <w:r>
              <w:rPr>
                <w:rFonts w:ascii="Times" w:hAnsi="Times" w:cs="Times"/>
                <w:color w:val="FFFFFF"/>
                <w:sz w:val="20"/>
                <w:szCs w:val="20"/>
              </w:rPr>
              <w:t>.</w:t>
            </w:r>
          </w:p>
        </w:tc>
      </w:tr>
      <w:tr w:rsidR="007220C7" w14:paraId="5C7EEF2C" w14:textId="77777777" w:rsidTr="00AE4FD0">
        <w:tblPrEx>
          <w:tblCellMar>
            <w:top w:w="0" w:type="dxa"/>
            <w:bottom w:w="0" w:type="dxa"/>
          </w:tblCellMar>
        </w:tblPrEx>
        <w:tc>
          <w:tcPr>
            <w:tcW w:w="331" w:type="dxa"/>
            <w:gridSpan w:val="2"/>
            <w:tcBorders>
              <w:top w:val="nil"/>
              <w:left w:val="nil"/>
              <w:bottom w:val="nil"/>
              <w:right w:val="nil"/>
            </w:tcBorders>
            <w:shd w:val="clear" w:color="auto" w:fill="FFFFFF"/>
            <w:tcMar>
              <w:top w:w="50" w:type="dxa"/>
              <w:left w:w="50" w:type="dxa"/>
              <w:bottom w:w="50" w:type="dxa"/>
              <w:right w:w="50" w:type="dxa"/>
            </w:tcMar>
            <w:vAlign w:val="center"/>
          </w:tcPr>
          <w:p w14:paraId="6FA1CA2F" w14:textId="77777777" w:rsidR="007220C7" w:rsidRDefault="007220C7" w:rsidP="00AE4FD0">
            <w:pPr>
              <w:rPr>
                <w:rFonts w:ascii="Times New Roman" w:hAnsi="Times New Roman" w:cs="Times New Roman"/>
              </w:rPr>
            </w:pPr>
          </w:p>
        </w:tc>
        <w:tc>
          <w:tcPr>
            <w:tcW w:w="10711" w:type="dxa"/>
            <w:tcBorders>
              <w:top w:val="nil"/>
              <w:left w:val="nil"/>
              <w:bottom w:val="nil"/>
              <w:right w:val="nil"/>
            </w:tcBorders>
            <w:shd w:val="clear" w:color="auto" w:fill="FFFFFF"/>
            <w:tcMar>
              <w:top w:w="50" w:type="dxa"/>
              <w:left w:w="50" w:type="dxa"/>
              <w:bottom w:w="50" w:type="dxa"/>
              <w:right w:w="50" w:type="dxa"/>
            </w:tcMar>
            <w:vAlign w:val="center"/>
          </w:tcPr>
          <w:p w14:paraId="2CD65227" w14:textId="77777777" w:rsidR="007220C7" w:rsidRDefault="007220C7" w:rsidP="00AE4FD0">
            <w:pPr>
              <w:spacing w:line="240" w:lineRule="atLeast"/>
              <w:jc w:val="both"/>
              <w:rPr>
                <w:rFonts w:ascii="Times New Roman" w:hAnsi="Times New Roman" w:cs="Times New Roman"/>
                <w:sz w:val="18"/>
                <w:szCs w:val="18"/>
              </w:rPr>
            </w:pPr>
            <w:r>
              <w:rPr>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14:paraId="351A7D5B" w14:textId="77777777" w:rsidR="007220C7" w:rsidRDefault="007220C7" w:rsidP="00AE4FD0">
            <w:pPr>
              <w:spacing w:line="240" w:lineRule="atLeast"/>
              <w:jc w:val="both"/>
              <w:rPr>
                <w:rFonts w:ascii="Times New Roman" w:hAnsi="Times New Roman" w:cs="Times New Roman"/>
                <w:sz w:val="18"/>
                <w:szCs w:val="18"/>
              </w:rPr>
            </w:pPr>
          </w:p>
          <w:p w14:paraId="5447E812" w14:textId="77777777" w:rsidR="007220C7" w:rsidRDefault="007220C7" w:rsidP="00AE4FD0">
            <w:pPr>
              <w:spacing w:line="240" w:lineRule="atLeast"/>
              <w:jc w:val="both"/>
              <w:rPr>
                <w:rFonts w:ascii="Times New Roman" w:hAnsi="Times New Roman" w:cs="Times New Roman"/>
                <w:sz w:val="18"/>
                <w:szCs w:val="18"/>
              </w:rPr>
            </w:pPr>
            <w:r>
              <w:rPr>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9" w:history="1">
              <w:r>
                <w:rPr>
                  <w:color w:val="000099"/>
                  <w:sz w:val="18"/>
                  <w:szCs w:val="18"/>
                  <w:u w:val="single"/>
                </w:rPr>
                <w:t>http://www.copyright.com/.</w:t>
              </w:r>
            </w:hyperlink>
          </w:p>
          <w:p w14:paraId="659ED679" w14:textId="77777777" w:rsidR="007220C7" w:rsidRDefault="007220C7" w:rsidP="00AE4FD0">
            <w:pPr>
              <w:spacing w:line="240" w:lineRule="atLeast"/>
              <w:jc w:val="both"/>
              <w:rPr>
                <w:rFonts w:ascii="Times New Roman" w:hAnsi="Times New Roman" w:cs="Times New Roman"/>
                <w:sz w:val="18"/>
                <w:szCs w:val="18"/>
              </w:rPr>
            </w:pPr>
          </w:p>
          <w:p w14:paraId="1996DB4B" w14:textId="77777777" w:rsidR="007220C7" w:rsidRDefault="007220C7" w:rsidP="00AE4FD0">
            <w:pPr>
              <w:spacing w:line="240" w:lineRule="atLeast"/>
              <w:jc w:val="both"/>
              <w:rPr>
                <w:rFonts w:ascii="Times New Roman" w:hAnsi="Times New Roman" w:cs="Times New Roman"/>
                <w:sz w:val="18"/>
                <w:szCs w:val="18"/>
              </w:rPr>
            </w:pPr>
            <w:r>
              <w:rPr>
                <w:sz w:val="18"/>
                <w:szCs w:val="18"/>
              </w:rPr>
              <w:t xml:space="preserve">All other queries on rights and licenses, including subsidiary rights, should be addressed to the Office of the Publisher, The World Bank, 1818 H Street NW, Washington, DC 20433, USA, fax 202-522-2422, e-mail </w:t>
            </w:r>
            <w:hyperlink r:id="rId10" w:history="1">
              <w:r>
                <w:rPr>
                  <w:color w:val="000099"/>
                  <w:sz w:val="18"/>
                  <w:szCs w:val="18"/>
                  <w:u w:val="single"/>
                </w:rPr>
                <w:t>pubrights@worldbank.org.</w:t>
              </w:r>
            </w:hyperlink>
          </w:p>
          <w:p w14:paraId="4B677EF9" w14:textId="77777777" w:rsidR="007220C7" w:rsidRDefault="007220C7" w:rsidP="00AE4FD0">
            <w:pPr>
              <w:spacing w:line="240" w:lineRule="atLeast"/>
              <w:jc w:val="both"/>
              <w:rPr>
                <w:rFonts w:ascii="Times New Roman" w:hAnsi="Times New Roman" w:cs="Times New Roman"/>
                <w:sz w:val="18"/>
                <w:szCs w:val="18"/>
              </w:rPr>
            </w:pPr>
          </w:p>
        </w:tc>
      </w:tr>
    </w:tbl>
    <w:p w14:paraId="0CAA4739" w14:textId="77777777" w:rsidR="007220C7" w:rsidRDefault="007220C7" w:rsidP="007220C7"/>
    <w:p w14:paraId="106D28BD" w14:textId="77777777" w:rsidR="007220C7" w:rsidRDefault="007220C7" w:rsidP="003A7315">
      <w:pPr>
        <w:pStyle w:val="Title"/>
        <w:jc w:val="center"/>
        <w:rPr>
          <w:sz w:val="36"/>
          <w:szCs w:val="36"/>
        </w:rPr>
      </w:pPr>
    </w:p>
    <w:p w14:paraId="46C093D5" w14:textId="77777777" w:rsidR="007220C7" w:rsidRDefault="007220C7" w:rsidP="003A7315">
      <w:pPr>
        <w:pStyle w:val="Title"/>
        <w:jc w:val="center"/>
        <w:rPr>
          <w:sz w:val="36"/>
          <w:szCs w:val="36"/>
        </w:rPr>
      </w:pPr>
    </w:p>
    <w:p w14:paraId="03522D6A" w14:textId="77777777" w:rsidR="00D57BD0" w:rsidRDefault="00D57BD0" w:rsidP="00D57BD0">
      <w:pPr>
        <w:spacing w:after="0" w:line="240" w:lineRule="auto"/>
        <w:rPr>
          <w:rFonts w:cs="Times New Roman"/>
        </w:rPr>
      </w:pPr>
    </w:p>
    <w:p w14:paraId="7ADCF189" w14:textId="77777777" w:rsidR="007220C7" w:rsidRDefault="007220C7" w:rsidP="00D57BD0">
      <w:pPr>
        <w:spacing w:after="0" w:line="240" w:lineRule="auto"/>
        <w:rPr>
          <w:rFonts w:cs="Times New Roman"/>
        </w:rPr>
      </w:pPr>
    </w:p>
    <w:p w14:paraId="092B0A56" w14:textId="77777777" w:rsidR="007220C7" w:rsidRDefault="007220C7" w:rsidP="00D57BD0">
      <w:pPr>
        <w:spacing w:after="0" w:line="240" w:lineRule="auto"/>
        <w:rPr>
          <w:rFonts w:cs="Times New Roman"/>
        </w:rPr>
      </w:pPr>
    </w:p>
    <w:p w14:paraId="53383891" w14:textId="77777777" w:rsidR="007220C7" w:rsidRDefault="007220C7" w:rsidP="00D57BD0">
      <w:pPr>
        <w:spacing w:after="0" w:line="240" w:lineRule="auto"/>
        <w:rPr>
          <w:rFonts w:cs="Times New Roman"/>
        </w:rPr>
      </w:pPr>
    </w:p>
    <w:p w14:paraId="2EDEFCC7" w14:textId="77777777" w:rsidR="007220C7" w:rsidRDefault="007220C7" w:rsidP="00D57BD0">
      <w:pPr>
        <w:spacing w:after="0" w:line="240" w:lineRule="auto"/>
        <w:rPr>
          <w:rFonts w:cs="Times New Roman"/>
        </w:rPr>
      </w:pPr>
    </w:p>
    <w:p w14:paraId="3B941990" w14:textId="77777777" w:rsidR="007220C7" w:rsidRDefault="007220C7" w:rsidP="00D57BD0">
      <w:pPr>
        <w:spacing w:after="0" w:line="240" w:lineRule="auto"/>
        <w:rPr>
          <w:rFonts w:cs="Times New Roman"/>
        </w:rPr>
      </w:pPr>
    </w:p>
    <w:p w14:paraId="3BA576CA" w14:textId="77777777" w:rsidR="007220C7" w:rsidRDefault="007220C7" w:rsidP="00D57BD0">
      <w:pPr>
        <w:spacing w:after="0" w:line="240" w:lineRule="auto"/>
        <w:rPr>
          <w:rFonts w:cs="Times New Roman"/>
        </w:rPr>
      </w:pPr>
    </w:p>
    <w:p w14:paraId="55CAF62D" w14:textId="77777777" w:rsidR="007220C7" w:rsidRDefault="007220C7" w:rsidP="00D57BD0">
      <w:pPr>
        <w:spacing w:after="0" w:line="240" w:lineRule="auto"/>
        <w:rPr>
          <w:rFonts w:cs="Times New Roman"/>
        </w:rPr>
      </w:pPr>
    </w:p>
    <w:p w14:paraId="66531189" w14:textId="77777777" w:rsidR="007220C7" w:rsidRDefault="007220C7" w:rsidP="00D57BD0">
      <w:pPr>
        <w:spacing w:after="0" w:line="240" w:lineRule="auto"/>
        <w:rPr>
          <w:rFonts w:cs="Times New Roman"/>
        </w:rPr>
      </w:pPr>
    </w:p>
    <w:p w14:paraId="1BD491E8" w14:textId="77777777" w:rsidR="007220C7" w:rsidRDefault="007220C7" w:rsidP="00D57BD0">
      <w:pPr>
        <w:spacing w:after="0" w:line="240" w:lineRule="auto"/>
        <w:rPr>
          <w:rFonts w:cs="Times New Roman"/>
        </w:rPr>
      </w:pPr>
    </w:p>
    <w:p w14:paraId="44EE42A7" w14:textId="77777777" w:rsidR="007220C7" w:rsidRPr="00B50FD1" w:rsidRDefault="007220C7" w:rsidP="00D57BD0">
      <w:pPr>
        <w:spacing w:after="0" w:line="240" w:lineRule="auto"/>
        <w:rPr>
          <w:rFonts w:cs="Times New Roman"/>
        </w:rPr>
      </w:pPr>
      <w:bookmarkStart w:id="0" w:name="_GoBack"/>
      <w:bookmarkEnd w:id="0"/>
    </w:p>
    <w:p w14:paraId="02A4F3A2" w14:textId="77777777" w:rsidR="00D57BD0" w:rsidRDefault="00D57BD0" w:rsidP="00D57BD0">
      <w:pPr>
        <w:spacing w:after="0" w:line="240" w:lineRule="auto"/>
        <w:rPr>
          <w:rFonts w:cs="Times New Roman"/>
          <w:b/>
        </w:rPr>
      </w:pPr>
    </w:p>
    <w:p w14:paraId="0D234335" w14:textId="77777777" w:rsidR="00507D42" w:rsidRDefault="00507D42" w:rsidP="00D57BD0">
      <w:pPr>
        <w:spacing w:after="0" w:line="240" w:lineRule="auto"/>
        <w:rPr>
          <w:rFonts w:cs="Times New Roman"/>
          <w:b/>
        </w:rPr>
      </w:pPr>
    </w:p>
    <w:sdt>
      <w:sdtPr>
        <w:rPr>
          <w:rFonts w:asciiTheme="minorHAnsi" w:eastAsiaTheme="minorHAnsi" w:hAnsiTheme="minorHAnsi" w:cstheme="minorBidi"/>
          <w:color w:val="auto"/>
          <w:sz w:val="22"/>
          <w:szCs w:val="22"/>
        </w:rPr>
        <w:id w:val="-2020541922"/>
        <w:docPartObj>
          <w:docPartGallery w:val="Table of Contents"/>
          <w:docPartUnique/>
        </w:docPartObj>
      </w:sdtPr>
      <w:sdtEndPr>
        <w:rPr>
          <w:b/>
          <w:bCs/>
          <w:noProof/>
        </w:rPr>
      </w:sdtEndPr>
      <w:sdtContent>
        <w:p w14:paraId="1CD5F8F5" w14:textId="77777777" w:rsidR="00CE7281" w:rsidRDefault="00CE7281">
          <w:pPr>
            <w:pStyle w:val="TOCHeading"/>
          </w:pPr>
          <w:r>
            <w:t>Contents</w:t>
          </w:r>
        </w:p>
        <w:p w14:paraId="57BC7D67" w14:textId="77777777" w:rsidR="00CE7281" w:rsidRPr="00CE7281" w:rsidRDefault="00CE7281" w:rsidP="00CE7281"/>
        <w:p w14:paraId="2CF969C4" w14:textId="77777777" w:rsidR="00200C3D" w:rsidRDefault="00CE7281">
          <w:pPr>
            <w:pStyle w:val="TOC2"/>
            <w:tabs>
              <w:tab w:val="left" w:pos="660"/>
              <w:tab w:val="right" w:leader="dot" w:pos="9350"/>
            </w:tabs>
            <w:rPr>
              <w:rFonts w:eastAsiaTheme="minorEastAsia"/>
              <w:noProof/>
            </w:rPr>
          </w:pPr>
          <w:r>
            <w:fldChar w:fldCharType="begin"/>
          </w:r>
          <w:r>
            <w:instrText xml:space="preserve"> TOC \o "1-3" \h \z \u </w:instrText>
          </w:r>
          <w:r>
            <w:fldChar w:fldCharType="separate"/>
          </w:r>
          <w:hyperlink w:anchor="_Toc476839787" w:history="1">
            <w:r w:rsidR="00200C3D" w:rsidRPr="0018363C">
              <w:rPr>
                <w:rStyle w:val="Hyperlink"/>
                <w:noProof/>
              </w:rPr>
              <w:t>I.</w:t>
            </w:r>
            <w:r w:rsidR="00200C3D">
              <w:rPr>
                <w:rFonts w:eastAsiaTheme="minorEastAsia"/>
                <w:noProof/>
              </w:rPr>
              <w:tab/>
            </w:r>
            <w:r w:rsidR="00200C3D" w:rsidRPr="0018363C">
              <w:rPr>
                <w:rStyle w:val="Hyperlink"/>
                <w:noProof/>
              </w:rPr>
              <w:t>Background</w:t>
            </w:r>
            <w:r w:rsidR="00200C3D">
              <w:rPr>
                <w:noProof/>
                <w:webHidden/>
              </w:rPr>
              <w:tab/>
            </w:r>
            <w:r w:rsidR="00200C3D">
              <w:rPr>
                <w:noProof/>
                <w:webHidden/>
              </w:rPr>
              <w:fldChar w:fldCharType="begin"/>
            </w:r>
            <w:r w:rsidR="00200C3D">
              <w:rPr>
                <w:noProof/>
                <w:webHidden/>
              </w:rPr>
              <w:instrText xml:space="preserve"> PAGEREF _Toc476839787 \h </w:instrText>
            </w:r>
            <w:r w:rsidR="00200C3D">
              <w:rPr>
                <w:noProof/>
                <w:webHidden/>
              </w:rPr>
            </w:r>
            <w:r w:rsidR="00200C3D">
              <w:rPr>
                <w:noProof/>
                <w:webHidden/>
              </w:rPr>
              <w:fldChar w:fldCharType="separate"/>
            </w:r>
            <w:r w:rsidR="00200C3D">
              <w:rPr>
                <w:noProof/>
                <w:webHidden/>
              </w:rPr>
              <w:t>2</w:t>
            </w:r>
            <w:r w:rsidR="00200C3D">
              <w:rPr>
                <w:noProof/>
                <w:webHidden/>
              </w:rPr>
              <w:fldChar w:fldCharType="end"/>
            </w:r>
          </w:hyperlink>
        </w:p>
        <w:p w14:paraId="775B6250" w14:textId="77777777" w:rsidR="00200C3D" w:rsidRDefault="00106B12">
          <w:pPr>
            <w:pStyle w:val="TOC2"/>
            <w:tabs>
              <w:tab w:val="left" w:pos="660"/>
              <w:tab w:val="right" w:leader="dot" w:pos="9350"/>
            </w:tabs>
            <w:rPr>
              <w:rFonts w:eastAsiaTheme="minorEastAsia"/>
              <w:noProof/>
            </w:rPr>
          </w:pPr>
          <w:hyperlink w:anchor="_Toc476839788" w:history="1">
            <w:r w:rsidR="00200C3D" w:rsidRPr="0018363C">
              <w:rPr>
                <w:rStyle w:val="Hyperlink"/>
                <w:noProof/>
              </w:rPr>
              <w:t>II.</w:t>
            </w:r>
            <w:r w:rsidR="00200C3D">
              <w:rPr>
                <w:rFonts w:eastAsiaTheme="minorEastAsia"/>
                <w:noProof/>
              </w:rPr>
              <w:tab/>
            </w:r>
            <w:r w:rsidR="00200C3D" w:rsidRPr="0018363C">
              <w:rPr>
                <w:rStyle w:val="Hyperlink"/>
                <w:noProof/>
              </w:rPr>
              <w:t>Objectives and Structure</w:t>
            </w:r>
            <w:r w:rsidR="00200C3D">
              <w:rPr>
                <w:noProof/>
                <w:webHidden/>
              </w:rPr>
              <w:tab/>
            </w:r>
            <w:r w:rsidR="00200C3D">
              <w:rPr>
                <w:noProof/>
                <w:webHidden/>
              </w:rPr>
              <w:fldChar w:fldCharType="begin"/>
            </w:r>
            <w:r w:rsidR="00200C3D">
              <w:rPr>
                <w:noProof/>
                <w:webHidden/>
              </w:rPr>
              <w:instrText xml:space="preserve"> PAGEREF _Toc476839788 \h </w:instrText>
            </w:r>
            <w:r w:rsidR="00200C3D">
              <w:rPr>
                <w:noProof/>
                <w:webHidden/>
              </w:rPr>
            </w:r>
            <w:r w:rsidR="00200C3D">
              <w:rPr>
                <w:noProof/>
                <w:webHidden/>
              </w:rPr>
              <w:fldChar w:fldCharType="separate"/>
            </w:r>
            <w:r w:rsidR="00200C3D">
              <w:rPr>
                <w:noProof/>
                <w:webHidden/>
              </w:rPr>
              <w:t>2</w:t>
            </w:r>
            <w:r w:rsidR="00200C3D">
              <w:rPr>
                <w:noProof/>
                <w:webHidden/>
              </w:rPr>
              <w:fldChar w:fldCharType="end"/>
            </w:r>
          </w:hyperlink>
        </w:p>
        <w:p w14:paraId="07D78D4E" w14:textId="77777777" w:rsidR="00200C3D" w:rsidRDefault="00106B12">
          <w:pPr>
            <w:pStyle w:val="TOC2"/>
            <w:tabs>
              <w:tab w:val="right" w:leader="dot" w:pos="9350"/>
            </w:tabs>
            <w:rPr>
              <w:rFonts w:eastAsiaTheme="minorEastAsia"/>
              <w:noProof/>
            </w:rPr>
          </w:pPr>
          <w:hyperlink w:anchor="_Toc476839789" w:history="1">
            <w:r w:rsidR="00200C3D" w:rsidRPr="0018363C">
              <w:rPr>
                <w:rStyle w:val="Hyperlink"/>
                <w:noProof/>
              </w:rPr>
              <w:t>III. Key Gender Issues in Moldova</w:t>
            </w:r>
            <w:r w:rsidR="00200C3D">
              <w:rPr>
                <w:noProof/>
                <w:webHidden/>
              </w:rPr>
              <w:tab/>
            </w:r>
            <w:r w:rsidR="00200C3D">
              <w:rPr>
                <w:noProof/>
                <w:webHidden/>
              </w:rPr>
              <w:fldChar w:fldCharType="begin"/>
            </w:r>
            <w:r w:rsidR="00200C3D">
              <w:rPr>
                <w:noProof/>
                <w:webHidden/>
              </w:rPr>
              <w:instrText xml:space="preserve"> PAGEREF _Toc476839789 \h </w:instrText>
            </w:r>
            <w:r w:rsidR="00200C3D">
              <w:rPr>
                <w:noProof/>
                <w:webHidden/>
              </w:rPr>
            </w:r>
            <w:r w:rsidR="00200C3D">
              <w:rPr>
                <w:noProof/>
                <w:webHidden/>
              </w:rPr>
              <w:fldChar w:fldCharType="separate"/>
            </w:r>
            <w:r w:rsidR="00200C3D">
              <w:rPr>
                <w:noProof/>
                <w:webHidden/>
              </w:rPr>
              <w:t>3</w:t>
            </w:r>
            <w:r w:rsidR="00200C3D">
              <w:rPr>
                <w:noProof/>
                <w:webHidden/>
              </w:rPr>
              <w:fldChar w:fldCharType="end"/>
            </w:r>
          </w:hyperlink>
        </w:p>
        <w:p w14:paraId="73548EB9" w14:textId="77777777" w:rsidR="00200C3D" w:rsidRDefault="00106B12">
          <w:pPr>
            <w:pStyle w:val="TOC2"/>
            <w:tabs>
              <w:tab w:val="left" w:pos="880"/>
              <w:tab w:val="right" w:leader="dot" w:pos="9350"/>
            </w:tabs>
            <w:rPr>
              <w:rFonts w:eastAsiaTheme="minorEastAsia"/>
              <w:noProof/>
            </w:rPr>
          </w:pPr>
          <w:hyperlink w:anchor="_Toc476839790" w:history="1">
            <w:r w:rsidR="00200C3D" w:rsidRPr="0018363C">
              <w:rPr>
                <w:rStyle w:val="Hyperlink"/>
                <w:noProof/>
              </w:rPr>
              <w:t>IV.</w:t>
            </w:r>
            <w:r w:rsidR="00200C3D">
              <w:rPr>
                <w:rFonts w:eastAsiaTheme="minorEastAsia"/>
                <w:noProof/>
              </w:rPr>
              <w:tab/>
            </w:r>
            <w:r w:rsidR="00200C3D" w:rsidRPr="0018363C">
              <w:rPr>
                <w:rStyle w:val="Hyperlink"/>
                <w:noProof/>
              </w:rPr>
              <w:t>Government Priorities on Gender Equality</w:t>
            </w:r>
            <w:r w:rsidR="00200C3D">
              <w:rPr>
                <w:noProof/>
                <w:webHidden/>
              </w:rPr>
              <w:tab/>
            </w:r>
            <w:r w:rsidR="00200C3D">
              <w:rPr>
                <w:noProof/>
                <w:webHidden/>
              </w:rPr>
              <w:fldChar w:fldCharType="begin"/>
            </w:r>
            <w:r w:rsidR="00200C3D">
              <w:rPr>
                <w:noProof/>
                <w:webHidden/>
              </w:rPr>
              <w:instrText xml:space="preserve"> PAGEREF _Toc476839790 \h </w:instrText>
            </w:r>
            <w:r w:rsidR="00200C3D">
              <w:rPr>
                <w:noProof/>
                <w:webHidden/>
              </w:rPr>
            </w:r>
            <w:r w:rsidR="00200C3D">
              <w:rPr>
                <w:noProof/>
                <w:webHidden/>
              </w:rPr>
              <w:fldChar w:fldCharType="separate"/>
            </w:r>
            <w:r w:rsidR="00200C3D">
              <w:rPr>
                <w:noProof/>
                <w:webHidden/>
              </w:rPr>
              <w:t>6</w:t>
            </w:r>
            <w:r w:rsidR="00200C3D">
              <w:rPr>
                <w:noProof/>
                <w:webHidden/>
              </w:rPr>
              <w:fldChar w:fldCharType="end"/>
            </w:r>
          </w:hyperlink>
        </w:p>
        <w:p w14:paraId="0DF4418D" w14:textId="77777777" w:rsidR="00200C3D" w:rsidRDefault="00106B12">
          <w:pPr>
            <w:pStyle w:val="TOC2"/>
            <w:tabs>
              <w:tab w:val="right" w:leader="dot" w:pos="9350"/>
            </w:tabs>
            <w:rPr>
              <w:rFonts w:eastAsiaTheme="minorEastAsia"/>
              <w:noProof/>
            </w:rPr>
          </w:pPr>
          <w:hyperlink w:anchor="_Toc476839791" w:history="1">
            <w:r w:rsidR="00200C3D" w:rsidRPr="0018363C">
              <w:rPr>
                <w:rStyle w:val="Hyperlink"/>
                <w:noProof/>
              </w:rPr>
              <w:t>V. Gender in the WBG Program</w:t>
            </w:r>
            <w:r w:rsidR="00200C3D">
              <w:rPr>
                <w:noProof/>
                <w:webHidden/>
              </w:rPr>
              <w:tab/>
            </w:r>
            <w:r w:rsidR="00200C3D">
              <w:rPr>
                <w:noProof/>
                <w:webHidden/>
              </w:rPr>
              <w:fldChar w:fldCharType="begin"/>
            </w:r>
            <w:r w:rsidR="00200C3D">
              <w:rPr>
                <w:noProof/>
                <w:webHidden/>
              </w:rPr>
              <w:instrText xml:space="preserve"> PAGEREF _Toc476839791 \h </w:instrText>
            </w:r>
            <w:r w:rsidR="00200C3D">
              <w:rPr>
                <w:noProof/>
                <w:webHidden/>
              </w:rPr>
            </w:r>
            <w:r w:rsidR="00200C3D">
              <w:rPr>
                <w:noProof/>
                <w:webHidden/>
              </w:rPr>
              <w:fldChar w:fldCharType="separate"/>
            </w:r>
            <w:r w:rsidR="00200C3D">
              <w:rPr>
                <w:noProof/>
                <w:webHidden/>
              </w:rPr>
              <w:t>8</w:t>
            </w:r>
            <w:r w:rsidR="00200C3D">
              <w:rPr>
                <w:noProof/>
                <w:webHidden/>
              </w:rPr>
              <w:fldChar w:fldCharType="end"/>
            </w:r>
          </w:hyperlink>
        </w:p>
        <w:p w14:paraId="6E8378E4" w14:textId="77777777" w:rsidR="00200C3D" w:rsidRDefault="00106B12">
          <w:pPr>
            <w:pStyle w:val="TOC2"/>
            <w:tabs>
              <w:tab w:val="right" w:leader="dot" w:pos="9350"/>
            </w:tabs>
            <w:rPr>
              <w:rFonts w:eastAsiaTheme="minorEastAsia"/>
              <w:noProof/>
            </w:rPr>
          </w:pPr>
          <w:hyperlink w:anchor="_Toc476839792" w:history="1">
            <w:r w:rsidR="00200C3D" w:rsidRPr="0018363C">
              <w:rPr>
                <w:rStyle w:val="Hyperlink"/>
                <w:noProof/>
              </w:rPr>
              <w:t>VI. Proposed Actions for the Moldova CGAP</w:t>
            </w:r>
            <w:r w:rsidR="00200C3D">
              <w:rPr>
                <w:noProof/>
                <w:webHidden/>
              </w:rPr>
              <w:tab/>
            </w:r>
            <w:r w:rsidR="00200C3D">
              <w:rPr>
                <w:noProof/>
                <w:webHidden/>
              </w:rPr>
              <w:fldChar w:fldCharType="begin"/>
            </w:r>
            <w:r w:rsidR="00200C3D">
              <w:rPr>
                <w:noProof/>
                <w:webHidden/>
              </w:rPr>
              <w:instrText xml:space="preserve"> PAGEREF _Toc476839792 \h </w:instrText>
            </w:r>
            <w:r w:rsidR="00200C3D">
              <w:rPr>
                <w:noProof/>
                <w:webHidden/>
              </w:rPr>
            </w:r>
            <w:r w:rsidR="00200C3D">
              <w:rPr>
                <w:noProof/>
                <w:webHidden/>
              </w:rPr>
              <w:fldChar w:fldCharType="separate"/>
            </w:r>
            <w:r w:rsidR="00200C3D">
              <w:rPr>
                <w:noProof/>
                <w:webHidden/>
              </w:rPr>
              <w:t>11</w:t>
            </w:r>
            <w:r w:rsidR="00200C3D">
              <w:rPr>
                <w:noProof/>
                <w:webHidden/>
              </w:rPr>
              <w:fldChar w:fldCharType="end"/>
            </w:r>
          </w:hyperlink>
        </w:p>
        <w:p w14:paraId="44C1A549" w14:textId="77777777" w:rsidR="00200C3D" w:rsidRDefault="00106B12">
          <w:pPr>
            <w:pStyle w:val="TOC3"/>
            <w:tabs>
              <w:tab w:val="right" w:leader="dot" w:pos="9350"/>
            </w:tabs>
            <w:rPr>
              <w:rFonts w:eastAsiaTheme="minorEastAsia"/>
              <w:noProof/>
            </w:rPr>
          </w:pPr>
          <w:hyperlink w:anchor="_Toc476839793" w:history="1">
            <w:r w:rsidR="00200C3D" w:rsidRPr="0018363C">
              <w:rPr>
                <w:rStyle w:val="Hyperlink"/>
                <w:noProof/>
              </w:rPr>
              <w:t>6.1. Gender mainstreaming (cross-cutting activities)</w:t>
            </w:r>
            <w:r w:rsidR="00200C3D">
              <w:rPr>
                <w:noProof/>
                <w:webHidden/>
              </w:rPr>
              <w:tab/>
            </w:r>
            <w:r w:rsidR="00200C3D">
              <w:rPr>
                <w:noProof/>
                <w:webHidden/>
              </w:rPr>
              <w:fldChar w:fldCharType="begin"/>
            </w:r>
            <w:r w:rsidR="00200C3D">
              <w:rPr>
                <w:noProof/>
                <w:webHidden/>
              </w:rPr>
              <w:instrText xml:space="preserve"> PAGEREF _Toc476839793 \h </w:instrText>
            </w:r>
            <w:r w:rsidR="00200C3D">
              <w:rPr>
                <w:noProof/>
                <w:webHidden/>
              </w:rPr>
            </w:r>
            <w:r w:rsidR="00200C3D">
              <w:rPr>
                <w:noProof/>
                <w:webHidden/>
              </w:rPr>
              <w:fldChar w:fldCharType="separate"/>
            </w:r>
            <w:r w:rsidR="00200C3D">
              <w:rPr>
                <w:noProof/>
                <w:webHidden/>
              </w:rPr>
              <w:t>11</w:t>
            </w:r>
            <w:r w:rsidR="00200C3D">
              <w:rPr>
                <w:noProof/>
                <w:webHidden/>
              </w:rPr>
              <w:fldChar w:fldCharType="end"/>
            </w:r>
          </w:hyperlink>
        </w:p>
        <w:p w14:paraId="53EEAF12" w14:textId="77777777" w:rsidR="00200C3D" w:rsidRDefault="00106B12">
          <w:pPr>
            <w:pStyle w:val="TOC3"/>
            <w:tabs>
              <w:tab w:val="right" w:leader="dot" w:pos="9350"/>
            </w:tabs>
            <w:rPr>
              <w:rFonts w:eastAsiaTheme="minorEastAsia"/>
              <w:noProof/>
            </w:rPr>
          </w:pPr>
          <w:hyperlink w:anchor="_Toc476839794" w:history="1">
            <w:r w:rsidR="00200C3D" w:rsidRPr="0018363C">
              <w:rPr>
                <w:rStyle w:val="Hyperlink"/>
                <w:noProof/>
              </w:rPr>
              <w:t>6.2. Country gender equality outcomes</w:t>
            </w:r>
            <w:r w:rsidR="00200C3D">
              <w:rPr>
                <w:noProof/>
                <w:webHidden/>
              </w:rPr>
              <w:tab/>
            </w:r>
            <w:r w:rsidR="00200C3D">
              <w:rPr>
                <w:noProof/>
                <w:webHidden/>
              </w:rPr>
              <w:fldChar w:fldCharType="begin"/>
            </w:r>
            <w:r w:rsidR="00200C3D">
              <w:rPr>
                <w:noProof/>
                <w:webHidden/>
              </w:rPr>
              <w:instrText xml:space="preserve"> PAGEREF _Toc476839794 \h </w:instrText>
            </w:r>
            <w:r w:rsidR="00200C3D">
              <w:rPr>
                <w:noProof/>
                <w:webHidden/>
              </w:rPr>
            </w:r>
            <w:r w:rsidR="00200C3D">
              <w:rPr>
                <w:noProof/>
                <w:webHidden/>
              </w:rPr>
              <w:fldChar w:fldCharType="separate"/>
            </w:r>
            <w:r w:rsidR="00200C3D">
              <w:rPr>
                <w:noProof/>
                <w:webHidden/>
              </w:rPr>
              <w:t>12</w:t>
            </w:r>
            <w:r w:rsidR="00200C3D">
              <w:rPr>
                <w:noProof/>
                <w:webHidden/>
              </w:rPr>
              <w:fldChar w:fldCharType="end"/>
            </w:r>
          </w:hyperlink>
        </w:p>
        <w:p w14:paraId="06BF1F4F" w14:textId="77777777" w:rsidR="00200C3D" w:rsidRDefault="00106B12">
          <w:pPr>
            <w:pStyle w:val="TOC2"/>
            <w:tabs>
              <w:tab w:val="right" w:leader="dot" w:pos="9350"/>
            </w:tabs>
            <w:rPr>
              <w:rFonts w:eastAsiaTheme="minorEastAsia"/>
              <w:noProof/>
            </w:rPr>
          </w:pPr>
          <w:hyperlink w:anchor="_Toc476839795" w:history="1">
            <w:r w:rsidR="00200C3D" w:rsidRPr="0018363C">
              <w:rPr>
                <w:rStyle w:val="Hyperlink"/>
                <w:noProof/>
              </w:rPr>
              <w:t>Bibliography</w:t>
            </w:r>
            <w:r w:rsidR="00200C3D">
              <w:rPr>
                <w:noProof/>
                <w:webHidden/>
              </w:rPr>
              <w:tab/>
            </w:r>
            <w:r w:rsidR="00200C3D">
              <w:rPr>
                <w:noProof/>
                <w:webHidden/>
              </w:rPr>
              <w:fldChar w:fldCharType="begin"/>
            </w:r>
            <w:r w:rsidR="00200C3D">
              <w:rPr>
                <w:noProof/>
                <w:webHidden/>
              </w:rPr>
              <w:instrText xml:space="preserve"> PAGEREF _Toc476839795 \h </w:instrText>
            </w:r>
            <w:r w:rsidR="00200C3D">
              <w:rPr>
                <w:noProof/>
                <w:webHidden/>
              </w:rPr>
            </w:r>
            <w:r w:rsidR="00200C3D">
              <w:rPr>
                <w:noProof/>
                <w:webHidden/>
              </w:rPr>
              <w:fldChar w:fldCharType="separate"/>
            </w:r>
            <w:r w:rsidR="00200C3D">
              <w:rPr>
                <w:noProof/>
                <w:webHidden/>
              </w:rPr>
              <w:t>17</w:t>
            </w:r>
            <w:r w:rsidR="00200C3D">
              <w:rPr>
                <w:noProof/>
                <w:webHidden/>
              </w:rPr>
              <w:fldChar w:fldCharType="end"/>
            </w:r>
          </w:hyperlink>
        </w:p>
        <w:p w14:paraId="6D20BE09" w14:textId="77777777" w:rsidR="00200C3D" w:rsidRDefault="00106B12">
          <w:pPr>
            <w:pStyle w:val="TOC2"/>
            <w:tabs>
              <w:tab w:val="right" w:leader="dot" w:pos="9350"/>
            </w:tabs>
            <w:rPr>
              <w:rFonts w:eastAsiaTheme="minorEastAsia"/>
              <w:noProof/>
            </w:rPr>
          </w:pPr>
          <w:hyperlink w:anchor="_Toc476839796" w:history="1">
            <w:r w:rsidR="00200C3D" w:rsidRPr="0018363C">
              <w:rPr>
                <w:rStyle w:val="Hyperlink"/>
                <w:noProof/>
              </w:rPr>
              <w:t>ANNEX</w:t>
            </w:r>
            <w:r w:rsidR="00200C3D">
              <w:rPr>
                <w:noProof/>
                <w:webHidden/>
              </w:rPr>
              <w:tab/>
            </w:r>
            <w:r w:rsidR="00200C3D">
              <w:rPr>
                <w:noProof/>
                <w:webHidden/>
              </w:rPr>
              <w:fldChar w:fldCharType="begin"/>
            </w:r>
            <w:r w:rsidR="00200C3D">
              <w:rPr>
                <w:noProof/>
                <w:webHidden/>
              </w:rPr>
              <w:instrText xml:space="preserve"> PAGEREF _Toc476839796 \h </w:instrText>
            </w:r>
            <w:r w:rsidR="00200C3D">
              <w:rPr>
                <w:noProof/>
                <w:webHidden/>
              </w:rPr>
            </w:r>
            <w:r w:rsidR="00200C3D">
              <w:rPr>
                <w:noProof/>
                <w:webHidden/>
              </w:rPr>
              <w:fldChar w:fldCharType="separate"/>
            </w:r>
            <w:r w:rsidR="00200C3D">
              <w:rPr>
                <w:noProof/>
                <w:webHidden/>
              </w:rPr>
              <w:t>19</w:t>
            </w:r>
            <w:r w:rsidR="00200C3D">
              <w:rPr>
                <w:noProof/>
                <w:webHidden/>
              </w:rPr>
              <w:fldChar w:fldCharType="end"/>
            </w:r>
          </w:hyperlink>
        </w:p>
        <w:p w14:paraId="1C276325" w14:textId="77777777" w:rsidR="00200C3D" w:rsidRDefault="00106B12">
          <w:pPr>
            <w:pStyle w:val="TOC2"/>
            <w:tabs>
              <w:tab w:val="right" w:leader="dot" w:pos="9350"/>
            </w:tabs>
            <w:rPr>
              <w:rFonts w:eastAsiaTheme="minorEastAsia"/>
              <w:noProof/>
            </w:rPr>
          </w:pPr>
          <w:hyperlink w:anchor="_Toc476839797" w:history="1">
            <w:r w:rsidR="00200C3D" w:rsidRPr="0018363C">
              <w:rPr>
                <w:rStyle w:val="Hyperlink"/>
                <w:noProof/>
              </w:rPr>
              <w:t>Summary of Key Gender Issues in Moldova</w:t>
            </w:r>
            <w:r w:rsidR="00200C3D">
              <w:rPr>
                <w:noProof/>
                <w:webHidden/>
              </w:rPr>
              <w:tab/>
            </w:r>
            <w:r w:rsidR="00200C3D">
              <w:rPr>
                <w:noProof/>
                <w:webHidden/>
              </w:rPr>
              <w:fldChar w:fldCharType="begin"/>
            </w:r>
            <w:r w:rsidR="00200C3D">
              <w:rPr>
                <w:noProof/>
                <w:webHidden/>
              </w:rPr>
              <w:instrText xml:space="preserve"> PAGEREF _Toc476839797 \h </w:instrText>
            </w:r>
            <w:r w:rsidR="00200C3D">
              <w:rPr>
                <w:noProof/>
                <w:webHidden/>
              </w:rPr>
            </w:r>
            <w:r w:rsidR="00200C3D">
              <w:rPr>
                <w:noProof/>
                <w:webHidden/>
              </w:rPr>
              <w:fldChar w:fldCharType="separate"/>
            </w:r>
            <w:r w:rsidR="00200C3D">
              <w:rPr>
                <w:noProof/>
                <w:webHidden/>
              </w:rPr>
              <w:t>19</w:t>
            </w:r>
            <w:r w:rsidR="00200C3D">
              <w:rPr>
                <w:noProof/>
                <w:webHidden/>
              </w:rPr>
              <w:fldChar w:fldCharType="end"/>
            </w:r>
          </w:hyperlink>
        </w:p>
        <w:p w14:paraId="2E13504B" w14:textId="77777777" w:rsidR="00200C3D" w:rsidRDefault="00106B12">
          <w:pPr>
            <w:pStyle w:val="TOC3"/>
            <w:tabs>
              <w:tab w:val="right" w:leader="dot" w:pos="9350"/>
            </w:tabs>
            <w:rPr>
              <w:rFonts w:eastAsiaTheme="minorEastAsia"/>
              <w:noProof/>
            </w:rPr>
          </w:pPr>
          <w:hyperlink w:anchor="_Toc476839798" w:history="1">
            <w:r w:rsidR="00200C3D" w:rsidRPr="0018363C">
              <w:rPr>
                <w:rStyle w:val="Hyperlink"/>
                <w:noProof/>
              </w:rPr>
              <w:t>Occupational segregation and earnings gap</w:t>
            </w:r>
            <w:r w:rsidR="00200C3D">
              <w:rPr>
                <w:noProof/>
                <w:webHidden/>
              </w:rPr>
              <w:tab/>
            </w:r>
            <w:r w:rsidR="00200C3D">
              <w:rPr>
                <w:noProof/>
                <w:webHidden/>
              </w:rPr>
              <w:fldChar w:fldCharType="begin"/>
            </w:r>
            <w:r w:rsidR="00200C3D">
              <w:rPr>
                <w:noProof/>
                <w:webHidden/>
              </w:rPr>
              <w:instrText xml:space="preserve"> PAGEREF _Toc476839798 \h </w:instrText>
            </w:r>
            <w:r w:rsidR="00200C3D">
              <w:rPr>
                <w:noProof/>
                <w:webHidden/>
              </w:rPr>
            </w:r>
            <w:r w:rsidR="00200C3D">
              <w:rPr>
                <w:noProof/>
                <w:webHidden/>
              </w:rPr>
              <w:fldChar w:fldCharType="separate"/>
            </w:r>
            <w:r w:rsidR="00200C3D">
              <w:rPr>
                <w:noProof/>
                <w:webHidden/>
              </w:rPr>
              <w:t>19</w:t>
            </w:r>
            <w:r w:rsidR="00200C3D">
              <w:rPr>
                <w:noProof/>
                <w:webHidden/>
              </w:rPr>
              <w:fldChar w:fldCharType="end"/>
            </w:r>
          </w:hyperlink>
        </w:p>
        <w:p w14:paraId="35FC1C85" w14:textId="77777777" w:rsidR="00200C3D" w:rsidRDefault="00106B12">
          <w:pPr>
            <w:pStyle w:val="TOC3"/>
            <w:tabs>
              <w:tab w:val="right" w:leader="dot" w:pos="9350"/>
            </w:tabs>
            <w:rPr>
              <w:rFonts w:eastAsiaTheme="minorEastAsia"/>
              <w:noProof/>
            </w:rPr>
          </w:pPr>
          <w:hyperlink w:anchor="_Toc476839799" w:history="1">
            <w:r w:rsidR="00200C3D" w:rsidRPr="0018363C">
              <w:rPr>
                <w:rStyle w:val="Hyperlink"/>
                <w:noProof/>
              </w:rPr>
              <w:t>Discrepancies in labor force participation</w:t>
            </w:r>
            <w:r w:rsidR="00200C3D">
              <w:rPr>
                <w:noProof/>
                <w:webHidden/>
              </w:rPr>
              <w:tab/>
            </w:r>
            <w:r w:rsidR="00200C3D">
              <w:rPr>
                <w:noProof/>
                <w:webHidden/>
              </w:rPr>
              <w:fldChar w:fldCharType="begin"/>
            </w:r>
            <w:r w:rsidR="00200C3D">
              <w:rPr>
                <w:noProof/>
                <w:webHidden/>
              </w:rPr>
              <w:instrText xml:space="preserve"> PAGEREF _Toc476839799 \h </w:instrText>
            </w:r>
            <w:r w:rsidR="00200C3D">
              <w:rPr>
                <w:noProof/>
                <w:webHidden/>
              </w:rPr>
            </w:r>
            <w:r w:rsidR="00200C3D">
              <w:rPr>
                <w:noProof/>
                <w:webHidden/>
              </w:rPr>
              <w:fldChar w:fldCharType="separate"/>
            </w:r>
            <w:r w:rsidR="00200C3D">
              <w:rPr>
                <w:noProof/>
                <w:webHidden/>
              </w:rPr>
              <w:t>21</w:t>
            </w:r>
            <w:r w:rsidR="00200C3D">
              <w:rPr>
                <w:noProof/>
                <w:webHidden/>
              </w:rPr>
              <w:fldChar w:fldCharType="end"/>
            </w:r>
          </w:hyperlink>
        </w:p>
        <w:p w14:paraId="23DEFAE7" w14:textId="77777777" w:rsidR="00200C3D" w:rsidRDefault="00106B12">
          <w:pPr>
            <w:pStyle w:val="TOC3"/>
            <w:tabs>
              <w:tab w:val="right" w:leader="dot" w:pos="9350"/>
            </w:tabs>
            <w:rPr>
              <w:rFonts w:eastAsiaTheme="minorEastAsia"/>
              <w:noProof/>
            </w:rPr>
          </w:pPr>
          <w:hyperlink w:anchor="_Toc476839800" w:history="1">
            <w:r w:rsidR="00200C3D" w:rsidRPr="0018363C">
              <w:rPr>
                <w:rStyle w:val="Hyperlink"/>
                <w:noProof/>
              </w:rPr>
              <w:t>Entrepreneurship and livelihoods</w:t>
            </w:r>
            <w:r w:rsidR="00200C3D">
              <w:rPr>
                <w:noProof/>
                <w:webHidden/>
              </w:rPr>
              <w:tab/>
            </w:r>
            <w:r w:rsidR="00200C3D">
              <w:rPr>
                <w:noProof/>
                <w:webHidden/>
              </w:rPr>
              <w:fldChar w:fldCharType="begin"/>
            </w:r>
            <w:r w:rsidR="00200C3D">
              <w:rPr>
                <w:noProof/>
                <w:webHidden/>
              </w:rPr>
              <w:instrText xml:space="preserve"> PAGEREF _Toc476839800 \h </w:instrText>
            </w:r>
            <w:r w:rsidR="00200C3D">
              <w:rPr>
                <w:noProof/>
                <w:webHidden/>
              </w:rPr>
            </w:r>
            <w:r w:rsidR="00200C3D">
              <w:rPr>
                <w:noProof/>
                <w:webHidden/>
              </w:rPr>
              <w:fldChar w:fldCharType="separate"/>
            </w:r>
            <w:r w:rsidR="00200C3D">
              <w:rPr>
                <w:noProof/>
                <w:webHidden/>
              </w:rPr>
              <w:t>22</w:t>
            </w:r>
            <w:r w:rsidR="00200C3D">
              <w:rPr>
                <w:noProof/>
                <w:webHidden/>
              </w:rPr>
              <w:fldChar w:fldCharType="end"/>
            </w:r>
          </w:hyperlink>
        </w:p>
        <w:p w14:paraId="3C4C2890" w14:textId="77777777" w:rsidR="00200C3D" w:rsidRDefault="00106B12">
          <w:pPr>
            <w:pStyle w:val="TOC3"/>
            <w:tabs>
              <w:tab w:val="right" w:leader="dot" w:pos="9350"/>
            </w:tabs>
            <w:rPr>
              <w:rFonts w:eastAsiaTheme="minorEastAsia"/>
              <w:noProof/>
            </w:rPr>
          </w:pPr>
          <w:hyperlink w:anchor="_Toc476839801" w:history="1">
            <w:r w:rsidR="00200C3D" w:rsidRPr="0018363C">
              <w:rPr>
                <w:rStyle w:val="Hyperlink"/>
                <w:noProof/>
              </w:rPr>
              <w:t>Voice, agency, and gender-based violence</w:t>
            </w:r>
            <w:r w:rsidR="00200C3D">
              <w:rPr>
                <w:noProof/>
                <w:webHidden/>
              </w:rPr>
              <w:tab/>
            </w:r>
            <w:r w:rsidR="00200C3D">
              <w:rPr>
                <w:noProof/>
                <w:webHidden/>
              </w:rPr>
              <w:fldChar w:fldCharType="begin"/>
            </w:r>
            <w:r w:rsidR="00200C3D">
              <w:rPr>
                <w:noProof/>
                <w:webHidden/>
              </w:rPr>
              <w:instrText xml:space="preserve"> PAGEREF _Toc476839801 \h </w:instrText>
            </w:r>
            <w:r w:rsidR="00200C3D">
              <w:rPr>
                <w:noProof/>
                <w:webHidden/>
              </w:rPr>
            </w:r>
            <w:r w:rsidR="00200C3D">
              <w:rPr>
                <w:noProof/>
                <w:webHidden/>
              </w:rPr>
              <w:fldChar w:fldCharType="separate"/>
            </w:r>
            <w:r w:rsidR="00200C3D">
              <w:rPr>
                <w:noProof/>
                <w:webHidden/>
              </w:rPr>
              <w:t>24</w:t>
            </w:r>
            <w:r w:rsidR="00200C3D">
              <w:rPr>
                <w:noProof/>
                <w:webHidden/>
              </w:rPr>
              <w:fldChar w:fldCharType="end"/>
            </w:r>
          </w:hyperlink>
        </w:p>
        <w:p w14:paraId="50BD0270" w14:textId="77777777" w:rsidR="00200C3D" w:rsidRDefault="00106B12">
          <w:pPr>
            <w:pStyle w:val="TOC3"/>
            <w:tabs>
              <w:tab w:val="right" w:leader="dot" w:pos="9350"/>
            </w:tabs>
            <w:rPr>
              <w:rFonts w:eastAsiaTheme="minorEastAsia"/>
              <w:noProof/>
            </w:rPr>
          </w:pPr>
          <w:hyperlink w:anchor="_Toc476839802" w:history="1">
            <w:r w:rsidR="00200C3D" w:rsidRPr="0018363C">
              <w:rPr>
                <w:rStyle w:val="Hyperlink"/>
                <w:noProof/>
              </w:rPr>
              <w:t>Healthy lifestyles and behaviors</w:t>
            </w:r>
            <w:r w:rsidR="00200C3D">
              <w:rPr>
                <w:noProof/>
                <w:webHidden/>
              </w:rPr>
              <w:tab/>
            </w:r>
            <w:r w:rsidR="00200C3D">
              <w:rPr>
                <w:noProof/>
                <w:webHidden/>
              </w:rPr>
              <w:fldChar w:fldCharType="begin"/>
            </w:r>
            <w:r w:rsidR="00200C3D">
              <w:rPr>
                <w:noProof/>
                <w:webHidden/>
              </w:rPr>
              <w:instrText xml:space="preserve"> PAGEREF _Toc476839802 \h </w:instrText>
            </w:r>
            <w:r w:rsidR="00200C3D">
              <w:rPr>
                <w:noProof/>
                <w:webHidden/>
              </w:rPr>
            </w:r>
            <w:r w:rsidR="00200C3D">
              <w:rPr>
                <w:noProof/>
                <w:webHidden/>
              </w:rPr>
              <w:fldChar w:fldCharType="separate"/>
            </w:r>
            <w:r w:rsidR="00200C3D">
              <w:rPr>
                <w:noProof/>
                <w:webHidden/>
              </w:rPr>
              <w:t>25</w:t>
            </w:r>
            <w:r w:rsidR="00200C3D">
              <w:rPr>
                <w:noProof/>
                <w:webHidden/>
              </w:rPr>
              <w:fldChar w:fldCharType="end"/>
            </w:r>
          </w:hyperlink>
        </w:p>
        <w:p w14:paraId="5B2B1AA8" w14:textId="77777777" w:rsidR="00CE7281" w:rsidRDefault="00CE7281">
          <w:r>
            <w:rPr>
              <w:b/>
              <w:bCs/>
              <w:noProof/>
            </w:rPr>
            <w:fldChar w:fldCharType="end"/>
          </w:r>
        </w:p>
      </w:sdtContent>
    </w:sdt>
    <w:p w14:paraId="1FAA96FE" w14:textId="77777777" w:rsidR="00CE7281" w:rsidRDefault="00CE7281" w:rsidP="00D57BD0">
      <w:pPr>
        <w:spacing w:after="0" w:line="240" w:lineRule="auto"/>
        <w:rPr>
          <w:rFonts w:cs="Times New Roman"/>
          <w:b/>
        </w:rPr>
      </w:pPr>
    </w:p>
    <w:p w14:paraId="6E6F60B1" w14:textId="77777777" w:rsidR="00CE7281" w:rsidRDefault="00CE7281">
      <w:pPr>
        <w:rPr>
          <w:rFonts w:cs="Times New Roman"/>
          <w:b/>
        </w:rPr>
      </w:pPr>
      <w:r>
        <w:rPr>
          <w:rFonts w:cs="Times New Roman"/>
          <w:b/>
        </w:rPr>
        <w:br w:type="page"/>
      </w:r>
    </w:p>
    <w:p w14:paraId="41DD5F03" w14:textId="77777777" w:rsidR="00CE7281" w:rsidRDefault="00CE7281" w:rsidP="00D57BD0">
      <w:pPr>
        <w:spacing w:after="0" w:line="240" w:lineRule="auto"/>
        <w:rPr>
          <w:rFonts w:cs="Times New Roman"/>
          <w:b/>
        </w:rPr>
      </w:pPr>
    </w:p>
    <w:p w14:paraId="6492C18A" w14:textId="77777777" w:rsidR="00507D42" w:rsidRPr="003A7315" w:rsidRDefault="000C3CDC" w:rsidP="000138D8">
      <w:pPr>
        <w:pStyle w:val="Heading2"/>
        <w:numPr>
          <w:ilvl w:val="0"/>
          <w:numId w:val="7"/>
        </w:numPr>
      </w:pPr>
      <w:bookmarkStart w:id="1" w:name="_Toc476839787"/>
      <w:r>
        <w:t>Background</w:t>
      </w:r>
      <w:bookmarkEnd w:id="1"/>
      <w:r>
        <w:t xml:space="preserve"> </w:t>
      </w:r>
    </w:p>
    <w:p w14:paraId="6D17C7F6" w14:textId="77777777" w:rsidR="00962FAC" w:rsidRPr="00B50FD1" w:rsidRDefault="00962FAC" w:rsidP="00D57BD0">
      <w:pPr>
        <w:spacing w:after="0" w:line="240" w:lineRule="auto"/>
        <w:rPr>
          <w:rFonts w:cs="Times New Roman"/>
          <w:b/>
        </w:rPr>
      </w:pPr>
    </w:p>
    <w:p w14:paraId="445F19BC" w14:textId="6231E80F" w:rsidR="00D57BD0" w:rsidRPr="00B50FD1" w:rsidRDefault="00507D42" w:rsidP="00D57BD0">
      <w:pPr>
        <w:spacing w:after="0" w:line="240" w:lineRule="auto"/>
        <w:jc w:val="both"/>
        <w:rPr>
          <w:rFonts w:cs="Times New Roman"/>
        </w:rPr>
      </w:pPr>
      <w:r w:rsidRPr="00404F18">
        <w:rPr>
          <w:rFonts w:cs="Times New Roman"/>
          <w:b/>
          <w:i/>
        </w:rPr>
        <w:t>The expectation in the IDA18</w:t>
      </w:r>
      <w:r w:rsidR="00D57BD0" w:rsidRPr="00404F18">
        <w:rPr>
          <w:rFonts w:cs="Times New Roman"/>
          <w:b/>
          <w:i/>
        </w:rPr>
        <w:t xml:space="preserve"> and World Bank Group’s Corporate Scorecard’s targets is that all country strategies should promote equitable gender outcomes, and include targeted actions to this end.</w:t>
      </w:r>
      <w:r w:rsidR="00D57BD0" w:rsidRPr="00B50FD1">
        <w:rPr>
          <w:rFonts w:cs="Times New Roman"/>
        </w:rPr>
        <w:t xml:space="preserve">  The approach requires that objectives be set at the country level and respond to the local context. According to the Bank’s operational policy, country strategies should draw on and discuss the findings of gender diagnostic</w:t>
      </w:r>
      <w:r>
        <w:rPr>
          <w:rFonts w:cs="Times New Roman"/>
        </w:rPr>
        <w:t xml:space="preserve">s, including </w:t>
      </w:r>
      <w:r w:rsidR="00D57BD0" w:rsidRPr="00B50FD1">
        <w:rPr>
          <w:rFonts w:cs="Times New Roman"/>
        </w:rPr>
        <w:t>Systematic Country Diagnostics</w:t>
      </w:r>
      <w:r>
        <w:rPr>
          <w:rFonts w:cs="Times New Roman"/>
        </w:rPr>
        <w:t>, which starting in FY16</w:t>
      </w:r>
      <w:r w:rsidR="00D57BD0" w:rsidRPr="00B50FD1">
        <w:rPr>
          <w:rFonts w:cs="Times New Roman"/>
        </w:rPr>
        <w:t xml:space="preserve"> are required to incorporate gender in their analyt</w:t>
      </w:r>
      <w:r>
        <w:rPr>
          <w:rFonts w:cs="Times New Roman"/>
        </w:rPr>
        <w:t>ical frameworks</w:t>
      </w:r>
      <w:r w:rsidR="00D57BD0" w:rsidRPr="00B50FD1">
        <w:rPr>
          <w:rFonts w:cs="Times New Roman"/>
        </w:rPr>
        <w:t xml:space="preserve">. </w:t>
      </w:r>
      <w:r w:rsidR="006D0CC1">
        <w:rPr>
          <w:rFonts w:cs="Times New Roman"/>
        </w:rPr>
        <w:t>In practice, recent gender evaluations show that w</w:t>
      </w:r>
      <w:r w:rsidR="00D57BD0" w:rsidRPr="00B50FD1">
        <w:rPr>
          <w:rFonts w:cs="Times New Roman"/>
        </w:rPr>
        <w:t xml:space="preserve">hile Country Program Frameworks </w:t>
      </w:r>
      <w:r>
        <w:rPr>
          <w:rFonts w:cs="Times New Roman"/>
        </w:rPr>
        <w:t>often</w:t>
      </w:r>
      <w:r w:rsidR="00D57BD0" w:rsidRPr="00B50FD1">
        <w:rPr>
          <w:rFonts w:cs="Times New Roman"/>
        </w:rPr>
        <w:t xml:space="preserve"> discuss</w:t>
      </w:r>
      <w:r>
        <w:rPr>
          <w:rFonts w:cs="Times New Roman"/>
        </w:rPr>
        <w:t xml:space="preserve"> gender-related issues in the country context,</w:t>
      </w:r>
      <w:r w:rsidR="00D57BD0" w:rsidRPr="00B50FD1">
        <w:rPr>
          <w:rFonts w:cs="Times New Roman"/>
        </w:rPr>
        <w:t xml:space="preserve"> they do not present a logical chain </w:t>
      </w:r>
      <w:r>
        <w:rPr>
          <w:rFonts w:cs="Times New Roman"/>
        </w:rPr>
        <w:t>that links background analysis with actions, pillars,</w:t>
      </w:r>
      <w:r w:rsidR="00D57BD0" w:rsidRPr="00B50FD1">
        <w:rPr>
          <w:rFonts w:cs="Times New Roman"/>
        </w:rPr>
        <w:t xml:space="preserve"> and indicators.  </w:t>
      </w:r>
    </w:p>
    <w:p w14:paraId="0F6B1465" w14:textId="77777777" w:rsidR="00D57BD0" w:rsidRPr="00B50FD1" w:rsidRDefault="00D57BD0" w:rsidP="00D57BD0">
      <w:pPr>
        <w:spacing w:after="0" w:line="240" w:lineRule="auto"/>
        <w:jc w:val="both"/>
        <w:rPr>
          <w:rFonts w:cs="Times New Roman"/>
        </w:rPr>
      </w:pPr>
    </w:p>
    <w:p w14:paraId="19FA2B07" w14:textId="3C1C47DE" w:rsidR="00D57BD0" w:rsidRPr="00B50FD1" w:rsidRDefault="00D57BD0" w:rsidP="00D57BD0">
      <w:pPr>
        <w:spacing w:after="0" w:line="240" w:lineRule="auto"/>
        <w:jc w:val="both"/>
        <w:rPr>
          <w:rFonts w:cs="Times New Roman"/>
        </w:rPr>
      </w:pPr>
      <w:r w:rsidRPr="00404F18">
        <w:rPr>
          <w:rFonts w:cs="Times New Roman"/>
          <w:b/>
          <w:i/>
        </w:rPr>
        <w:t>The World Bank Group Gender Strategy: FY17-FY23</w:t>
      </w:r>
      <w:r w:rsidR="000F4509">
        <w:rPr>
          <w:rFonts w:cs="Times New Roman"/>
          <w:b/>
          <w:i/>
        </w:rPr>
        <w:t>,</w:t>
      </w:r>
      <w:r w:rsidRPr="00404F18">
        <w:rPr>
          <w:rFonts w:cs="Times New Roman"/>
          <w:b/>
          <w:i/>
        </w:rPr>
        <w:t xml:space="preserve"> approved by the Board in December 2015</w:t>
      </w:r>
      <w:r w:rsidR="000F4509">
        <w:rPr>
          <w:rFonts w:cs="Times New Roman"/>
          <w:b/>
          <w:i/>
        </w:rPr>
        <w:t>,</w:t>
      </w:r>
      <w:r w:rsidRPr="00404F18">
        <w:rPr>
          <w:rFonts w:cs="Times New Roman"/>
          <w:b/>
          <w:i/>
        </w:rPr>
        <w:t xml:space="preserve"> seeks to deepen country engagement on gender, shifting the focus to measurable results, and addressing four strategic objectives</w:t>
      </w:r>
      <w:r w:rsidRPr="001E7402">
        <w:rPr>
          <w:rFonts w:cs="Times New Roman"/>
        </w:rPr>
        <w:t>:</w:t>
      </w:r>
      <w:r w:rsidRPr="00B50FD1">
        <w:rPr>
          <w:rFonts w:cs="Times New Roman"/>
        </w:rPr>
        <w:t xml:space="preserve">  (i) improving human endowment</w:t>
      </w:r>
      <w:r w:rsidR="001E7402">
        <w:rPr>
          <w:rFonts w:cs="Times New Roman"/>
        </w:rPr>
        <w:t>s</w:t>
      </w:r>
      <w:r w:rsidRPr="00B50FD1">
        <w:rPr>
          <w:rFonts w:cs="Times New Roman"/>
        </w:rPr>
        <w:t xml:space="preserve">, </w:t>
      </w:r>
      <w:r w:rsidR="001E7402">
        <w:rPr>
          <w:rFonts w:cs="Times New Roman"/>
        </w:rPr>
        <w:t>as reflected in health and education outcomes</w:t>
      </w:r>
      <w:r w:rsidRPr="00B50FD1">
        <w:rPr>
          <w:rFonts w:cs="Times New Roman"/>
        </w:rPr>
        <w:t>; (ii) removing constraints for more and better jobs, including a focus on enabling factors, such as policy frameworks for care services, infrastructure and transportation,  skill</w:t>
      </w:r>
      <w:r w:rsidR="001E7402">
        <w:rPr>
          <w:rFonts w:cs="Times New Roman"/>
        </w:rPr>
        <w:t>s</w:t>
      </w:r>
      <w:r w:rsidRPr="00B50FD1">
        <w:rPr>
          <w:rFonts w:cs="Times New Roman"/>
        </w:rPr>
        <w:t xml:space="preserve"> and occupational segregation; (iii) removing barriers to human ownership and control of assets with a focus on land, housing, financial services, </w:t>
      </w:r>
      <w:r w:rsidR="001E7402">
        <w:rPr>
          <w:rFonts w:cs="Times New Roman"/>
        </w:rPr>
        <w:t>and agricultural supply chains;</w:t>
      </w:r>
      <w:r w:rsidRPr="00B50FD1">
        <w:rPr>
          <w:rFonts w:cs="Times New Roman"/>
        </w:rPr>
        <w:t xml:space="preserve"> and (iv) enhancing women’s agency and </w:t>
      </w:r>
      <w:r w:rsidR="001E7402">
        <w:rPr>
          <w:rFonts w:cs="Times New Roman"/>
        </w:rPr>
        <w:t>voice, including support for gender diversity in leadership positions, and</w:t>
      </w:r>
      <w:r w:rsidRPr="00B50FD1">
        <w:rPr>
          <w:rFonts w:cs="Times New Roman"/>
        </w:rPr>
        <w:t xml:space="preserve"> efforts </w:t>
      </w:r>
      <w:r w:rsidR="001E7402">
        <w:rPr>
          <w:rFonts w:cs="Times New Roman"/>
        </w:rPr>
        <w:t>to prevent and reduce gender-based violence</w:t>
      </w:r>
      <w:r w:rsidRPr="00B50FD1">
        <w:rPr>
          <w:rFonts w:cs="Times New Roman"/>
        </w:rPr>
        <w:t xml:space="preserve">. </w:t>
      </w:r>
    </w:p>
    <w:p w14:paraId="2D517832" w14:textId="77777777" w:rsidR="00D57BD0" w:rsidRPr="00B50FD1" w:rsidRDefault="00D57BD0" w:rsidP="00D57BD0">
      <w:pPr>
        <w:spacing w:after="0" w:line="240" w:lineRule="auto"/>
        <w:jc w:val="both"/>
        <w:rPr>
          <w:rFonts w:cs="Times New Roman"/>
        </w:rPr>
      </w:pPr>
    </w:p>
    <w:p w14:paraId="297CE909" w14:textId="5D8062C3" w:rsidR="00D57BD0" w:rsidRPr="001E7402" w:rsidRDefault="001E7402" w:rsidP="00D57BD0">
      <w:pPr>
        <w:spacing w:after="0" w:line="240" w:lineRule="auto"/>
        <w:jc w:val="both"/>
        <w:rPr>
          <w:rFonts w:cs="Times New Roman"/>
          <w:b/>
        </w:rPr>
      </w:pPr>
      <w:r w:rsidRPr="00404F18">
        <w:rPr>
          <w:rFonts w:cs="Times New Roman"/>
          <w:b/>
          <w:i/>
        </w:rPr>
        <w:t xml:space="preserve">The Europe and Central Asia (ECA) </w:t>
      </w:r>
      <w:r w:rsidR="000F4509">
        <w:rPr>
          <w:rFonts w:cs="Times New Roman"/>
          <w:b/>
          <w:i/>
        </w:rPr>
        <w:t xml:space="preserve">Region </w:t>
      </w:r>
      <w:r w:rsidRPr="00404F18">
        <w:rPr>
          <w:rFonts w:cs="Times New Roman"/>
          <w:b/>
          <w:i/>
        </w:rPr>
        <w:t>is preparing a Regional Gender Action Plan in FY17.</w:t>
      </w:r>
      <w:r w:rsidRPr="003A7315">
        <w:rPr>
          <w:rFonts w:cs="Times New Roman"/>
        </w:rPr>
        <w:t xml:space="preserve"> The RGAP envisions deepening of the Bank’s engagement and impact </w:t>
      </w:r>
      <w:r w:rsidR="006F433E">
        <w:rPr>
          <w:rFonts w:cs="Times New Roman"/>
        </w:rPr>
        <w:t>on gender through upstream and C</w:t>
      </w:r>
      <w:r w:rsidRPr="003A7315">
        <w:rPr>
          <w:rFonts w:cs="Times New Roman"/>
        </w:rPr>
        <w:t xml:space="preserve">ountry-level </w:t>
      </w:r>
      <w:r w:rsidR="00D57BD0" w:rsidRPr="003A7315">
        <w:rPr>
          <w:rFonts w:cs="Times New Roman"/>
        </w:rPr>
        <w:t>Gender Action Plan</w:t>
      </w:r>
      <w:r w:rsidRPr="003A7315">
        <w:rPr>
          <w:rFonts w:cs="Times New Roman"/>
        </w:rPr>
        <w:t>s</w:t>
      </w:r>
      <w:r w:rsidR="006F433E">
        <w:rPr>
          <w:rFonts w:cs="Times New Roman"/>
        </w:rPr>
        <w:t xml:space="preserve"> (CGAP)</w:t>
      </w:r>
      <w:r w:rsidRPr="003A7315">
        <w:rPr>
          <w:rFonts w:cs="Times New Roman"/>
        </w:rPr>
        <w:t>.</w:t>
      </w:r>
      <w:r>
        <w:rPr>
          <w:rFonts w:cs="Times New Roman"/>
          <w:b/>
        </w:rPr>
        <w:t xml:space="preserve"> </w:t>
      </w:r>
      <w:r w:rsidR="00D57BD0" w:rsidRPr="00B50FD1">
        <w:rPr>
          <w:rFonts w:cs="Times New Roman"/>
        </w:rPr>
        <w:t xml:space="preserve">A CGAP builds on the Bank’s comparative advantage as it seeks to leverage the Bank’s lending, analytical work, policy dialogue, and Bank resources (staff and financial) to address agreed specific priority gender outcome(s).  The CGAP is therefore an instrument to help the country team articulate what the Bank is doing to advance gender </w:t>
      </w:r>
      <w:r w:rsidR="005A1CDB">
        <w:rPr>
          <w:rFonts w:cs="Times New Roman"/>
        </w:rPr>
        <w:t xml:space="preserve">equality </w:t>
      </w:r>
      <w:r w:rsidR="00D57BD0" w:rsidRPr="00B50FD1">
        <w:rPr>
          <w:rFonts w:cs="Times New Roman"/>
        </w:rPr>
        <w:t>outcomes, identify concrete actions, and describe the contribution of the country portfolio to the Bank’s strategic objective and</w:t>
      </w:r>
      <w:r w:rsidR="006F433E">
        <w:rPr>
          <w:rFonts w:cs="Times New Roman"/>
        </w:rPr>
        <w:t xml:space="preserve"> corporate goals on gender. </w:t>
      </w:r>
      <w:r w:rsidR="000F4509">
        <w:rPr>
          <w:rFonts w:cs="Times New Roman"/>
        </w:rPr>
        <w:t xml:space="preserve">The </w:t>
      </w:r>
      <w:r w:rsidR="00D57BD0" w:rsidRPr="00B50FD1">
        <w:rPr>
          <w:rFonts w:cs="Times New Roman"/>
        </w:rPr>
        <w:t xml:space="preserve">CGAP </w:t>
      </w:r>
      <w:r w:rsidR="006F433E">
        <w:rPr>
          <w:rFonts w:cs="Times New Roman"/>
        </w:rPr>
        <w:t>will preferably</w:t>
      </w:r>
      <w:r w:rsidR="00D57BD0" w:rsidRPr="00B50FD1">
        <w:rPr>
          <w:rFonts w:cs="Times New Roman"/>
        </w:rPr>
        <w:t xml:space="preserve"> be consistent with the CPF in term</w:t>
      </w:r>
      <w:r w:rsidR="006F433E">
        <w:rPr>
          <w:rFonts w:cs="Times New Roman"/>
        </w:rPr>
        <w:t>s of timeline</w:t>
      </w:r>
      <w:r w:rsidR="00D57BD0" w:rsidRPr="00B50FD1">
        <w:rPr>
          <w:rFonts w:cs="Times New Roman"/>
        </w:rPr>
        <w:t>. </w:t>
      </w:r>
      <w:r w:rsidR="00F22565">
        <w:rPr>
          <w:rFonts w:cs="Times New Roman"/>
        </w:rPr>
        <w:t xml:space="preserve">The </w:t>
      </w:r>
      <w:r w:rsidR="00D57BD0" w:rsidRPr="00B50FD1">
        <w:rPr>
          <w:rFonts w:cs="Times New Roman"/>
        </w:rPr>
        <w:t>CGAP priority actions will also be chosen in the framework of CPF negotiations with the Government. </w:t>
      </w:r>
    </w:p>
    <w:p w14:paraId="3804D410" w14:textId="77777777" w:rsidR="000C3CDC" w:rsidRDefault="000C3CDC" w:rsidP="000B4E3A"/>
    <w:p w14:paraId="2C4842D4" w14:textId="77777777" w:rsidR="000C3CDC" w:rsidRDefault="000C3CDC" w:rsidP="000138D8">
      <w:pPr>
        <w:pStyle w:val="Heading2"/>
        <w:numPr>
          <w:ilvl w:val="0"/>
          <w:numId w:val="7"/>
        </w:numPr>
      </w:pPr>
      <w:bookmarkStart w:id="2" w:name="_Toc476839788"/>
      <w:r>
        <w:t>Objectives and Structure</w:t>
      </w:r>
      <w:bookmarkEnd w:id="2"/>
    </w:p>
    <w:p w14:paraId="6B3890C3" w14:textId="77777777" w:rsidR="000C3CDC" w:rsidRDefault="000C3CDC" w:rsidP="003A7315">
      <w:pPr>
        <w:spacing w:after="0" w:line="240" w:lineRule="auto"/>
        <w:jc w:val="both"/>
        <w:rPr>
          <w:rFonts w:cs="Times New Roman"/>
        </w:rPr>
      </w:pPr>
    </w:p>
    <w:p w14:paraId="3E8EFE1F" w14:textId="6A0379D5" w:rsidR="00C74853" w:rsidRPr="003A7315" w:rsidRDefault="001E7402" w:rsidP="00C74853">
      <w:pPr>
        <w:spacing w:after="0" w:line="240" w:lineRule="auto"/>
        <w:jc w:val="both"/>
        <w:rPr>
          <w:rFonts w:cs="Times New Roman"/>
        </w:rPr>
      </w:pPr>
      <w:r w:rsidRPr="00FB4694">
        <w:rPr>
          <w:rFonts w:cs="Times New Roman"/>
          <w:b/>
          <w:i/>
        </w:rPr>
        <w:t>This docu</w:t>
      </w:r>
      <w:r w:rsidR="006F433E" w:rsidRPr="00FB4694">
        <w:rPr>
          <w:rFonts w:cs="Times New Roman"/>
          <w:b/>
          <w:i/>
        </w:rPr>
        <w:t>ment presents a</w:t>
      </w:r>
      <w:r w:rsidRPr="00FB4694">
        <w:rPr>
          <w:rFonts w:cs="Times New Roman"/>
          <w:b/>
          <w:i/>
        </w:rPr>
        <w:t xml:space="preserve"> Country Gender Action Plan for Moldova</w:t>
      </w:r>
      <w:r w:rsidR="00932A19">
        <w:rPr>
          <w:rFonts w:cs="Times New Roman"/>
          <w:b/>
          <w:i/>
        </w:rPr>
        <w:t>.</w:t>
      </w:r>
      <w:r w:rsidR="006F433E" w:rsidRPr="00FB4694">
        <w:rPr>
          <w:rStyle w:val="FootnoteReference"/>
          <w:rFonts w:cs="Times New Roman"/>
          <w:b/>
          <w:i/>
        </w:rPr>
        <w:footnoteReference w:id="1"/>
      </w:r>
      <w:r w:rsidR="003A7315">
        <w:rPr>
          <w:rFonts w:cs="Times New Roman"/>
        </w:rPr>
        <w:t xml:space="preserve"> </w:t>
      </w:r>
      <w:r w:rsidR="00C74853">
        <w:rPr>
          <w:rFonts w:cs="Times New Roman"/>
        </w:rPr>
        <w:t>The objective of the CGAP is to synthesize priority gender issues in the Moldova context, and identify entry points through which the WBG country program can be both more gender-responsive, and contribute in advancing gender equality goals. It proposes to do this by identifying priority action areas</w:t>
      </w:r>
      <w:r w:rsidR="00C74853" w:rsidRPr="003C77F7">
        <w:rPr>
          <w:rFonts w:cs="Times New Roman"/>
        </w:rPr>
        <w:t xml:space="preserve"> that can be pursued through </w:t>
      </w:r>
      <w:r w:rsidR="00C74853">
        <w:rPr>
          <w:rFonts w:cs="Times New Roman"/>
        </w:rPr>
        <w:t>knowledge work, projects, and programs in the</w:t>
      </w:r>
      <w:r w:rsidR="00C74853" w:rsidRPr="003C77F7">
        <w:rPr>
          <w:rFonts w:cs="Times New Roman"/>
        </w:rPr>
        <w:t xml:space="preserve"> upcoming Country Partnership Framework</w:t>
      </w:r>
      <w:r w:rsidR="00C74853">
        <w:rPr>
          <w:rFonts w:cs="Times New Roman"/>
        </w:rPr>
        <w:t xml:space="preserve"> FY18-22 between the WBG and the Moldovan Government</w:t>
      </w:r>
      <w:r w:rsidR="00C74853" w:rsidRPr="003C77F7">
        <w:rPr>
          <w:rFonts w:cs="Times New Roman"/>
        </w:rPr>
        <w:t>.</w:t>
      </w:r>
      <w:r w:rsidR="00C74853">
        <w:rPr>
          <w:rFonts w:cs="Times New Roman"/>
        </w:rPr>
        <w:t xml:space="preserve"> </w:t>
      </w:r>
    </w:p>
    <w:p w14:paraId="74166932" w14:textId="7C5A2543" w:rsidR="003A7315" w:rsidRPr="003A7315" w:rsidRDefault="003A7315" w:rsidP="003A7315">
      <w:pPr>
        <w:spacing w:after="0" w:line="240" w:lineRule="auto"/>
        <w:jc w:val="both"/>
        <w:rPr>
          <w:rFonts w:cs="Times New Roman"/>
        </w:rPr>
      </w:pPr>
    </w:p>
    <w:p w14:paraId="1ACE93C9" w14:textId="77777777" w:rsidR="003A7315" w:rsidRDefault="003A7315" w:rsidP="003A7315">
      <w:pPr>
        <w:spacing w:after="0" w:line="240" w:lineRule="auto"/>
        <w:rPr>
          <w:rFonts w:cs="Times New Roman"/>
        </w:rPr>
      </w:pPr>
    </w:p>
    <w:p w14:paraId="020839CD" w14:textId="77777777" w:rsidR="003A7315" w:rsidRDefault="00974333" w:rsidP="003A7315">
      <w:pPr>
        <w:spacing w:after="0" w:line="240" w:lineRule="auto"/>
        <w:rPr>
          <w:rFonts w:cs="Times New Roman"/>
        </w:rPr>
      </w:pPr>
      <w:r>
        <w:rPr>
          <w:rFonts w:cs="Times New Roman"/>
        </w:rPr>
        <w:t>Specifically, the CGAP</w:t>
      </w:r>
      <w:r w:rsidR="003A7315">
        <w:rPr>
          <w:rFonts w:cs="Times New Roman"/>
        </w:rPr>
        <w:t xml:space="preserve"> seeks to: </w:t>
      </w:r>
    </w:p>
    <w:p w14:paraId="109E0E4B" w14:textId="77777777" w:rsidR="003A7315" w:rsidRPr="003A7315" w:rsidRDefault="003A7315" w:rsidP="000138D8">
      <w:pPr>
        <w:pStyle w:val="ListParagraph"/>
        <w:numPr>
          <w:ilvl w:val="0"/>
          <w:numId w:val="6"/>
        </w:numPr>
        <w:spacing w:after="0" w:line="240" w:lineRule="auto"/>
        <w:rPr>
          <w:rFonts w:cs="Times New Roman"/>
        </w:rPr>
      </w:pPr>
      <w:r>
        <w:rPr>
          <w:rFonts w:cs="Times New Roman"/>
        </w:rPr>
        <w:t>Propose interventions and outcome indicators within the</w:t>
      </w:r>
      <w:r w:rsidRPr="003A7315">
        <w:rPr>
          <w:rFonts w:cs="Times New Roman"/>
        </w:rPr>
        <w:t xml:space="preserve"> WBG’s policy, operational, and/</w:t>
      </w:r>
      <w:r w:rsidR="000C3CDC">
        <w:rPr>
          <w:rFonts w:cs="Times New Roman"/>
        </w:rPr>
        <w:t>or analytic program</w:t>
      </w:r>
      <w:r w:rsidRPr="003A7315">
        <w:rPr>
          <w:rFonts w:cs="Times New Roman"/>
        </w:rPr>
        <w:t xml:space="preserve"> that can advance key gender equality outcomes in the country; </w:t>
      </w:r>
    </w:p>
    <w:p w14:paraId="1A971C28" w14:textId="628D2041" w:rsidR="003A7315" w:rsidRPr="003A7315" w:rsidRDefault="000C3CDC" w:rsidP="000138D8">
      <w:pPr>
        <w:pStyle w:val="ListParagraph"/>
        <w:numPr>
          <w:ilvl w:val="0"/>
          <w:numId w:val="6"/>
        </w:numPr>
        <w:spacing w:after="0" w:line="240" w:lineRule="auto"/>
        <w:rPr>
          <w:rFonts w:cs="Times New Roman"/>
        </w:rPr>
      </w:pPr>
      <w:r>
        <w:rPr>
          <w:rFonts w:cs="Times New Roman"/>
        </w:rPr>
        <w:lastRenderedPageBreak/>
        <w:t>P</w:t>
      </w:r>
      <w:r w:rsidR="003A7315" w:rsidRPr="003A7315">
        <w:rPr>
          <w:rFonts w:cs="Times New Roman"/>
        </w:rPr>
        <w:t xml:space="preserve">ropose mechanisms </w:t>
      </w:r>
      <w:r w:rsidR="006F433E">
        <w:rPr>
          <w:rFonts w:cs="Times New Roman"/>
        </w:rPr>
        <w:t>and indicators for effective mainstreaming of gender in the portfolio, i.e.</w:t>
      </w:r>
      <w:r w:rsidR="0048754A">
        <w:rPr>
          <w:rFonts w:cs="Times New Roman"/>
        </w:rPr>
        <w:t>,</w:t>
      </w:r>
      <w:r w:rsidR="003A7315" w:rsidRPr="003A7315">
        <w:rPr>
          <w:rFonts w:cs="Times New Roman"/>
        </w:rPr>
        <w:t xml:space="preserve"> to ensure </w:t>
      </w:r>
      <w:r w:rsidR="003A7315">
        <w:rPr>
          <w:rFonts w:cs="Times New Roman"/>
        </w:rPr>
        <w:t xml:space="preserve">that </w:t>
      </w:r>
      <w:r w:rsidR="003A7315" w:rsidRPr="003A7315">
        <w:rPr>
          <w:rFonts w:cs="Times New Roman"/>
        </w:rPr>
        <w:t>gender analysis, actions, and</w:t>
      </w:r>
      <w:r w:rsidR="003A7315" w:rsidRPr="003A7315">
        <w:rPr>
          <w:rFonts w:cs="Times New Roman"/>
          <w:lang w:val="bg-BG"/>
        </w:rPr>
        <w:t xml:space="preserve"> </w:t>
      </w:r>
      <w:r w:rsidR="003A7315" w:rsidRPr="003A7315">
        <w:rPr>
          <w:rFonts w:cs="Times New Roman"/>
        </w:rPr>
        <w:t>monitoring are consistently incorporated</w:t>
      </w:r>
      <w:r w:rsidR="006F433E">
        <w:rPr>
          <w:rFonts w:cs="Times New Roman"/>
        </w:rPr>
        <w:t xml:space="preserve"> in the country program</w:t>
      </w:r>
      <w:r w:rsidR="003A7315" w:rsidRPr="003A7315">
        <w:rPr>
          <w:rFonts w:cs="Times New Roman"/>
        </w:rPr>
        <w:t xml:space="preserve"> and progress on agreed gender targets is systematically recorded. </w:t>
      </w:r>
    </w:p>
    <w:p w14:paraId="321FEAE5" w14:textId="77777777" w:rsidR="00962FAC" w:rsidRDefault="00962FAC" w:rsidP="003C77F7">
      <w:pPr>
        <w:spacing w:after="0" w:line="240" w:lineRule="auto"/>
        <w:jc w:val="both"/>
        <w:rPr>
          <w:rFonts w:cs="Times New Roman"/>
        </w:rPr>
      </w:pPr>
    </w:p>
    <w:p w14:paraId="0D832E28" w14:textId="77777777" w:rsidR="00962FAC" w:rsidRDefault="003C77F7" w:rsidP="003C77F7">
      <w:pPr>
        <w:spacing w:after="0" w:line="240" w:lineRule="auto"/>
        <w:jc w:val="both"/>
        <w:rPr>
          <w:rFonts w:cs="Times New Roman"/>
        </w:rPr>
      </w:pPr>
      <w:r w:rsidRPr="003C77F7">
        <w:rPr>
          <w:rFonts w:cs="Times New Roman"/>
        </w:rPr>
        <w:t xml:space="preserve">The CGAP </w:t>
      </w:r>
      <w:r w:rsidR="00962FAC">
        <w:rPr>
          <w:rFonts w:cs="Times New Roman"/>
        </w:rPr>
        <w:t>is organized as follows:</w:t>
      </w:r>
    </w:p>
    <w:p w14:paraId="7C8E7BA3" w14:textId="5E3C2674" w:rsidR="00962FAC" w:rsidRDefault="00962FAC" w:rsidP="000138D8">
      <w:pPr>
        <w:pStyle w:val="ListParagraph"/>
        <w:numPr>
          <w:ilvl w:val="0"/>
          <w:numId w:val="3"/>
        </w:numPr>
        <w:spacing w:after="0" w:line="240" w:lineRule="auto"/>
        <w:jc w:val="both"/>
        <w:rPr>
          <w:rFonts w:cs="Times New Roman"/>
        </w:rPr>
      </w:pPr>
      <w:r w:rsidRPr="00CC7469">
        <w:rPr>
          <w:rFonts w:cs="Times New Roman"/>
          <w:i/>
        </w:rPr>
        <w:t>Key gender issues in Moldova</w:t>
      </w:r>
      <w:r>
        <w:rPr>
          <w:rFonts w:cs="Times New Roman"/>
        </w:rPr>
        <w:t xml:space="preserve">: </w:t>
      </w:r>
      <w:r w:rsidR="00D57BD0" w:rsidRPr="00962FAC">
        <w:rPr>
          <w:rFonts w:cs="Times New Roman"/>
        </w:rPr>
        <w:t>a succinct diagnostic of the gender challenges in the country and their relevance to pursuing</w:t>
      </w:r>
      <w:r>
        <w:rPr>
          <w:rFonts w:cs="Times New Roman"/>
        </w:rPr>
        <w:t xml:space="preserve"> </w:t>
      </w:r>
      <w:r w:rsidR="000C3CDC">
        <w:rPr>
          <w:rFonts w:cs="Times New Roman"/>
        </w:rPr>
        <w:t>the WBG’s t</w:t>
      </w:r>
      <w:r>
        <w:rPr>
          <w:rFonts w:cs="Times New Roman"/>
        </w:rPr>
        <w:t>win goal</w:t>
      </w:r>
      <w:r w:rsidR="000C3CDC">
        <w:rPr>
          <w:rFonts w:cs="Times New Roman"/>
        </w:rPr>
        <w:t>s</w:t>
      </w:r>
      <w:r w:rsidR="00FB0664">
        <w:rPr>
          <w:rStyle w:val="FootnoteReference"/>
          <w:rFonts w:cs="Times New Roman"/>
        </w:rPr>
        <w:footnoteReference w:id="2"/>
      </w:r>
      <w:r w:rsidR="000C3CDC">
        <w:rPr>
          <w:rFonts w:cs="Times New Roman"/>
        </w:rPr>
        <w:t xml:space="preserve">. </w:t>
      </w:r>
    </w:p>
    <w:p w14:paraId="012A0485" w14:textId="6EE7692D" w:rsidR="00962FAC" w:rsidRDefault="00962FAC" w:rsidP="000138D8">
      <w:pPr>
        <w:pStyle w:val="ListParagraph"/>
        <w:numPr>
          <w:ilvl w:val="0"/>
          <w:numId w:val="3"/>
        </w:numPr>
        <w:spacing w:after="0" w:line="240" w:lineRule="auto"/>
        <w:jc w:val="both"/>
        <w:rPr>
          <w:rFonts w:cs="Times New Roman"/>
        </w:rPr>
      </w:pPr>
      <w:r w:rsidRPr="00CC7469">
        <w:rPr>
          <w:rFonts w:cs="Times New Roman"/>
          <w:i/>
        </w:rPr>
        <w:t xml:space="preserve">Gender in the World Bank </w:t>
      </w:r>
      <w:r w:rsidR="00BD14A1">
        <w:rPr>
          <w:rFonts w:cs="Times New Roman"/>
          <w:i/>
        </w:rPr>
        <w:t>portfolio</w:t>
      </w:r>
      <w:r>
        <w:rPr>
          <w:rFonts w:cs="Times New Roman"/>
        </w:rPr>
        <w:t xml:space="preserve">: an overview of progress on </w:t>
      </w:r>
      <w:r w:rsidR="00CC7469">
        <w:rPr>
          <w:rFonts w:cs="Times New Roman"/>
        </w:rPr>
        <w:t>gender mainstreaming in the</w:t>
      </w:r>
      <w:r>
        <w:rPr>
          <w:rFonts w:cs="Times New Roman"/>
        </w:rPr>
        <w:t xml:space="preserve"> WBG portfolio in </w:t>
      </w:r>
      <w:r w:rsidR="00CC7469">
        <w:rPr>
          <w:rFonts w:cs="Times New Roman"/>
        </w:rPr>
        <w:t>Moldova</w:t>
      </w:r>
      <w:r w:rsidR="006F433E">
        <w:rPr>
          <w:rFonts w:cs="Times New Roman"/>
        </w:rPr>
        <w:t xml:space="preserve"> as well as ongoing</w:t>
      </w:r>
      <w:r>
        <w:rPr>
          <w:rFonts w:cs="Times New Roman"/>
        </w:rPr>
        <w:t xml:space="preserve"> and intended </w:t>
      </w:r>
      <w:r w:rsidR="00CC7469">
        <w:rPr>
          <w:rFonts w:cs="Times New Roman"/>
        </w:rPr>
        <w:t>future actions by project teams;</w:t>
      </w:r>
    </w:p>
    <w:p w14:paraId="43FC0FCC" w14:textId="0F7B774D" w:rsidR="00D57BD0" w:rsidRPr="00C26D60" w:rsidRDefault="003A7315" w:rsidP="000138D8">
      <w:pPr>
        <w:pStyle w:val="ListParagraph"/>
        <w:numPr>
          <w:ilvl w:val="0"/>
          <w:numId w:val="3"/>
        </w:numPr>
        <w:spacing w:after="0" w:line="240" w:lineRule="auto"/>
        <w:jc w:val="both"/>
        <w:rPr>
          <w:rFonts w:cs="Times New Roman"/>
        </w:rPr>
      </w:pPr>
      <w:r w:rsidRPr="00C26D60">
        <w:rPr>
          <w:rFonts w:cs="Times New Roman"/>
          <w:i/>
        </w:rPr>
        <w:t xml:space="preserve">Proposed actions for </w:t>
      </w:r>
      <w:r w:rsidR="00BD14A1">
        <w:rPr>
          <w:rFonts w:cs="Times New Roman"/>
          <w:i/>
        </w:rPr>
        <w:t xml:space="preserve">the </w:t>
      </w:r>
      <w:r w:rsidRPr="00C26D60">
        <w:rPr>
          <w:rFonts w:cs="Times New Roman"/>
          <w:i/>
        </w:rPr>
        <w:t>Moldova CGAP</w:t>
      </w:r>
      <w:r w:rsidR="00CC7469" w:rsidRPr="00C26D60">
        <w:rPr>
          <w:rFonts w:cs="Times New Roman"/>
        </w:rPr>
        <w:t>:</w:t>
      </w:r>
      <w:r w:rsidR="003C77F7" w:rsidRPr="00C26D60">
        <w:rPr>
          <w:rFonts w:cs="Times New Roman"/>
        </w:rPr>
        <w:t xml:space="preserve"> </w:t>
      </w:r>
      <w:r w:rsidR="00CC7469" w:rsidRPr="00C26D60">
        <w:rPr>
          <w:rFonts w:cs="Times New Roman"/>
        </w:rPr>
        <w:t>an action matrix</w:t>
      </w:r>
      <w:r w:rsidR="00D57BD0" w:rsidRPr="00C26D60">
        <w:rPr>
          <w:rFonts w:cs="Times New Roman"/>
        </w:rPr>
        <w:t xml:space="preserve"> </w:t>
      </w:r>
      <w:r w:rsidR="00CC7469" w:rsidRPr="00C26D60">
        <w:rPr>
          <w:rFonts w:cs="Times New Roman"/>
        </w:rPr>
        <w:t>identifying selected gender issues, causes, and potential interventions where</w:t>
      </w:r>
      <w:r w:rsidR="00D57BD0" w:rsidRPr="00C26D60">
        <w:rPr>
          <w:rFonts w:cs="Times New Roman"/>
        </w:rPr>
        <w:t xml:space="preserve"> gender analysis or activities can have the greatest impact. </w:t>
      </w:r>
    </w:p>
    <w:p w14:paraId="164C7C79" w14:textId="77777777" w:rsidR="00962FAC" w:rsidRPr="00C26D60" w:rsidRDefault="00962FAC" w:rsidP="00962FAC">
      <w:pPr>
        <w:spacing w:after="0" w:line="240" w:lineRule="auto"/>
        <w:jc w:val="both"/>
        <w:rPr>
          <w:rFonts w:cs="Times New Roman"/>
          <w:b/>
        </w:rPr>
      </w:pPr>
    </w:p>
    <w:p w14:paraId="0F4FFC8F" w14:textId="77777777" w:rsidR="00D57BD0" w:rsidRPr="00C26D60" w:rsidRDefault="003A7315" w:rsidP="006F433E">
      <w:pPr>
        <w:pStyle w:val="Heading2"/>
      </w:pPr>
      <w:bookmarkStart w:id="3" w:name="_Toc476839789"/>
      <w:r w:rsidRPr="00C26D60">
        <w:t>II</w:t>
      </w:r>
      <w:r w:rsidR="000C3CDC" w:rsidRPr="00C26D60">
        <w:t>I</w:t>
      </w:r>
      <w:r w:rsidRPr="00C26D60">
        <w:t xml:space="preserve">. </w:t>
      </w:r>
      <w:r w:rsidR="00962FAC" w:rsidRPr="00C26D60">
        <w:t xml:space="preserve">Key </w:t>
      </w:r>
      <w:r w:rsidR="000C3CDC" w:rsidRPr="00C26D60">
        <w:t>Gender I</w:t>
      </w:r>
      <w:r w:rsidR="00D57BD0" w:rsidRPr="00C26D60">
        <w:t>ssues in Moldova</w:t>
      </w:r>
      <w:bookmarkEnd w:id="3"/>
      <w:r w:rsidR="00D57BD0" w:rsidRPr="00C26D60">
        <w:t xml:space="preserve"> </w:t>
      </w:r>
    </w:p>
    <w:p w14:paraId="7CE9C8E5" w14:textId="77777777" w:rsidR="00A55A5B" w:rsidRPr="00C26D60" w:rsidRDefault="00A55A5B" w:rsidP="00D57BD0">
      <w:pPr>
        <w:spacing w:after="0" w:line="240" w:lineRule="auto"/>
        <w:jc w:val="both"/>
        <w:rPr>
          <w:rFonts w:cs="Times New Roman"/>
          <w:b/>
        </w:rPr>
      </w:pPr>
    </w:p>
    <w:p w14:paraId="474EF5FC" w14:textId="04EAAE54" w:rsidR="00F25050" w:rsidRDefault="00F0209F" w:rsidP="00D57BD0">
      <w:pPr>
        <w:spacing w:after="0" w:line="240" w:lineRule="auto"/>
        <w:jc w:val="both"/>
        <w:rPr>
          <w:rFonts w:cs="Times New Roman"/>
          <w:color w:val="000000"/>
        </w:rPr>
      </w:pPr>
      <w:r w:rsidRPr="00C26D60">
        <w:rPr>
          <w:rFonts w:cs="Times New Roman"/>
          <w:b/>
          <w:i/>
          <w:color w:val="000000"/>
        </w:rPr>
        <w:t xml:space="preserve">By global and regional </w:t>
      </w:r>
      <w:r w:rsidR="0024240B">
        <w:rPr>
          <w:rFonts w:cs="Times New Roman"/>
          <w:b/>
          <w:i/>
          <w:color w:val="000000"/>
        </w:rPr>
        <w:t>standards</w:t>
      </w:r>
      <w:r w:rsidRPr="00C26D60">
        <w:rPr>
          <w:rFonts w:cs="Times New Roman"/>
          <w:b/>
          <w:i/>
          <w:color w:val="000000"/>
        </w:rPr>
        <w:t xml:space="preserve">, gender equality is high in Moldova. </w:t>
      </w:r>
      <w:r w:rsidRPr="00C26D60">
        <w:rPr>
          <w:rFonts w:cs="Times New Roman"/>
          <w:color w:val="000000"/>
        </w:rPr>
        <w:t xml:space="preserve">The most recent Global Gender Gap Index </w:t>
      </w:r>
      <w:r w:rsidR="006F433E" w:rsidRPr="00C26D60">
        <w:rPr>
          <w:rFonts w:cs="Times New Roman"/>
          <w:color w:val="000000"/>
        </w:rPr>
        <w:t xml:space="preserve">of the World Economic Forum (2015) </w:t>
      </w:r>
      <w:r w:rsidRPr="00C26D60">
        <w:rPr>
          <w:rFonts w:cs="Times New Roman"/>
          <w:color w:val="000000"/>
        </w:rPr>
        <w:t xml:space="preserve">ranks Moldova 26th out of 145 countries, </w:t>
      </w:r>
      <w:r w:rsidR="0024240B">
        <w:rPr>
          <w:rFonts w:cs="Times New Roman"/>
          <w:color w:val="000000"/>
        </w:rPr>
        <w:t>behind</w:t>
      </w:r>
      <w:r w:rsidR="0024240B" w:rsidRPr="00C26D60">
        <w:rPr>
          <w:rFonts w:cs="Times New Roman"/>
          <w:color w:val="000000"/>
        </w:rPr>
        <w:t xml:space="preserve"> </w:t>
      </w:r>
      <w:r w:rsidRPr="00C26D60">
        <w:rPr>
          <w:rFonts w:cs="Times New Roman"/>
          <w:color w:val="000000"/>
        </w:rPr>
        <w:t>only Latvia and Estonia among East European and former Soviet states.</w:t>
      </w:r>
      <w:r w:rsidR="009A406B" w:rsidRPr="00C26D60">
        <w:rPr>
          <w:rStyle w:val="FootnoteReference"/>
          <w:rFonts w:cs="Times New Roman"/>
          <w:color w:val="000000"/>
        </w:rPr>
        <w:footnoteReference w:id="3"/>
      </w:r>
      <w:r w:rsidRPr="00C26D60">
        <w:rPr>
          <w:rFonts w:cs="Times New Roman"/>
          <w:color w:val="000000"/>
        </w:rPr>
        <w:t xml:space="preserve">  </w:t>
      </w:r>
      <w:r w:rsidR="006F433E" w:rsidRPr="00C26D60">
        <w:rPr>
          <w:rFonts w:cs="Times New Roman"/>
          <w:color w:val="000000"/>
        </w:rPr>
        <w:t>The c</w:t>
      </w:r>
      <w:r w:rsidR="00DB5197" w:rsidRPr="00C26D60">
        <w:rPr>
          <w:rFonts w:cs="Times New Roman"/>
          <w:color w:val="000000"/>
        </w:rPr>
        <w:t>o</w:t>
      </w:r>
      <w:r w:rsidR="006F433E" w:rsidRPr="00C26D60">
        <w:rPr>
          <w:rFonts w:cs="Times New Roman"/>
          <w:color w:val="000000"/>
        </w:rPr>
        <w:t xml:space="preserve">untry has close to universal primary and secondary </w:t>
      </w:r>
      <w:r w:rsidR="00C26D60" w:rsidRPr="00C26D60">
        <w:rPr>
          <w:rFonts w:cs="Times New Roman"/>
          <w:color w:val="000000"/>
        </w:rPr>
        <w:t>education</w:t>
      </w:r>
      <w:r w:rsidR="006F433E" w:rsidRPr="00C26D60">
        <w:rPr>
          <w:rFonts w:cs="Times New Roman"/>
          <w:color w:val="000000"/>
        </w:rPr>
        <w:t xml:space="preserve"> completion rate</w:t>
      </w:r>
      <w:r w:rsidR="0024240B">
        <w:rPr>
          <w:rFonts w:cs="Times New Roman"/>
          <w:color w:val="000000"/>
        </w:rPr>
        <w:t>s</w:t>
      </w:r>
      <w:r w:rsidR="006F433E" w:rsidRPr="00C26D60">
        <w:rPr>
          <w:rFonts w:cs="Times New Roman"/>
          <w:color w:val="000000"/>
        </w:rPr>
        <w:t xml:space="preserve"> that </w:t>
      </w:r>
      <w:r w:rsidR="0024240B">
        <w:rPr>
          <w:rFonts w:cs="Times New Roman"/>
          <w:color w:val="000000"/>
        </w:rPr>
        <w:t>are</w:t>
      </w:r>
      <w:r w:rsidR="0024240B" w:rsidRPr="00C26D60">
        <w:rPr>
          <w:rFonts w:cs="Times New Roman"/>
          <w:color w:val="000000"/>
        </w:rPr>
        <w:t xml:space="preserve"> </w:t>
      </w:r>
      <w:r w:rsidR="006F433E" w:rsidRPr="00C26D60">
        <w:rPr>
          <w:rFonts w:cs="Times New Roman"/>
          <w:color w:val="000000"/>
        </w:rPr>
        <w:t xml:space="preserve">equal for boys and girls, and a high </w:t>
      </w:r>
      <w:r w:rsidR="004B2811" w:rsidRPr="00C26D60">
        <w:rPr>
          <w:rFonts w:cs="Times New Roman"/>
          <w:color w:val="000000"/>
        </w:rPr>
        <w:t xml:space="preserve">university completion rate </w:t>
      </w:r>
      <w:r w:rsidR="003224AC" w:rsidRPr="00C26D60">
        <w:rPr>
          <w:rFonts w:cs="Times New Roman"/>
          <w:color w:val="000000"/>
        </w:rPr>
        <w:t xml:space="preserve">with 58% of university graduates being female. </w:t>
      </w:r>
      <w:r w:rsidR="0054495A">
        <w:rPr>
          <w:rFonts w:cs="Times New Roman"/>
          <w:color w:val="000000"/>
        </w:rPr>
        <w:t>Gender discrepancies in</w:t>
      </w:r>
      <w:r w:rsidR="0054495A" w:rsidRPr="00C26D60">
        <w:rPr>
          <w:rFonts w:cs="Times New Roman"/>
          <w:color w:val="000000"/>
        </w:rPr>
        <w:t xml:space="preserve"> </w:t>
      </w:r>
      <w:r w:rsidR="003224AC" w:rsidRPr="00C26D60">
        <w:rPr>
          <w:rFonts w:cs="Times New Roman"/>
          <w:color w:val="000000"/>
        </w:rPr>
        <w:t xml:space="preserve">labor force </w:t>
      </w:r>
      <w:r w:rsidR="00C26D60" w:rsidRPr="00C26D60">
        <w:rPr>
          <w:rFonts w:cs="Times New Roman"/>
          <w:color w:val="000000"/>
        </w:rPr>
        <w:t>participation</w:t>
      </w:r>
      <w:r w:rsidR="003224AC" w:rsidRPr="00C26D60">
        <w:rPr>
          <w:rFonts w:cs="Times New Roman"/>
          <w:color w:val="000000"/>
        </w:rPr>
        <w:t xml:space="preserve"> </w:t>
      </w:r>
      <w:r w:rsidR="0054495A">
        <w:rPr>
          <w:rFonts w:cs="Times New Roman"/>
          <w:color w:val="000000"/>
        </w:rPr>
        <w:t>are</w:t>
      </w:r>
      <w:r w:rsidR="003224AC" w:rsidRPr="00C26D60">
        <w:rPr>
          <w:rFonts w:cs="Times New Roman"/>
          <w:color w:val="000000"/>
        </w:rPr>
        <w:t xml:space="preserve"> r</w:t>
      </w:r>
      <w:r w:rsidR="009D538C" w:rsidRPr="00C26D60">
        <w:rPr>
          <w:rFonts w:cs="Times New Roman"/>
          <w:color w:val="000000"/>
        </w:rPr>
        <w:t xml:space="preserve">elatively </w:t>
      </w:r>
      <w:r w:rsidR="0054495A">
        <w:rPr>
          <w:rFonts w:cs="Times New Roman"/>
          <w:color w:val="000000"/>
        </w:rPr>
        <w:t>low</w:t>
      </w:r>
      <w:r w:rsidR="009D538C" w:rsidRPr="00C26D60">
        <w:rPr>
          <w:rFonts w:cs="Times New Roman"/>
          <w:color w:val="000000"/>
        </w:rPr>
        <w:t xml:space="preserve"> and women are sli</w:t>
      </w:r>
      <w:r w:rsidR="003224AC" w:rsidRPr="00C26D60">
        <w:rPr>
          <w:rFonts w:cs="Times New Roman"/>
          <w:color w:val="000000"/>
        </w:rPr>
        <w:t>gh</w:t>
      </w:r>
      <w:r w:rsidR="009D538C" w:rsidRPr="00C26D60">
        <w:rPr>
          <w:rFonts w:cs="Times New Roman"/>
          <w:color w:val="000000"/>
        </w:rPr>
        <w:t xml:space="preserve">tly more likely than </w:t>
      </w:r>
      <w:r w:rsidR="003224AC" w:rsidRPr="00C26D60">
        <w:rPr>
          <w:rFonts w:cs="Times New Roman"/>
          <w:color w:val="000000"/>
        </w:rPr>
        <w:t>m</w:t>
      </w:r>
      <w:r w:rsidR="009D538C" w:rsidRPr="00C26D60">
        <w:rPr>
          <w:rFonts w:cs="Times New Roman"/>
          <w:color w:val="000000"/>
        </w:rPr>
        <w:t>e</w:t>
      </w:r>
      <w:r w:rsidR="003224AC" w:rsidRPr="00C26D60">
        <w:rPr>
          <w:rFonts w:cs="Times New Roman"/>
          <w:color w:val="000000"/>
        </w:rPr>
        <w:t>n to hol</w:t>
      </w:r>
      <w:r w:rsidR="009D538C" w:rsidRPr="00C26D60">
        <w:rPr>
          <w:rFonts w:cs="Times New Roman"/>
          <w:color w:val="000000"/>
        </w:rPr>
        <w:t xml:space="preserve">d secure, albeit less well-paid, </w:t>
      </w:r>
      <w:r w:rsidR="003224AC" w:rsidRPr="00C26D60">
        <w:rPr>
          <w:rFonts w:cs="Times New Roman"/>
          <w:color w:val="000000"/>
        </w:rPr>
        <w:t xml:space="preserve">public sector jobs. </w:t>
      </w:r>
      <w:r w:rsidR="00F25050">
        <w:rPr>
          <w:rFonts w:cs="Times New Roman"/>
          <w:color w:val="000000"/>
        </w:rPr>
        <w:t xml:space="preserve">  </w:t>
      </w:r>
    </w:p>
    <w:p w14:paraId="65396678" w14:textId="77777777" w:rsidR="007C27D8" w:rsidRDefault="007C27D8" w:rsidP="00D57BD0">
      <w:pPr>
        <w:spacing w:after="0" w:line="240" w:lineRule="auto"/>
        <w:jc w:val="both"/>
        <w:rPr>
          <w:rFonts w:cs="Times New Roman"/>
          <w:color w:val="000000"/>
        </w:rPr>
      </w:pPr>
    </w:p>
    <w:p w14:paraId="50A3C29A" w14:textId="7A03FC66" w:rsidR="00CA030E" w:rsidRPr="007617D7" w:rsidRDefault="007C27D8" w:rsidP="00D57BD0">
      <w:pPr>
        <w:spacing w:after="0" w:line="240" w:lineRule="auto"/>
        <w:jc w:val="both"/>
        <w:rPr>
          <w:rFonts w:cs="Times New Roman"/>
          <w:b/>
          <w:i/>
          <w:color w:val="000000"/>
          <w:sz w:val="20"/>
          <w:szCs w:val="20"/>
        </w:rPr>
      </w:pPr>
      <w:r w:rsidRPr="007617D7">
        <w:rPr>
          <w:rFonts w:cs="Times New Roman"/>
          <w:b/>
          <w:i/>
          <w:color w:val="000000"/>
          <w:sz w:val="20"/>
          <w:szCs w:val="20"/>
        </w:rPr>
        <w:t>Table 1: Global Gender Equality Gap Index, ECA states</w:t>
      </w:r>
      <w:r w:rsidR="009A3251">
        <w:rPr>
          <w:rFonts w:cs="Times New Roman"/>
          <w:b/>
          <w:i/>
          <w:color w:val="000000"/>
          <w:sz w:val="20"/>
          <w:szCs w:val="20"/>
        </w:rPr>
        <w:t>, 2016</w:t>
      </w:r>
    </w:p>
    <w:tbl>
      <w:tblPr>
        <w:tblStyle w:val="TableGrid"/>
        <w:tblW w:w="0" w:type="auto"/>
        <w:tblLook w:val="04A0" w:firstRow="1" w:lastRow="0" w:firstColumn="1" w:lastColumn="0" w:noHBand="0" w:noVBand="1"/>
      </w:tblPr>
      <w:tblGrid>
        <w:gridCol w:w="715"/>
        <w:gridCol w:w="2160"/>
      </w:tblGrid>
      <w:tr w:rsidR="007C27D8" w:rsidRPr="007C27D8" w14:paraId="48EF8D78" w14:textId="77777777" w:rsidTr="00200C3D">
        <w:trPr>
          <w:trHeight w:val="170"/>
        </w:trPr>
        <w:tc>
          <w:tcPr>
            <w:tcW w:w="715" w:type="dxa"/>
          </w:tcPr>
          <w:p w14:paraId="434CA755" w14:textId="791507E1" w:rsidR="007C27D8" w:rsidRPr="007617D7" w:rsidRDefault="007C27D8" w:rsidP="00D57BD0">
            <w:pPr>
              <w:jc w:val="both"/>
              <w:rPr>
                <w:rFonts w:cs="Times New Roman"/>
                <w:b/>
                <w:color w:val="000000"/>
                <w:sz w:val="20"/>
                <w:szCs w:val="20"/>
              </w:rPr>
            </w:pPr>
            <w:r w:rsidRPr="007617D7">
              <w:rPr>
                <w:rFonts w:cs="Times New Roman"/>
                <w:b/>
                <w:color w:val="000000"/>
                <w:sz w:val="20"/>
                <w:szCs w:val="20"/>
              </w:rPr>
              <w:t>Rank</w:t>
            </w:r>
          </w:p>
        </w:tc>
        <w:tc>
          <w:tcPr>
            <w:tcW w:w="2160" w:type="dxa"/>
          </w:tcPr>
          <w:p w14:paraId="6EBC4D54" w14:textId="36DC3874" w:rsidR="007C27D8" w:rsidRPr="007617D7" w:rsidRDefault="007C27D8" w:rsidP="00D57BD0">
            <w:pPr>
              <w:jc w:val="both"/>
              <w:rPr>
                <w:rFonts w:cs="Times New Roman"/>
                <w:b/>
                <w:color w:val="000000"/>
                <w:sz w:val="20"/>
                <w:szCs w:val="20"/>
              </w:rPr>
            </w:pPr>
            <w:r w:rsidRPr="007617D7">
              <w:rPr>
                <w:rFonts w:cs="Times New Roman"/>
                <w:b/>
                <w:color w:val="000000"/>
                <w:sz w:val="20"/>
                <w:szCs w:val="20"/>
              </w:rPr>
              <w:t>Country</w:t>
            </w:r>
          </w:p>
        </w:tc>
      </w:tr>
      <w:tr w:rsidR="007C27D8" w:rsidRPr="007C27D8" w14:paraId="0B1FCE01" w14:textId="77777777" w:rsidTr="007617D7">
        <w:tc>
          <w:tcPr>
            <w:tcW w:w="715" w:type="dxa"/>
          </w:tcPr>
          <w:p w14:paraId="29131B79" w14:textId="2A64A24D" w:rsidR="007C27D8" w:rsidRPr="007617D7" w:rsidRDefault="007C27D8" w:rsidP="00D57BD0">
            <w:pPr>
              <w:jc w:val="both"/>
              <w:rPr>
                <w:rFonts w:cs="Times New Roman"/>
                <w:color w:val="000000"/>
                <w:sz w:val="20"/>
                <w:szCs w:val="20"/>
              </w:rPr>
            </w:pPr>
            <w:r w:rsidRPr="007617D7">
              <w:rPr>
                <w:rFonts w:cs="Times New Roman"/>
                <w:color w:val="000000"/>
                <w:sz w:val="20"/>
                <w:szCs w:val="20"/>
              </w:rPr>
              <w:t>18</w:t>
            </w:r>
          </w:p>
        </w:tc>
        <w:tc>
          <w:tcPr>
            <w:tcW w:w="2160" w:type="dxa"/>
          </w:tcPr>
          <w:p w14:paraId="5D11B37E" w14:textId="396E7B67" w:rsidR="007C27D8" w:rsidRPr="007617D7" w:rsidRDefault="007C27D8" w:rsidP="00D57BD0">
            <w:pPr>
              <w:jc w:val="both"/>
              <w:rPr>
                <w:rFonts w:cs="Times New Roman"/>
                <w:color w:val="000000"/>
                <w:sz w:val="20"/>
                <w:szCs w:val="20"/>
              </w:rPr>
            </w:pPr>
            <w:r w:rsidRPr="007617D7">
              <w:rPr>
                <w:rFonts w:cs="Times New Roman"/>
                <w:color w:val="000000"/>
                <w:sz w:val="20"/>
                <w:szCs w:val="20"/>
              </w:rPr>
              <w:t>Latvia</w:t>
            </w:r>
          </w:p>
        </w:tc>
      </w:tr>
      <w:tr w:rsidR="007C27D8" w:rsidRPr="007C27D8" w14:paraId="168D4F7D" w14:textId="77777777" w:rsidTr="007617D7">
        <w:tc>
          <w:tcPr>
            <w:tcW w:w="715" w:type="dxa"/>
          </w:tcPr>
          <w:p w14:paraId="5E2EBF0C" w14:textId="79AE2F97" w:rsidR="007C27D8" w:rsidRPr="007617D7" w:rsidRDefault="007C27D8" w:rsidP="00D57BD0">
            <w:pPr>
              <w:jc w:val="both"/>
              <w:rPr>
                <w:rFonts w:cs="Times New Roman"/>
                <w:color w:val="000000"/>
                <w:sz w:val="20"/>
                <w:szCs w:val="20"/>
              </w:rPr>
            </w:pPr>
            <w:r w:rsidRPr="007617D7">
              <w:rPr>
                <w:rFonts w:cs="Times New Roman"/>
                <w:color w:val="000000"/>
                <w:sz w:val="20"/>
                <w:szCs w:val="20"/>
              </w:rPr>
              <w:t>22</w:t>
            </w:r>
          </w:p>
        </w:tc>
        <w:tc>
          <w:tcPr>
            <w:tcW w:w="2160" w:type="dxa"/>
          </w:tcPr>
          <w:p w14:paraId="42642286" w14:textId="5B0C74FE" w:rsidR="007C27D8" w:rsidRPr="007617D7" w:rsidRDefault="007C27D8" w:rsidP="00D57BD0">
            <w:pPr>
              <w:jc w:val="both"/>
              <w:rPr>
                <w:rFonts w:cs="Times New Roman"/>
                <w:color w:val="000000"/>
                <w:sz w:val="20"/>
                <w:szCs w:val="20"/>
              </w:rPr>
            </w:pPr>
            <w:r w:rsidRPr="007617D7">
              <w:rPr>
                <w:rFonts w:cs="Times New Roman"/>
                <w:color w:val="000000"/>
                <w:sz w:val="20"/>
                <w:szCs w:val="20"/>
              </w:rPr>
              <w:t>Estonia</w:t>
            </w:r>
          </w:p>
        </w:tc>
      </w:tr>
      <w:tr w:rsidR="007C27D8" w:rsidRPr="007C27D8" w14:paraId="5BEFB10E" w14:textId="77777777" w:rsidTr="007617D7">
        <w:tc>
          <w:tcPr>
            <w:tcW w:w="715" w:type="dxa"/>
          </w:tcPr>
          <w:p w14:paraId="462F3BF6" w14:textId="34173738" w:rsidR="007C27D8" w:rsidRPr="007617D7" w:rsidRDefault="007C27D8" w:rsidP="00D57BD0">
            <w:pPr>
              <w:jc w:val="both"/>
              <w:rPr>
                <w:rFonts w:cs="Times New Roman"/>
                <w:color w:val="000000"/>
                <w:sz w:val="20"/>
                <w:szCs w:val="20"/>
              </w:rPr>
            </w:pPr>
            <w:r w:rsidRPr="007617D7">
              <w:rPr>
                <w:rFonts w:cs="Times New Roman"/>
                <w:color w:val="000000"/>
                <w:sz w:val="20"/>
                <w:szCs w:val="20"/>
              </w:rPr>
              <w:t>26</w:t>
            </w:r>
          </w:p>
        </w:tc>
        <w:tc>
          <w:tcPr>
            <w:tcW w:w="2160" w:type="dxa"/>
          </w:tcPr>
          <w:p w14:paraId="1D1C2622" w14:textId="07F12A97" w:rsidR="007C27D8" w:rsidRPr="007617D7" w:rsidRDefault="007C27D8" w:rsidP="00D57BD0">
            <w:pPr>
              <w:jc w:val="both"/>
              <w:rPr>
                <w:rFonts w:cs="Times New Roman"/>
                <w:color w:val="000000"/>
                <w:sz w:val="20"/>
                <w:szCs w:val="20"/>
              </w:rPr>
            </w:pPr>
            <w:r w:rsidRPr="007617D7">
              <w:rPr>
                <w:rFonts w:cs="Times New Roman"/>
                <w:color w:val="000000"/>
                <w:sz w:val="20"/>
                <w:szCs w:val="20"/>
              </w:rPr>
              <w:t>Lithuania</w:t>
            </w:r>
          </w:p>
        </w:tc>
      </w:tr>
      <w:tr w:rsidR="007C27D8" w:rsidRPr="007C27D8" w14:paraId="0A2DFB9A" w14:textId="77777777" w:rsidTr="007617D7">
        <w:tc>
          <w:tcPr>
            <w:tcW w:w="715" w:type="dxa"/>
          </w:tcPr>
          <w:p w14:paraId="15684399" w14:textId="52AC3918" w:rsidR="007C27D8" w:rsidRPr="007617D7" w:rsidRDefault="007C27D8" w:rsidP="00D57BD0">
            <w:pPr>
              <w:jc w:val="both"/>
              <w:rPr>
                <w:rFonts w:cs="Times New Roman"/>
                <w:b/>
                <w:color w:val="FF0000"/>
                <w:sz w:val="20"/>
                <w:szCs w:val="20"/>
              </w:rPr>
            </w:pPr>
            <w:r w:rsidRPr="007617D7">
              <w:rPr>
                <w:rFonts w:cs="Times New Roman"/>
                <w:b/>
                <w:color w:val="FF0000"/>
                <w:sz w:val="20"/>
                <w:szCs w:val="20"/>
              </w:rPr>
              <w:t>26</w:t>
            </w:r>
          </w:p>
        </w:tc>
        <w:tc>
          <w:tcPr>
            <w:tcW w:w="2160" w:type="dxa"/>
          </w:tcPr>
          <w:p w14:paraId="5BF6126E" w14:textId="628E66B5" w:rsidR="007C27D8" w:rsidRPr="007617D7" w:rsidRDefault="007C27D8" w:rsidP="00D57BD0">
            <w:pPr>
              <w:jc w:val="both"/>
              <w:rPr>
                <w:rFonts w:cs="Times New Roman"/>
                <w:b/>
                <w:color w:val="FF0000"/>
                <w:sz w:val="20"/>
                <w:szCs w:val="20"/>
              </w:rPr>
            </w:pPr>
            <w:r w:rsidRPr="007617D7">
              <w:rPr>
                <w:rFonts w:cs="Times New Roman"/>
                <w:b/>
                <w:color w:val="FF0000"/>
                <w:sz w:val="20"/>
                <w:szCs w:val="20"/>
              </w:rPr>
              <w:t>Moldova</w:t>
            </w:r>
          </w:p>
        </w:tc>
      </w:tr>
      <w:tr w:rsidR="007C27D8" w:rsidRPr="007C27D8" w14:paraId="3979FDD5" w14:textId="77777777" w:rsidTr="00200C3D">
        <w:trPr>
          <w:trHeight w:val="152"/>
        </w:trPr>
        <w:tc>
          <w:tcPr>
            <w:tcW w:w="715" w:type="dxa"/>
          </w:tcPr>
          <w:p w14:paraId="2119FD2B" w14:textId="0C07293D" w:rsidR="007C27D8" w:rsidRPr="007617D7" w:rsidRDefault="007C27D8" w:rsidP="00D57BD0">
            <w:pPr>
              <w:jc w:val="both"/>
              <w:rPr>
                <w:rFonts w:cs="Times New Roman"/>
                <w:color w:val="000000"/>
                <w:sz w:val="20"/>
                <w:szCs w:val="20"/>
              </w:rPr>
            </w:pPr>
            <w:r w:rsidRPr="007617D7">
              <w:rPr>
                <w:rFonts w:cs="Times New Roman"/>
                <w:color w:val="000000"/>
                <w:sz w:val="20"/>
                <w:szCs w:val="20"/>
              </w:rPr>
              <w:t>30</w:t>
            </w:r>
          </w:p>
        </w:tc>
        <w:tc>
          <w:tcPr>
            <w:tcW w:w="2160" w:type="dxa"/>
          </w:tcPr>
          <w:tbl>
            <w:tblPr>
              <w:tblW w:w="1332" w:type="dxa"/>
              <w:tblLook w:val="04A0" w:firstRow="1" w:lastRow="0" w:firstColumn="1" w:lastColumn="0" w:noHBand="0" w:noVBand="1"/>
            </w:tblPr>
            <w:tblGrid>
              <w:gridCol w:w="1332"/>
            </w:tblGrid>
            <w:tr w:rsidR="007C27D8" w:rsidRPr="007C27D8" w14:paraId="226AF1EA" w14:textId="77777777" w:rsidTr="007617D7">
              <w:trPr>
                <w:trHeight w:val="300"/>
              </w:trPr>
              <w:tc>
                <w:tcPr>
                  <w:tcW w:w="1332" w:type="dxa"/>
                  <w:tcBorders>
                    <w:top w:val="nil"/>
                    <w:left w:val="nil"/>
                    <w:bottom w:val="nil"/>
                    <w:right w:val="nil"/>
                  </w:tcBorders>
                  <w:shd w:val="clear" w:color="auto" w:fill="auto"/>
                  <w:noWrap/>
                  <w:vAlign w:val="bottom"/>
                  <w:hideMark/>
                </w:tcPr>
                <w:p w14:paraId="414F833F" w14:textId="4E3303F8" w:rsidR="007C27D8" w:rsidRPr="007617D7" w:rsidRDefault="007C27D8" w:rsidP="00932A19">
                  <w:pPr>
                    <w:spacing w:after="0" w:line="240" w:lineRule="auto"/>
                    <w:ind w:left="-126"/>
                    <w:rPr>
                      <w:rFonts w:ascii="Calibri" w:eastAsia="Times New Roman" w:hAnsi="Calibri" w:cs="Times New Roman"/>
                      <w:color w:val="000000"/>
                      <w:sz w:val="20"/>
                      <w:szCs w:val="20"/>
                    </w:rPr>
                  </w:pPr>
                  <w:r w:rsidRPr="007617D7">
                    <w:rPr>
                      <w:rFonts w:ascii="Calibri" w:eastAsia="Times New Roman" w:hAnsi="Calibri" w:cs="Times New Roman"/>
                      <w:color w:val="000000"/>
                      <w:sz w:val="20"/>
                      <w:szCs w:val="20"/>
                    </w:rPr>
                    <w:t>Belarus</w:t>
                  </w:r>
                </w:p>
              </w:tc>
            </w:tr>
          </w:tbl>
          <w:p w14:paraId="7D121343" w14:textId="77777777" w:rsidR="007C27D8" w:rsidRPr="007617D7" w:rsidRDefault="007C27D8" w:rsidP="00D57BD0">
            <w:pPr>
              <w:jc w:val="both"/>
              <w:rPr>
                <w:rFonts w:cs="Times New Roman"/>
                <w:color w:val="000000"/>
                <w:sz w:val="20"/>
                <w:szCs w:val="20"/>
              </w:rPr>
            </w:pPr>
          </w:p>
        </w:tc>
      </w:tr>
      <w:tr w:rsidR="007C27D8" w:rsidRPr="007C27D8" w14:paraId="5EFE5675" w14:textId="77777777" w:rsidTr="007617D7">
        <w:tc>
          <w:tcPr>
            <w:tcW w:w="715" w:type="dxa"/>
          </w:tcPr>
          <w:p w14:paraId="180B9E09" w14:textId="09C5C9D4" w:rsidR="007C27D8" w:rsidRPr="007617D7" w:rsidRDefault="007C27D8" w:rsidP="00D57BD0">
            <w:pPr>
              <w:jc w:val="both"/>
              <w:rPr>
                <w:rFonts w:cs="Times New Roman"/>
                <w:color w:val="000000"/>
                <w:sz w:val="20"/>
                <w:szCs w:val="20"/>
              </w:rPr>
            </w:pPr>
            <w:r w:rsidRPr="007617D7">
              <w:rPr>
                <w:rFonts w:cs="Times New Roman"/>
                <w:color w:val="000000"/>
                <w:sz w:val="20"/>
                <w:szCs w:val="20"/>
              </w:rPr>
              <w:t>38</w:t>
            </w:r>
          </w:p>
        </w:tc>
        <w:tc>
          <w:tcPr>
            <w:tcW w:w="2160" w:type="dxa"/>
          </w:tcPr>
          <w:p w14:paraId="10BA87F4" w14:textId="3C362390" w:rsidR="007C27D8" w:rsidRPr="007617D7" w:rsidRDefault="007C27D8" w:rsidP="00D57BD0">
            <w:pPr>
              <w:jc w:val="both"/>
              <w:rPr>
                <w:rFonts w:cs="Times New Roman"/>
                <w:color w:val="000000"/>
                <w:sz w:val="20"/>
                <w:szCs w:val="20"/>
              </w:rPr>
            </w:pPr>
            <w:r w:rsidRPr="007617D7">
              <w:rPr>
                <w:rFonts w:cs="Times New Roman"/>
                <w:color w:val="000000"/>
                <w:sz w:val="20"/>
                <w:szCs w:val="20"/>
              </w:rPr>
              <w:t>Poland</w:t>
            </w:r>
          </w:p>
        </w:tc>
      </w:tr>
      <w:tr w:rsidR="007C27D8" w:rsidRPr="007C27D8" w14:paraId="3FE4EB0F" w14:textId="77777777" w:rsidTr="007617D7">
        <w:tc>
          <w:tcPr>
            <w:tcW w:w="715" w:type="dxa"/>
          </w:tcPr>
          <w:p w14:paraId="5E47B6E5" w14:textId="03DC7421" w:rsidR="007C27D8" w:rsidRPr="007617D7" w:rsidRDefault="007C27D8" w:rsidP="00D57BD0">
            <w:pPr>
              <w:jc w:val="both"/>
              <w:rPr>
                <w:rFonts w:cs="Times New Roman"/>
                <w:color w:val="000000"/>
                <w:sz w:val="20"/>
                <w:szCs w:val="20"/>
              </w:rPr>
            </w:pPr>
            <w:r w:rsidRPr="007617D7">
              <w:rPr>
                <w:rFonts w:cs="Times New Roman"/>
                <w:color w:val="000000"/>
                <w:sz w:val="20"/>
                <w:szCs w:val="20"/>
              </w:rPr>
              <w:t>41</w:t>
            </w:r>
          </w:p>
        </w:tc>
        <w:tc>
          <w:tcPr>
            <w:tcW w:w="2160" w:type="dxa"/>
          </w:tcPr>
          <w:p w14:paraId="00405AB8" w14:textId="03FF193E" w:rsidR="007C27D8" w:rsidRPr="007617D7" w:rsidRDefault="007C27D8" w:rsidP="00D57BD0">
            <w:pPr>
              <w:jc w:val="both"/>
              <w:rPr>
                <w:rFonts w:cs="Times New Roman"/>
                <w:color w:val="000000"/>
                <w:sz w:val="20"/>
                <w:szCs w:val="20"/>
              </w:rPr>
            </w:pPr>
            <w:r w:rsidRPr="007617D7">
              <w:rPr>
                <w:rFonts w:cs="Times New Roman"/>
                <w:color w:val="000000"/>
                <w:sz w:val="20"/>
                <w:szCs w:val="20"/>
              </w:rPr>
              <w:t>Bulgaria</w:t>
            </w:r>
          </w:p>
        </w:tc>
      </w:tr>
      <w:tr w:rsidR="007C27D8" w:rsidRPr="007C27D8" w14:paraId="25265397" w14:textId="77777777" w:rsidTr="007C27D8">
        <w:tc>
          <w:tcPr>
            <w:tcW w:w="715" w:type="dxa"/>
          </w:tcPr>
          <w:p w14:paraId="42140BC5" w14:textId="7C18F8FD" w:rsidR="007C27D8" w:rsidRPr="007617D7" w:rsidRDefault="007C27D8" w:rsidP="00D57BD0">
            <w:pPr>
              <w:jc w:val="both"/>
              <w:rPr>
                <w:rFonts w:cs="Times New Roman"/>
                <w:color w:val="000000"/>
                <w:sz w:val="20"/>
                <w:szCs w:val="20"/>
              </w:rPr>
            </w:pPr>
            <w:r w:rsidRPr="007617D7">
              <w:rPr>
                <w:rFonts w:cs="Times New Roman"/>
                <w:color w:val="000000"/>
                <w:sz w:val="20"/>
                <w:szCs w:val="20"/>
              </w:rPr>
              <w:t>48</w:t>
            </w:r>
          </w:p>
        </w:tc>
        <w:tc>
          <w:tcPr>
            <w:tcW w:w="2160" w:type="dxa"/>
          </w:tcPr>
          <w:p w14:paraId="161455A5" w14:textId="6C780F66" w:rsidR="007C27D8" w:rsidRPr="007617D7" w:rsidRDefault="007C27D8" w:rsidP="00D57BD0">
            <w:pPr>
              <w:jc w:val="both"/>
              <w:rPr>
                <w:rFonts w:cs="Times New Roman"/>
                <w:color w:val="000000"/>
                <w:sz w:val="20"/>
                <w:szCs w:val="20"/>
              </w:rPr>
            </w:pPr>
            <w:r w:rsidRPr="007617D7">
              <w:rPr>
                <w:rFonts w:cs="Times New Roman"/>
                <w:color w:val="000000"/>
                <w:sz w:val="20"/>
                <w:szCs w:val="20"/>
              </w:rPr>
              <w:t>Serbia</w:t>
            </w:r>
          </w:p>
        </w:tc>
      </w:tr>
      <w:tr w:rsidR="007C27D8" w:rsidRPr="007C27D8" w14:paraId="06F2F9AF" w14:textId="77777777" w:rsidTr="007C27D8">
        <w:tc>
          <w:tcPr>
            <w:tcW w:w="715" w:type="dxa"/>
          </w:tcPr>
          <w:p w14:paraId="4A61879E" w14:textId="6514F466" w:rsidR="007C27D8" w:rsidRPr="007617D7" w:rsidRDefault="007C27D8" w:rsidP="00D57BD0">
            <w:pPr>
              <w:jc w:val="both"/>
              <w:rPr>
                <w:rFonts w:cs="Times New Roman"/>
                <w:color w:val="000000"/>
                <w:sz w:val="20"/>
                <w:szCs w:val="20"/>
              </w:rPr>
            </w:pPr>
            <w:r w:rsidRPr="007617D7">
              <w:rPr>
                <w:rFonts w:cs="Times New Roman"/>
                <w:color w:val="000000"/>
                <w:sz w:val="20"/>
                <w:szCs w:val="20"/>
              </w:rPr>
              <w:t>51</w:t>
            </w:r>
          </w:p>
        </w:tc>
        <w:tc>
          <w:tcPr>
            <w:tcW w:w="2160" w:type="dxa"/>
          </w:tcPr>
          <w:p w14:paraId="1A9CA858" w14:textId="54F3BEE1" w:rsidR="007C27D8" w:rsidRPr="007617D7" w:rsidRDefault="007C27D8" w:rsidP="00D57BD0">
            <w:pPr>
              <w:jc w:val="both"/>
              <w:rPr>
                <w:rFonts w:cs="Times New Roman"/>
                <w:color w:val="000000"/>
                <w:sz w:val="20"/>
                <w:szCs w:val="20"/>
              </w:rPr>
            </w:pPr>
            <w:r w:rsidRPr="007617D7">
              <w:rPr>
                <w:rFonts w:cs="Times New Roman"/>
                <w:color w:val="000000"/>
                <w:sz w:val="20"/>
                <w:szCs w:val="20"/>
              </w:rPr>
              <w:t>Kazakhstan</w:t>
            </w:r>
          </w:p>
        </w:tc>
      </w:tr>
      <w:tr w:rsidR="007C27D8" w:rsidRPr="007C27D8" w14:paraId="1A766B5B" w14:textId="77777777" w:rsidTr="007C27D8">
        <w:tc>
          <w:tcPr>
            <w:tcW w:w="715" w:type="dxa"/>
          </w:tcPr>
          <w:p w14:paraId="32616D84" w14:textId="6FF0DBDF" w:rsidR="007C27D8" w:rsidRPr="007617D7" w:rsidRDefault="007C27D8" w:rsidP="00D57BD0">
            <w:pPr>
              <w:jc w:val="both"/>
              <w:rPr>
                <w:rFonts w:cs="Times New Roman"/>
                <w:color w:val="000000"/>
                <w:sz w:val="20"/>
                <w:szCs w:val="20"/>
              </w:rPr>
            </w:pPr>
            <w:r w:rsidRPr="007617D7">
              <w:rPr>
                <w:rFonts w:cs="Times New Roman"/>
                <w:color w:val="000000"/>
                <w:sz w:val="20"/>
                <w:szCs w:val="20"/>
              </w:rPr>
              <w:t>62</w:t>
            </w:r>
          </w:p>
        </w:tc>
        <w:tc>
          <w:tcPr>
            <w:tcW w:w="2160" w:type="dxa"/>
          </w:tcPr>
          <w:p w14:paraId="5EB32A9B" w14:textId="25EE9D46" w:rsidR="007C27D8" w:rsidRPr="007617D7" w:rsidRDefault="007C27D8" w:rsidP="00D57BD0">
            <w:pPr>
              <w:jc w:val="both"/>
              <w:rPr>
                <w:rFonts w:cs="Times New Roman"/>
                <w:color w:val="000000"/>
                <w:sz w:val="20"/>
                <w:szCs w:val="20"/>
              </w:rPr>
            </w:pPr>
            <w:r w:rsidRPr="007617D7">
              <w:rPr>
                <w:rFonts w:cs="Times New Roman"/>
                <w:color w:val="000000"/>
                <w:sz w:val="20"/>
                <w:szCs w:val="20"/>
              </w:rPr>
              <w:t>Albania</w:t>
            </w:r>
          </w:p>
        </w:tc>
      </w:tr>
      <w:tr w:rsidR="007C27D8" w:rsidRPr="007C27D8" w14:paraId="010D94B6" w14:textId="77777777" w:rsidTr="007C27D8">
        <w:tc>
          <w:tcPr>
            <w:tcW w:w="715" w:type="dxa"/>
          </w:tcPr>
          <w:p w14:paraId="3C7943BA" w14:textId="478535E8" w:rsidR="007C27D8" w:rsidRPr="007617D7" w:rsidRDefault="007C27D8" w:rsidP="00D57BD0">
            <w:pPr>
              <w:jc w:val="both"/>
              <w:rPr>
                <w:rFonts w:cs="Times New Roman"/>
                <w:color w:val="000000"/>
                <w:sz w:val="20"/>
                <w:szCs w:val="20"/>
              </w:rPr>
            </w:pPr>
            <w:r w:rsidRPr="007617D7">
              <w:rPr>
                <w:rFonts w:cs="Times New Roman"/>
                <w:color w:val="000000"/>
                <w:sz w:val="20"/>
                <w:szCs w:val="20"/>
              </w:rPr>
              <w:t>68</w:t>
            </w:r>
          </w:p>
        </w:tc>
        <w:tc>
          <w:tcPr>
            <w:tcW w:w="2160" w:type="dxa"/>
          </w:tcPr>
          <w:p w14:paraId="13280326" w14:textId="77969935" w:rsidR="007C27D8" w:rsidRPr="007617D7" w:rsidRDefault="007C27D8" w:rsidP="00D57BD0">
            <w:pPr>
              <w:jc w:val="both"/>
              <w:rPr>
                <w:rFonts w:cs="Times New Roman"/>
                <w:color w:val="000000"/>
                <w:sz w:val="20"/>
                <w:szCs w:val="20"/>
              </w:rPr>
            </w:pPr>
            <w:r w:rsidRPr="007617D7">
              <w:rPr>
                <w:rFonts w:cs="Times New Roman"/>
                <w:color w:val="000000"/>
                <w:sz w:val="20"/>
                <w:szCs w:val="20"/>
              </w:rPr>
              <w:t>Croatia</w:t>
            </w:r>
          </w:p>
        </w:tc>
      </w:tr>
      <w:tr w:rsidR="007C27D8" w:rsidRPr="007C27D8" w14:paraId="670F169B" w14:textId="77777777" w:rsidTr="007C27D8">
        <w:tc>
          <w:tcPr>
            <w:tcW w:w="715" w:type="dxa"/>
          </w:tcPr>
          <w:p w14:paraId="010EBDAC" w14:textId="6108D0ED" w:rsidR="007C27D8" w:rsidRPr="007617D7" w:rsidRDefault="00E470D1" w:rsidP="00D57BD0">
            <w:pPr>
              <w:jc w:val="both"/>
              <w:rPr>
                <w:rFonts w:cs="Times New Roman"/>
                <w:color w:val="000000"/>
                <w:sz w:val="20"/>
                <w:szCs w:val="20"/>
              </w:rPr>
            </w:pPr>
            <w:r>
              <w:rPr>
                <w:rFonts w:cs="Times New Roman"/>
                <w:color w:val="000000"/>
                <w:sz w:val="20"/>
                <w:szCs w:val="20"/>
              </w:rPr>
              <w:t>73</w:t>
            </w:r>
          </w:p>
        </w:tc>
        <w:tc>
          <w:tcPr>
            <w:tcW w:w="2160" w:type="dxa"/>
          </w:tcPr>
          <w:p w14:paraId="2D8F21C4" w14:textId="67807E96" w:rsidR="007C27D8" w:rsidRPr="007617D7" w:rsidRDefault="007C27D8" w:rsidP="00D57BD0">
            <w:pPr>
              <w:jc w:val="both"/>
              <w:rPr>
                <w:rFonts w:cs="Times New Roman"/>
                <w:color w:val="000000"/>
                <w:sz w:val="20"/>
                <w:szCs w:val="20"/>
              </w:rPr>
            </w:pPr>
            <w:r w:rsidRPr="007617D7">
              <w:rPr>
                <w:rFonts w:cs="Times New Roman"/>
                <w:color w:val="000000"/>
                <w:sz w:val="20"/>
                <w:szCs w:val="20"/>
              </w:rPr>
              <w:t>Macedonia</w:t>
            </w:r>
          </w:p>
        </w:tc>
      </w:tr>
      <w:tr w:rsidR="007C27D8" w:rsidRPr="007C27D8" w14:paraId="64C30862" w14:textId="77777777" w:rsidTr="007C27D8">
        <w:tc>
          <w:tcPr>
            <w:tcW w:w="715" w:type="dxa"/>
          </w:tcPr>
          <w:p w14:paraId="48E324EB" w14:textId="2A43F4E8" w:rsidR="007C27D8" w:rsidRPr="007617D7" w:rsidRDefault="00E470D1" w:rsidP="00D57BD0">
            <w:pPr>
              <w:jc w:val="both"/>
              <w:rPr>
                <w:rFonts w:cs="Times New Roman"/>
                <w:color w:val="000000"/>
                <w:sz w:val="20"/>
                <w:szCs w:val="20"/>
              </w:rPr>
            </w:pPr>
            <w:r>
              <w:rPr>
                <w:rFonts w:cs="Times New Roman"/>
                <w:color w:val="000000"/>
                <w:sz w:val="20"/>
                <w:szCs w:val="20"/>
              </w:rPr>
              <w:t>75</w:t>
            </w:r>
          </w:p>
        </w:tc>
        <w:tc>
          <w:tcPr>
            <w:tcW w:w="2160" w:type="dxa"/>
          </w:tcPr>
          <w:p w14:paraId="4D0C1D0B" w14:textId="5C71D0F5" w:rsidR="007C27D8" w:rsidRPr="007617D7" w:rsidRDefault="007C27D8" w:rsidP="00D57BD0">
            <w:pPr>
              <w:jc w:val="both"/>
              <w:rPr>
                <w:rFonts w:cs="Times New Roman"/>
                <w:color w:val="000000"/>
                <w:sz w:val="20"/>
                <w:szCs w:val="20"/>
              </w:rPr>
            </w:pPr>
            <w:r w:rsidRPr="007617D7">
              <w:rPr>
                <w:rFonts w:cs="Times New Roman"/>
                <w:color w:val="000000"/>
                <w:sz w:val="20"/>
                <w:szCs w:val="20"/>
              </w:rPr>
              <w:t>Russian Federation</w:t>
            </w:r>
          </w:p>
        </w:tc>
      </w:tr>
      <w:tr w:rsidR="007C27D8" w:rsidRPr="007C27D8" w14:paraId="2534E363" w14:textId="77777777" w:rsidTr="007C27D8">
        <w:tc>
          <w:tcPr>
            <w:tcW w:w="715" w:type="dxa"/>
          </w:tcPr>
          <w:p w14:paraId="05EC98E3" w14:textId="0C1735D6" w:rsidR="007C27D8" w:rsidRPr="007617D7" w:rsidRDefault="00E470D1" w:rsidP="00D57BD0">
            <w:pPr>
              <w:jc w:val="both"/>
              <w:rPr>
                <w:rFonts w:cs="Times New Roman"/>
                <w:color w:val="000000"/>
                <w:sz w:val="20"/>
                <w:szCs w:val="20"/>
              </w:rPr>
            </w:pPr>
            <w:r>
              <w:rPr>
                <w:rFonts w:cs="Times New Roman"/>
                <w:color w:val="000000"/>
                <w:sz w:val="20"/>
                <w:szCs w:val="20"/>
              </w:rPr>
              <w:t>76</w:t>
            </w:r>
          </w:p>
        </w:tc>
        <w:tc>
          <w:tcPr>
            <w:tcW w:w="2160" w:type="dxa"/>
          </w:tcPr>
          <w:p w14:paraId="60B1EF44" w14:textId="2310F6B9" w:rsidR="007C27D8" w:rsidRPr="007617D7" w:rsidRDefault="007C27D8" w:rsidP="00D57BD0">
            <w:pPr>
              <w:jc w:val="both"/>
              <w:rPr>
                <w:rFonts w:cs="Times New Roman"/>
                <w:color w:val="000000"/>
                <w:sz w:val="20"/>
                <w:szCs w:val="20"/>
              </w:rPr>
            </w:pPr>
            <w:r w:rsidRPr="007617D7">
              <w:rPr>
                <w:rFonts w:cs="Times New Roman"/>
                <w:color w:val="000000"/>
                <w:sz w:val="20"/>
                <w:szCs w:val="20"/>
              </w:rPr>
              <w:t>Romania</w:t>
            </w:r>
          </w:p>
        </w:tc>
      </w:tr>
      <w:tr w:rsidR="007C27D8" w:rsidRPr="007C27D8" w14:paraId="7C1B9734" w14:textId="77777777" w:rsidTr="007C27D8">
        <w:tc>
          <w:tcPr>
            <w:tcW w:w="715" w:type="dxa"/>
          </w:tcPr>
          <w:p w14:paraId="79042514" w14:textId="71790624" w:rsidR="007C27D8" w:rsidRPr="007617D7" w:rsidRDefault="00E470D1" w:rsidP="00D57BD0">
            <w:pPr>
              <w:jc w:val="both"/>
              <w:rPr>
                <w:rFonts w:cs="Times New Roman"/>
                <w:color w:val="000000"/>
                <w:sz w:val="20"/>
                <w:szCs w:val="20"/>
              </w:rPr>
            </w:pPr>
            <w:r>
              <w:rPr>
                <w:rFonts w:cs="Times New Roman"/>
                <w:color w:val="000000"/>
                <w:sz w:val="20"/>
                <w:szCs w:val="20"/>
              </w:rPr>
              <w:t>77</w:t>
            </w:r>
          </w:p>
        </w:tc>
        <w:tc>
          <w:tcPr>
            <w:tcW w:w="2160" w:type="dxa"/>
          </w:tcPr>
          <w:p w14:paraId="2F0F617C" w14:textId="5CD5EC8D" w:rsidR="007C27D8" w:rsidRPr="007617D7" w:rsidRDefault="007C27D8" w:rsidP="00D57BD0">
            <w:pPr>
              <w:jc w:val="both"/>
              <w:rPr>
                <w:rFonts w:cs="Times New Roman"/>
                <w:color w:val="000000"/>
                <w:sz w:val="20"/>
                <w:szCs w:val="20"/>
              </w:rPr>
            </w:pPr>
            <w:r w:rsidRPr="007617D7">
              <w:rPr>
                <w:rFonts w:cs="Times New Roman"/>
                <w:color w:val="000000"/>
                <w:sz w:val="20"/>
                <w:szCs w:val="20"/>
              </w:rPr>
              <w:t>Czech Republic</w:t>
            </w:r>
          </w:p>
        </w:tc>
      </w:tr>
      <w:tr w:rsidR="007C27D8" w:rsidRPr="007C27D8" w14:paraId="22D936D0" w14:textId="77777777" w:rsidTr="007C27D8">
        <w:tc>
          <w:tcPr>
            <w:tcW w:w="715" w:type="dxa"/>
          </w:tcPr>
          <w:p w14:paraId="498498D5" w14:textId="4AED8425" w:rsidR="007C27D8" w:rsidRPr="007617D7" w:rsidRDefault="00E470D1" w:rsidP="00D57BD0">
            <w:pPr>
              <w:jc w:val="both"/>
              <w:rPr>
                <w:rFonts w:cs="Times New Roman"/>
                <w:color w:val="000000"/>
                <w:sz w:val="20"/>
                <w:szCs w:val="20"/>
              </w:rPr>
            </w:pPr>
            <w:r>
              <w:rPr>
                <w:rFonts w:cs="Times New Roman"/>
                <w:color w:val="000000"/>
                <w:sz w:val="20"/>
                <w:szCs w:val="20"/>
              </w:rPr>
              <w:t>81</w:t>
            </w:r>
          </w:p>
        </w:tc>
        <w:tc>
          <w:tcPr>
            <w:tcW w:w="2160" w:type="dxa"/>
          </w:tcPr>
          <w:p w14:paraId="7EE7EF6D" w14:textId="50122814" w:rsidR="007C27D8" w:rsidRPr="007617D7" w:rsidRDefault="007C27D8" w:rsidP="00D57BD0">
            <w:pPr>
              <w:jc w:val="both"/>
              <w:rPr>
                <w:rFonts w:cs="Times New Roman"/>
                <w:color w:val="000000"/>
                <w:sz w:val="20"/>
                <w:szCs w:val="20"/>
              </w:rPr>
            </w:pPr>
            <w:r>
              <w:rPr>
                <w:rFonts w:cs="Times New Roman"/>
                <w:color w:val="000000"/>
                <w:sz w:val="20"/>
                <w:szCs w:val="20"/>
              </w:rPr>
              <w:t>Kyrgyz Republic</w:t>
            </w:r>
          </w:p>
        </w:tc>
      </w:tr>
      <w:tr w:rsidR="007C27D8" w:rsidRPr="007C27D8" w14:paraId="2E8D994E" w14:textId="77777777" w:rsidTr="007C27D8">
        <w:tc>
          <w:tcPr>
            <w:tcW w:w="715" w:type="dxa"/>
          </w:tcPr>
          <w:p w14:paraId="02189A1D" w14:textId="14F35D08" w:rsidR="007C27D8" w:rsidRPr="007617D7" w:rsidRDefault="00E470D1" w:rsidP="00D57BD0">
            <w:pPr>
              <w:jc w:val="both"/>
              <w:rPr>
                <w:rFonts w:cs="Times New Roman"/>
                <w:color w:val="000000"/>
                <w:sz w:val="20"/>
                <w:szCs w:val="20"/>
              </w:rPr>
            </w:pPr>
            <w:r>
              <w:rPr>
                <w:rFonts w:cs="Times New Roman"/>
                <w:color w:val="000000"/>
                <w:sz w:val="20"/>
                <w:szCs w:val="20"/>
              </w:rPr>
              <w:t>83</w:t>
            </w:r>
          </w:p>
        </w:tc>
        <w:tc>
          <w:tcPr>
            <w:tcW w:w="2160" w:type="dxa"/>
          </w:tcPr>
          <w:p w14:paraId="04DD0821" w14:textId="0ABB28B1" w:rsidR="007C27D8" w:rsidRPr="007617D7" w:rsidRDefault="007C27D8" w:rsidP="00D57BD0">
            <w:pPr>
              <w:jc w:val="both"/>
              <w:rPr>
                <w:rFonts w:cs="Times New Roman"/>
                <w:color w:val="000000"/>
                <w:sz w:val="20"/>
                <w:szCs w:val="20"/>
              </w:rPr>
            </w:pPr>
            <w:r>
              <w:rPr>
                <w:rFonts w:cs="Times New Roman"/>
                <w:color w:val="000000"/>
                <w:sz w:val="20"/>
                <w:szCs w:val="20"/>
              </w:rPr>
              <w:t>Bosnia</w:t>
            </w:r>
          </w:p>
        </w:tc>
      </w:tr>
      <w:tr w:rsidR="007C27D8" w:rsidRPr="007C27D8" w14:paraId="3C4D0225" w14:textId="77777777" w:rsidTr="007C27D8">
        <w:tc>
          <w:tcPr>
            <w:tcW w:w="715" w:type="dxa"/>
          </w:tcPr>
          <w:p w14:paraId="093F2277" w14:textId="09DF92A1" w:rsidR="007C27D8" w:rsidRPr="007617D7" w:rsidRDefault="00E470D1" w:rsidP="00D57BD0">
            <w:pPr>
              <w:jc w:val="both"/>
              <w:rPr>
                <w:rFonts w:cs="Times New Roman"/>
                <w:color w:val="000000"/>
                <w:sz w:val="20"/>
                <w:szCs w:val="20"/>
              </w:rPr>
            </w:pPr>
            <w:r>
              <w:rPr>
                <w:rFonts w:cs="Times New Roman"/>
                <w:color w:val="000000"/>
                <w:sz w:val="20"/>
                <w:szCs w:val="20"/>
              </w:rPr>
              <w:lastRenderedPageBreak/>
              <w:t>86</w:t>
            </w:r>
          </w:p>
        </w:tc>
        <w:tc>
          <w:tcPr>
            <w:tcW w:w="2160" w:type="dxa"/>
          </w:tcPr>
          <w:p w14:paraId="5619F15B" w14:textId="4914BB7B" w:rsidR="007C27D8" w:rsidRPr="007617D7" w:rsidRDefault="007C27D8" w:rsidP="00D57BD0">
            <w:pPr>
              <w:jc w:val="both"/>
              <w:rPr>
                <w:rFonts w:cs="Times New Roman"/>
                <w:color w:val="000000"/>
                <w:sz w:val="20"/>
                <w:szCs w:val="20"/>
              </w:rPr>
            </w:pPr>
            <w:r>
              <w:rPr>
                <w:rFonts w:cs="Times New Roman"/>
                <w:color w:val="000000"/>
                <w:sz w:val="20"/>
                <w:szCs w:val="20"/>
              </w:rPr>
              <w:t>Azerbaijan</w:t>
            </w:r>
          </w:p>
        </w:tc>
      </w:tr>
      <w:tr w:rsidR="007C27D8" w:rsidRPr="007C27D8" w14:paraId="577E7B3C" w14:textId="77777777" w:rsidTr="007C27D8">
        <w:tc>
          <w:tcPr>
            <w:tcW w:w="715" w:type="dxa"/>
          </w:tcPr>
          <w:p w14:paraId="71580B92" w14:textId="1F3330B0" w:rsidR="007C27D8" w:rsidRPr="007617D7" w:rsidRDefault="00E470D1" w:rsidP="00D57BD0">
            <w:pPr>
              <w:jc w:val="both"/>
              <w:rPr>
                <w:rFonts w:cs="Times New Roman"/>
                <w:color w:val="000000"/>
                <w:sz w:val="20"/>
                <w:szCs w:val="20"/>
              </w:rPr>
            </w:pPr>
            <w:r>
              <w:rPr>
                <w:rFonts w:cs="Times New Roman"/>
                <w:color w:val="000000"/>
                <w:sz w:val="20"/>
                <w:szCs w:val="20"/>
              </w:rPr>
              <w:t>89</w:t>
            </w:r>
          </w:p>
        </w:tc>
        <w:tc>
          <w:tcPr>
            <w:tcW w:w="2160" w:type="dxa"/>
          </w:tcPr>
          <w:p w14:paraId="59C0E0D7" w14:textId="489F37F9" w:rsidR="007C27D8" w:rsidRPr="007617D7" w:rsidRDefault="00E470D1" w:rsidP="00D57BD0">
            <w:pPr>
              <w:jc w:val="both"/>
              <w:rPr>
                <w:rFonts w:cs="Times New Roman"/>
                <w:color w:val="000000"/>
                <w:sz w:val="20"/>
                <w:szCs w:val="20"/>
              </w:rPr>
            </w:pPr>
            <w:r>
              <w:rPr>
                <w:rFonts w:cs="Times New Roman"/>
                <w:color w:val="000000"/>
                <w:sz w:val="20"/>
                <w:szCs w:val="20"/>
              </w:rPr>
              <w:t>Montenegro</w:t>
            </w:r>
          </w:p>
        </w:tc>
      </w:tr>
      <w:tr w:rsidR="007C27D8" w:rsidRPr="007C27D8" w14:paraId="30175E79" w14:textId="77777777" w:rsidTr="007C27D8">
        <w:tc>
          <w:tcPr>
            <w:tcW w:w="715" w:type="dxa"/>
          </w:tcPr>
          <w:p w14:paraId="2A4A928D" w14:textId="3760D851" w:rsidR="007C27D8" w:rsidRPr="007617D7" w:rsidRDefault="00470EEF" w:rsidP="00D57BD0">
            <w:pPr>
              <w:jc w:val="both"/>
              <w:rPr>
                <w:rFonts w:cs="Times New Roman"/>
                <w:color w:val="000000"/>
                <w:sz w:val="20"/>
                <w:szCs w:val="20"/>
              </w:rPr>
            </w:pPr>
            <w:r>
              <w:rPr>
                <w:rFonts w:cs="Times New Roman"/>
                <w:color w:val="000000"/>
                <w:sz w:val="20"/>
                <w:szCs w:val="20"/>
              </w:rPr>
              <w:t>90</w:t>
            </w:r>
          </w:p>
        </w:tc>
        <w:tc>
          <w:tcPr>
            <w:tcW w:w="2160" w:type="dxa"/>
          </w:tcPr>
          <w:p w14:paraId="09E4F854" w14:textId="04C5B2A9" w:rsidR="007C27D8" w:rsidRPr="007617D7" w:rsidRDefault="00470EEF" w:rsidP="00D57BD0">
            <w:pPr>
              <w:jc w:val="both"/>
              <w:rPr>
                <w:rFonts w:cs="Times New Roman"/>
                <w:color w:val="000000"/>
                <w:sz w:val="20"/>
                <w:szCs w:val="20"/>
              </w:rPr>
            </w:pPr>
            <w:r>
              <w:rPr>
                <w:rFonts w:cs="Times New Roman"/>
                <w:color w:val="000000"/>
                <w:sz w:val="20"/>
                <w:szCs w:val="20"/>
              </w:rPr>
              <w:t>Georgia</w:t>
            </w:r>
          </w:p>
        </w:tc>
      </w:tr>
      <w:tr w:rsidR="00470EEF" w:rsidRPr="007C27D8" w14:paraId="121B0471" w14:textId="77777777" w:rsidTr="007C27D8">
        <w:tc>
          <w:tcPr>
            <w:tcW w:w="715" w:type="dxa"/>
          </w:tcPr>
          <w:p w14:paraId="08274311" w14:textId="19577412" w:rsidR="00470EEF" w:rsidRPr="00470EEF" w:rsidRDefault="00470EEF" w:rsidP="00D57BD0">
            <w:pPr>
              <w:jc w:val="both"/>
              <w:rPr>
                <w:rFonts w:cs="Times New Roman"/>
                <w:color w:val="000000"/>
                <w:sz w:val="20"/>
                <w:szCs w:val="20"/>
              </w:rPr>
            </w:pPr>
            <w:r>
              <w:rPr>
                <w:rFonts w:cs="Times New Roman"/>
                <w:color w:val="000000"/>
                <w:sz w:val="20"/>
                <w:szCs w:val="20"/>
              </w:rPr>
              <w:t>93</w:t>
            </w:r>
          </w:p>
        </w:tc>
        <w:tc>
          <w:tcPr>
            <w:tcW w:w="2160" w:type="dxa"/>
          </w:tcPr>
          <w:p w14:paraId="65448E7B" w14:textId="2F63A39C" w:rsidR="00470EEF" w:rsidRPr="00470EEF" w:rsidRDefault="00470EEF" w:rsidP="00D57BD0">
            <w:pPr>
              <w:jc w:val="both"/>
              <w:rPr>
                <w:rFonts w:cs="Times New Roman"/>
                <w:color w:val="000000"/>
                <w:sz w:val="20"/>
                <w:szCs w:val="20"/>
              </w:rPr>
            </w:pPr>
            <w:r>
              <w:rPr>
                <w:rFonts w:cs="Times New Roman"/>
                <w:color w:val="000000"/>
                <w:sz w:val="20"/>
                <w:szCs w:val="20"/>
              </w:rPr>
              <w:t>Tajikistan</w:t>
            </w:r>
          </w:p>
        </w:tc>
      </w:tr>
      <w:tr w:rsidR="00470EEF" w:rsidRPr="007C27D8" w14:paraId="63D4CAD1" w14:textId="77777777" w:rsidTr="007C27D8">
        <w:tc>
          <w:tcPr>
            <w:tcW w:w="715" w:type="dxa"/>
          </w:tcPr>
          <w:p w14:paraId="31860AEA" w14:textId="4B0C8572" w:rsidR="00470EEF" w:rsidRPr="00470EEF" w:rsidRDefault="00470EEF" w:rsidP="00D57BD0">
            <w:pPr>
              <w:jc w:val="both"/>
              <w:rPr>
                <w:rFonts w:cs="Times New Roman"/>
                <w:color w:val="000000"/>
                <w:sz w:val="20"/>
                <w:szCs w:val="20"/>
              </w:rPr>
            </w:pPr>
            <w:r>
              <w:rPr>
                <w:rFonts w:cs="Times New Roman"/>
                <w:color w:val="000000"/>
                <w:sz w:val="20"/>
                <w:szCs w:val="20"/>
              </w:rPr>
              <w:t>94</w:t>
            </w:r>
          </w:p>
        </w:tc>
        <w:tc>
          <w:tcPr>
            <w:tcW w:w="2160" w:type="dxa"/>
          </w:tcPr>
          <w:p w14:paraId="7E5D7EC2" w14:textId="1C886394" w:rsidR="00470EEF" w:rsidRPr="00470EEF" w:rsidRDefault="00470EEF" w:rsidP="00D57BD0">
            <w:pPr>
              <w:jc w:val="both"/>
              <w:rPr>
                <w:rFonts w:cs="Times New Roman"/>
                <w:color w:val="000000"/>
                <w:sz w:val="20"/>
                <w:szCs w:val="20"/>
              </w:rPr>
            </w:pPr>
            <w:r>
              <w:rPr>
                <w:rFonts w:cs="Times New Roman"/>
                <w:color w:val="000000"/>
                <w:sz w:val="20"/>
                <w:szCs w:val="20"/>
              </w:rPr>
              <w:t>Slovak Republic</w:t>
            </w:r>
          </w:p>
        </w:tc>
      </w:tr>
      <w:tr w:rsidR="00470EEF" w:rsidRPr="007C27D8" w14:paraId="4C6E456B" w14:textId="77777777" w:rsidTr="007C27D8">
        <w:tc>
          <w:tcPr>
            <w:tcW w:w="715" w:type="dxa"/>
          </w:tcPr>
          <w:p w14:paraId="757594F4" w14:textId="6F618267" w:rsidR="00470EEF" w:rsidRPr="0074690C" w:rsidRDefault="0074690C" w:rsidP="00D57BD0">
            <w:pPr>
              <w:jc w:val="both"/>
              <w:rPr>
                <w:rFonts w:cs="Times New Roman"/>
                <w:color w:val="000000"/>
                <w:sz w:val="20"/>
                <w:szCs w:val="20"/>
              </w:rPr>
            </w:pPr>
            <w:r>
              <w:rPr>
                <w:rFonts w:cs="Times New Roman"/>
                <w:color w:val="000000"/>
                <w:sz w:val="20"/>
                <w:szCs w:val="20"/>
              </w:rPr>
              <w:t>101</w:t>
            </w:r>
          </w:p>
        </w:tc>
        <w:tc>
          <w:tcPr>
            <w:tcW w:w="2160" w:type="dxa"/>
          </w:tcPr>
          <w:p w14:paraId="3AE05D76" w14:textId="3F9EEDF4" w:rsidR="00470EEF" w:rsidRPr="0074690C" w:rsidRDefault="0074690C" w:rsidP="00D57BD0">
            <w:pPr>
              <w:jc w:val="both"/>
              <w:rPr>
                <w:rFonts w:cs="Times New Roman"/>
                <w:color w:val="000000"/>
                <w:sz w:val="20"/>
                <w:szCs w:val="20"/>
              </w:rPr>
            </w:pPr>
            <w:r>
              <w:rPr>
                <w:rFonts w:cs="Times New Roman"/>
                <w:color w:val="000000"/>
                <w:sz w:val="20"/>
                <w:szCs w:val="20"/>
              </w:rPr>
              <w:t>Hungary</w:t>
            </w:r>
          </w:p>
        </w:tc>
      </w:tr>
      <w:tr w:rsidR="00470EEF" w:rsidRPr="007C27D8" w14:paraId="3B75DAE2" w14:textId="77777777" w:rsidTr="007C27D8">
        <w:tc>
          <w:tcPr>
            <w:tcW w:w="715" w:type="dxa"/>
          </w:tcPr>
          <w:p w14:paraId="3D69F3A3" w14:textId="0AD499BD" w:rsidR="00470EEF" w:rsidRPr="0074690C" w:rsidRDefault="0074690C" w:rsidP="00D57BD0">
            <w:pPr>
              <w:jc w:val="both"/>
              <w:rPr>
                <w:rFonts w:cs="Times New Roman"/>
                <w:color w:val="000000"/>
                <w:sz w:val="20"/>
                <w:szCs w:val="20"/>
              </w:rPr>
            </w:pPr>
            <w:r>
              <w:rPr>
                <w:rFonts w:cs="Times New Roman"/>
                <w:color w:val="000000"/>
                <w:sz w:val="20"/>
                <w:szCs w:val="20"/>
              </w:rPr>
              <w:t>102</w:t>
            </w:r>
          </w:p>
        </w:tc>
        <w:tc>
          <w:tcPr>
            <w:tcW w:w="2160" w:type="dxa"/>
          </w:tcPr>
          <w:p w14:paraId="24B47EEC" w14:textId="4F1B8F9E" w:rsidR="00470EEF" w:rsidRPr="0074690C" w:rsidRDefault="0074690C" w:rsidP="00D57BD0">
            <w:pPr>
              <w:jc w:val="both"/>
              <w:rPr>
                <w:rFonts w:cs="Times New Roman"/>
                <w:color w:val="000000"/>
                <w:sz w:val="20"/>
                <w:szCs w:val="20"/>
              </w:rPr>
            </w:pPr>
            <w:r>
              <w:rPr>
                <w:rFonts w:cs="Times New Roman"/>
                <w:color w:val="000000"/>
                <w:sz w:val="20"/>
                <w:szCs w:val="20"/>
              </w:rPr>
              <w:t>Armenia</w:t>
            </w:r>
          </w:p>
        </w:tc>
      </w:tr>
      <w:tr w:rsidR="00470EEF" w:rsidRPr="007C27D8" w14:paraId="1AB9F998" w14:textId="77777777" w:rsidTr="007C27D8">
        <w:tc>
          <w:tcPr>
            <w:tcW w:w="715" w:type="dxa"/>
          </w:tcPr>
          <w:p w14:paraId="335ADDF4" w14:textId="70EA3894" w:rsidR="00470EEF" w:rsidRPr="00157523" w:rsidRDefault="00157523" w:rsidP="00D57BD0">
            <w:pPr>
              <w:jc w:val="both"/>
              <w:rPr>
                <w:rFonts w:cs="Times New Roman"/>
                <w:color w:val="000000"/>
                <w:sz w:val="20"/>
                <w:szCs w:val="20"/>
              </w:rPr>
            </w:pPr>
            <w:r>
              <w:rPr>
                <w:rFonts w:cs="Times New Roman"/>
                <w:color w:val="000000"/>
                <w:sz w:val="20"/>
                <w:szCs w:val="20"/>
              </w:rPr>
              <w:t>130</w:t>
            </w:r>
          </w:p>
        </w:tc>
        <w:tc>
          <w:tcPr>
            <w:tcW w:w="2160" w:type="dxa"/>
          </w:tcPr>
          <w:p w14:paraId="4001A8EA" w14:textId="224CA1DC" w:rsidR="00470EEF" w:rsidRPr="00157523" w:rsidRDefault="00157523" w:rsidP="00D57BD0">
            <w:pPr>
              <w:jc w:val="both"/>
              <w:rPr>
                <w:rFonts w:cs="Times New Roman"/>
                <w:color w:val="000000"/>
                <w:sz w:val="20"/>
                <w:szCs w:val="20"/>
              </w:rPr>
            </w:pPr>
            <w:r>
              <w:rPr>
                <w:rFonts w:cs="Times New Roman"/>
                <w:color w:val="000000"/>
                <w:sz w:val="20"/>
                <w:szCs w:val="20"/>
              </w:rPr>
              <w:t>Turkey</w:t>
            </w:r>
          </w:p>
        </w:tc>
      </w:tr>
    </w:tbl>
    <w:p w14:paraId="356D793E" w14:textId="05F6CEBE" w:rsidR="00CA030E" w:rsidRPr="007617D7" w:rsidRDefault="009A3251" w:rsidP="00D57BD0">
      <w:pPr>
        <w:spacing w:after="0" w:line="240" w:lineRule="auto"/>
        <w:jc w:val="both"/>
        <w:rPr>
          <w:rFonts w:cs="Times New Roman"/>
          <w:i/>
          <w:color w:val="000000"/>
          <w:sz w:val="20"/>
          <w:szCs w:val="20"/>
        </w:rPr>
      </w:pPr>
      <w:r w:rsidRPr="007617D7">
        <w:rPr>
          <w:rFonts w:cs="Times New Roman"/>
          <w:i/>
          <w:color w:val="000000"/>
          <w:sz w:val="20"/>
          <w:szCs w:val="20"/>
        </w:rPr>
        <w:t>Source: World Economic Forum (2016)</w:t>
      </w:r>
    </w:p>
    <w:p w14:paraId="366B042A" w14:textId="77777777" w:rsidR="00F65F49" w:rsidRDefault="00F65F49" w:rsidP="00D57BD0">
      <w:pPr>
        <w:spacing w:after="0" w:line="240" w:lineRule="auto"/>
        <w:jc w:val="both"/>
        <w:rPr>
          <w:rFonts w:cs="Times New Roman"/>
          <w:b/>
          <w:i/>
          <w:color w:val="000000"/>
        </w:rPr>
      </w:pPr>
    </w:p>
    <w:p w14:paraId="397405EB" w14:textId="226A420C" w:rsidR="00CC7469" w:rsidRPr="00C26D60" w:rsidRDefault="009D538C" w:rsidP="00D57BD0">
      <w:pPr>
        <w:spacing w:after="0" w:line="240" w:lineRule="auto"/>
        <w:jc w:val="both"/>
        <w:rPr>
          <w:rFonts w:cs="Times New Roman"/>
          <w:color w:val="000000"/>
        </w:rPr>
      </w:pPr>
      <w:r w:rsidRPr="00C26D60">
        <w:rPr>
          <w:rFonts w:cs="Times New Roman"/>
          <w:b/>
          <w:i/>
          <w:color w:val="000000"/>
        </w:rPr>
        <w:t>In terms of legislation</w:t>
      </w:r>
      <w:r w:rsidR="00932A19">
        <w:rPr>
          <w:rFonts w:cs="Times New Roman"/>
          <w:b/>
          <w:i/>
          <w:color w:val="000000"/>
        </w:rPr>
        <w:t>,</w:t>
      </w:r>
      <w:r w:rsidRPr="00C26D60">
        <w:rPr>
          <w:rFonts w:cs="Times New Roman"/>
          <w:b/>
          <w:i/>
          <w:color w:val="000000"/>
        </w:rPr>
        <w:t xml:space="preserve"> Moldova has also </w:t>
      </w:r>
      <w:r w:rsidR="0024240B">
        <w:rPr>
          <w:rFonts w:cs="Times New Roman"/>
          <w:b/>
          <w:i/>
          <w:color w:val="000000"/>
        </w:rPr>
        <w:t xml:space="preserve">made substantial </w:t>
      </w:r>
      <w:r w:rsidRPr="00C26D60">
        <w:rPr>
          <w:rFonts w:cs="Times New Roman"/>
          <w:b/>
          <w:i/>
          <w:color w:val="000000"/>
        </w:rPr>
        <w:t>progress.</w:t>
      </w:r>
      <w:r w:rsidR="00C64558" w:rsidRPr="00C26D60">
        <w:rPr>
          <w:rFonts w:cs="Times New Roman"/>
          <w:color w:val="000000"/>
        </w:rPr>
        <w:t xml:space="preserve"> G</w:t>
      </w:r>
      <w:r w:rsidRPr="00C26D60">
        <w:rPr>
          <w:rFonts w:cs="Times New Roman"/>
          <w:color w:val="000000"/>
        </w:rPr>
        <w:t>ender equality provisions exist in the Con</w:t>
      </w:r>
      <w:r w:rsidR="00451824" w:rsidRPr="00C26D60">
        <w:rPr>
          <w:rFonts w:cs="Times New Roman"/>
          <w:color w:val="000000"/>
        </w:rPr>
        <w:t>stitution and</w:t>
      </w:r>
      <w:r w:rsidRPr="00C26D60">
        <w:rPr>
          <w:rFonts w:cs="Times New Roman"/>
          <w:color w:val="000000"/>
        </w:rPr>
        <w:t xml:space="preserve"> in the Law on Ensuring Equal Opportunities</w:t>
      </w:r>
      <w:r w:rsidR="00451824" w:rsidRPr="00C26D60">
        <w:rPr>
          <w:rFonts w:cs="Times New Roman"/>
          <w:color w:val="000000"/>
        </w:rPr>
        <w:t xml:space="preserve"> for Men and Women (2006). As of 2016, Law 71</w:t>
      </w:r>
      <w:r w:rsidRPr="00C26D60">
        <w:rPr>
          <w:rFonts w:cs="Times New Roman"/>
          <w:color w:val="000000"/>
        </w:rPr>
        <w:t xml:space="preserve"> introduced </w:t>
      </w:r>
      <w:r w:rsidR="00451824" w:rsidRPr="00C26D60">
        <w:rPr>
          <w:rFonts w:cs="Times New Roman"/>
          <w:color w:val="000000"/>
        </w:rPr>
        <w:t xml:space="preserve">a </w:t>
      </w:r>
      <w:r w:rsidRPr="00C26D60">
        <w:rPr>
          <w:rFonts w:cs="Times New Roman"/>
          <w:color w:val="000000"/>
        </w:rPr>
        <w:t>40% quota for women in political party lists</w:t>
      </w:r>
      <w:r w:rsidR="00451824" w:rsidRPr="00C26D60">
        <w:rPr>
          <w:rFonts w:cs="Times New Roman"/>
          <w:color w:val="000000"/>
        </w:rPr>
        <w:t>,</w:t>
      </w:r>
      <w:r w:rsidRPr="00C26D60">
        <w:rPr>
          <w:rFonts w:cs="Times New Roman"/>
          <w:color w:val="000000"/>
        </w:rPr>
        <w:t xml:space="preserve"> and lists for cabinet nominees.</w:t>
      </w:r>
      <w:r w:rsidR="00404F18" w:rsidRPr="00C26D60">
        <w:rPr>
          <w:rFonts w:cs="Times New Roman"/>
          <w:color w:val="000000"/>
        </w:rPr>
        <w:t xml:space="preserve"> </w:t>
      </w:r>
      <w:r w:rsidR="00451824" w:rsidRPr="00C26D60">
        <w:rPr>
          <w:rFonts w:cs="Times New Roman"/>
          <w:color w:val="000000"/>
        </w:rPr>
        <w:t>Another recent Law (# 196</w:t>
      </w:r>
      <w:r w:rsidR="0024240B">
        <w:rPr>
          <w:rFonts w:cs="Times New Roman"/>
          <w:color w:val="000000"/>
        </w:rPr>
        <w:t>,</w:t>
      </w:r>
      <w:r w:rsidR="00451824" w:rsidRPr="00C26D60">
        <w:rPr>
          <w:rFonts w:cs="Times New Roman"/>
          <w:color w:val="000000"/>
        </w:rPr>
        <w:t xml:space="preserve"> approved in</w:t>
      </w:r>
      <w:r w:rsidR="00404F18" w:rsidRPr="00C26D60">
        <w:rPr>
          <w:rFonts w:cs="Times New Roman"/>
          <w:color w:val="000000"/>
        </w:rPr>
        <w:t xml:space="preserve"> July 2016) has strengthened protection mechanisms for victims of gender-based violence.</w:t>
      </w:r>
      <w:r w:rsidR="00404F18" w:rsidRPr="00C26D60">
        <w:rPr>
          <w:rStyle w:val="FootnoteReference"/>
          <w:rFonts w:cs="Times New Roman"/>
          <w:color w:val="000000"/>
        </w:rPr>
        <w:footnoteReference w:id="4"/>
      </w:r>
      <w:r w:rsidR="00404F18" w:rsidRPr="00C26D60">
        <w:rPr>
          <w:rFonts w:cs="Times New Roman"/>
          <w:color w:val="000000"/>
        </w:rPr>
        <w:t xml:space="preserve"> In December 2016 Moldova signed the C</w:t>
      </w:r>
      <w:r w:rsidR="00451824" w:rsidRPr="00C26D60">
        <w:rPr>
          <w:rFonts w:cs="Times New Roman"/>
          <w:color w:val="000000"/>
        </w:rPr>
        <w:t xml:space="preserve">ouncil </w:t>
      </w:r>
      <w:r w:rsidR="00404F18" w:rsidRPr="00C26D60">
        <w:rPr>
          <w:rFonts w:cs="Times New Roman"/>
          <w:color w:val="000000"/>
        </w:rPr>
        <w:t>o</w:t>
      </w:r>
      <w:r w:rsidR="00451824" w:rsidRPr="00C26D60">
        <w:rPr>
          <w:rFonts w:cs="Times New Roman"/>
          <w:color w:val="000000"/>
        </w:rPr>
        <w:t xml:space="preserve">f </w:t>
      </w:r>
      <w:r w:rsidR="00404F18" w:rsidRPr="00C26D60">
        <w:rPr>
          <w:rFonts w:cs="Times New Roman"/>
          <w:color w:val="000000"/>
        </w:rPr>
        <w:t>E</w:t>
      </w:r>
      <w:r w:rsidR="00451824" w:rsidRPr="00C26D60">
        <w:rPr>
          <w:rFonts w:cs="Times New Roman"/>
          <w:color w:val="000000"/>
        </w:rPr>
        <w:t>urope</w:t>
      </w:r>
      <w:r w:rsidR="00404F18" w:rsidRPr="00C26D60">
        <w:rPr>
          <w:rFonts w:cs="Times New Roman"/>
          <w:color w:val="000000"/>
        </w:rPr>
        <w:t xml:space="preserve"> Convention on Preventing and Combatting Violence </w:t>
      </w:r>
      <w:r w:rsidR="00C26D60" w:rsidRPr="00C26D60">
        <w:rPr>
          <w:rFonts w:cs="Times New Roman"/>
          <w:color w:val="000000"/>
        </w:rPr>
        <w:t>against</w:t>
      </w:r>
      <w:r w:rsidR="00404F18" w:rsidRPr="00C26D60">
        <w:rPr>
          <w:rFonts w:cs="Times New Roman"/>
          <w:color w:val="000000"/>
        </w:rPr>
        <w:t xml:space="preserve"> Wo</w:t>
      </w:r>
      <w:r w:rsidR="00451824" w:rsidRPr="00C26D60">
        <w:rPr>
          <w:rFonts w:cs="Times New Roman"/>
          <w:color w:val="000000"/>
        </w:rPr>
        <w:t xml:space="preserve">men and Domestic Violence as a condition under </w:t>
      </w:r>
      <w:r w:rsidR="00C26D60" w:rsidRPr="00C26D60">
        <w:rPr>
          <w:rFonts w:cs="Times New Roman"/>
          <w:color w:val="000000"/>
        </w:rPr>
        <w:t>Moldova’s</w:t>
      </w:r>
      <w:r w:rsidR="00451824" w:rsidRPr="00C26D60">
        <w:rPr>
          <w:rFonts w:cs="Times New Roman"/>
          <w:color w:val="000000"/>
        </w:rPr>
        <w:t xml:space="preserve"> EU Association </w:t>
      </w:r>
      <w:r w:rsidR="00C26D60" w:rsidRPr="00C26D60">
        <w:rPr>
          <w:rFonts w:cs="Times New Roman"/>
          <w:color w:val="000000"/>
        </w:rPr>
        <w:t>Agreement</w:t>
      </w:r>
      <w:r w:rsidR="00451824" w:rsidRPr="00C26D60">
        <w:rPr>
          <w:rFonts w:cs="Times New Roman"/>
          <w:color w:val="000000"/>
        </w:rPr>
        <w:t>. A</w:t>
      </w:r>
      <w:r w:rsidR="00404F18" w:rsidRPr="00C26D60">
        <w:rPr>
          <w:rFonts w:cs="Times New Roman"/>
          <w:color w:val="000000"/>
        </w:rPr>
        <w:t xml:space="preserve"> Natio</w:t>
      </w:r>
      <w:r w:rsidR="00451824" w:rsidRPr="00C26D60">
        <w:rPr>
          <w:rFonts w:cs="Times New Roman"/>
          <w:color w:val="000000"/>
        </w:rPr>
        <w:t xml:space="preserve">nal Action Plan on this topic is under preparation. Moldova has an established </w:t>
      </w:r>
      <w:r w:rsidR="0024240B">
        <w:rPr>
          <w:rFonts w:cs="Times New Roman"/>
          <w:color w:val="000000"/>
        </w:rPr>
        <w:t>g</w:t>
      </w:r>
      <w:r w:rsidR="00451824" w:rsidRPr="00C26D60">
        <w:rPr>
          <w:rFonts w:cs="Times New Roman"/>
          <w:color w:val="000000"/>
        </w:rPr>
        <w:t xml:space="preserve">overnment-led mechanism (the Gender Equality </w:t>
      </w:r>
      <w:r w:rsidR="00C26D60" w:rsidRPr="00C26D60">
        <w:rPr>
          <w:rFonts w:cs="Times New Roman"/>
          <w:color w:val="000000"/>
        </w:rPr>
        <w:t>Coordination</w:t>
      </w:r>
      <w:r w:rsidR="00451824" w:rsidRPr="00C26D60">
        <w:rPr>
          <w:rFonts w:cs="Times New Roman"/>
          <w:color w:val="000000"/>
        </w:rPr>
        <w:t xml:space="preserve"> Council</w:t>
      </w:r>
      <w:r w:rsidR="00C26D60" w:rsidRPr="00C26D60">
        <w:rPr>
          <w:rFonts w:cs="Times New Roman"/>
          <w:color w:val="000000"/>
        </w:rPr>
        <w:t>) to</w:t>
      </w:r>
      <w:r w:rsidR="00451824" w:rsidRPr="00C26D60">
        <w:rPr>
          <w:rFonts w:cs="Times New Roman"/>
          <w:color w:val="000000"/>
        </w:rPr>
        <w:t xml:space="preserve"> mainstream gender equality</w:t>
      </w:r>
      <w:r w:rsidR="00C26D60" w:rsidRPr="00C26D60">
        <w:rPr>
          <w:rFonts w:cs="Times New Roman"/>
          <w:color w:val="000000"/>
        </w:rPr>
        <w:t xml:space="preserve"> in policy.</w:t>
      </w:r>
      <w:r w:rsidR="00451824" w:rsidRPr="00C26D60">
        <w:rPr>
          <w:rFonts w:cs="Times New Roman"/>
          <w:color w:val="000000"/>
        </w:rPr>
        <w:t xml:space="preserve"> This body has recently completed a new National Gender Equality Strategy 2016-2020 (the specific elements of this policy are discussed in section </w:t>
      </w:r>
      <w:r w:rsidR="00621D4A" w:rsidRPr="00C26D60">
        <w:rPr>
          <w:rFonts w:cs="Times New Roman"/>
          <w:color w:val="000000"/>
        </w:rPr>
        <w:t>IV below.</w:t>
      </w:r>
    </w:p>
    <w:p w14:paraId="3313DDDE" w14:textId="77777777" w:rsidR="00404F18" w:rsidRDefault="00404F18" w:rsidP="00D57BD0">
      <w:pPr>
        <w:spacing w:after="0" w:line="240" w:lineRule="auto"/>
        <w:jc w:val="both"/>
        <w:rPr>
          <w:rFonts w:cs="Times New Roman"/>
          <w:color w:val="000000"/>
        </w:rPr>
      </w:pPr>
    </w:p>
    <w:p w14:paraId="4C6AA190" w14:textId="4D5BADF0" w:rsidR="00F65F49" w:rsidRPr="00C26D60" w:rsidRDefault="0024240B" w:rsidP="00F65F49">
      <w:pPr>
        <w:autoSpaceDE w:val="0"/>
        <w:autoSpaceDN w:val="0"/>
        <w:adjustRightInd w:val="0"/>
        <w:spacing w:after="0" w:line="240" w:lineRule="auto"/>
        <w:jc w:val="both"/>
        <w:rPr>
          <w:rFonts w:eastAsia="Times New Roman" w:cs="Times New Roman"/>
          <w:bCs/>
        </w:rPr>
      </w:pPr>
      <w:r>
        <w:rPr>
          <w:rFonts w:cs="Times New Roman"/>
          <w:b/>
          <w:bCs/>
          <w:i/>
        </w:rPr>
        <w:t>However</w:t>
      </w:r>
      <w:r w:rsidR="00F65F49">
        <w:rPr>
          <w:rFonts w:cs="Times New Roman"/>
          <w:b/>
          <w:bCs/>
          <w:i/>
        </w:rPr>
        <w:t>, a</w:t>
      </w:r>
      <w:r w:rsidR="00F65F49" w:rsidRPr="00C26D60">
        <w:rPr>
          <w:rFonts w:cs="Times New Roman"/>
          <w:b/>
          <w:bCs/>
          <w:i/>
        </w:rPr>
        <w:t xml:space="preserve">ccording to </w:t>
      </w:r>
      <w:r w:rsidR="00F65F49">
        <w:rPr>
          <w:rFonts w:cs="Times New Roman"/>
          <w:b/>
          <w:bCs/>
          <w:i/>
        </w:rPr>
        <w:t>both the Global Gender Equality Index and the</w:t>
      </w:r>
      <w:r w:rsidR="00F65F49" w:rsidRPr="00C26D60">
        <w:rPr>
          <w:rFonts w:cs="Times New Roman"/>
          <w:b/>
          <w:bCs/>
          <w:i/>
        </w:rPr>
        <w:t xml:space="preserve"> National Gender Equality Index developed by the Moldova Partnership for Development Center, </w:t>
      </w:r>
      <w:r w:rsidR="00F65F49" w:rsidRPr="00C26D60">
        <w:rPr>
          <w:rFonts w:eastAsia="Times New Roman" w:cs="Times New Roman"/>
          <w:b/>
          <w:bCs/>
          <w:i/>
        </w:rPr>
        <w:t xml:space="preserve">the level of gender equality </w:t>
      </w:r>
      <w:r w:rsidR="00F65F49">
        <w:rPr>
          <w:rFonts w:eastAsia="Times New Roman" w:cs="Times New Roman"/>
          <w:b/>
          <w:bCs/>
          <w:i/>
        </w:rPr>
        <w:t xml:space="preserve">on key indicators is declining. </w:t>
      </w:r>
      <w:r w:rsidR="00F65F49" w:rsidRPr="007617D7">
        <w:rPr>
          <w:rFonts w:eastAsia="Times New Roman" w:cs="Times New Roman"/>
          <w:bCs/>
        </w:rPr>
        <w:t>The Moldova National GEI</w:t>
      </w:r>
      <w:r w:rsidR="00F65F49" w:rsidRPr="00C26D60">
        <w:rPr>
          <w:rStyle w:val="FootnoteReference"/>
          <w:rFonts w:eastAsia="Times New Roman" w:cs="Times New Roman"/>
          <w:b/>
          <w:bCs/>
          <w:i/>
        </w:rPr>
        <w:footnoteReference w:id="5"/>
      </w:r>
      <w:r w:rsidR="00F65F49" w:rsidRPr="00C26D60">
        <w:rPr>
          <w:rFonts w:eastAsia="Times New Roman" w:cs="Times New Roman"/>
          <w:bCs/>
        </w:rPr>
        <w:t xml:space="preserve"> was developed in order to measure progress of the Government</w:t>
      </w:r>
      <w:r>
        <w:rPr>
          <w:rFonts w:eastAsia="Times New Roman" w:cs="Times New Roman"/>
          <w:bCs/>
        </w:rPr>
        <w:t>’s</w:t>
      </w:r>
      <w:r w:rsidR="00F65F49" w:rsidRPr="00C26D60">
        <w:rPr>
          <w:rFonts w:eastAsia="Times New Roman" w:cs="Times New Roman"/>
          <w:bCs/>
        </w:rPr>
        <w:t xml:space="preserve"> new National Gender Equality Strategy. It is based on 31 indicators in 6 areas: (i) labor market</w:t>
      </w:r>
      <w:r w:rsidR="00F65F49" w:rsidRPr="00C26D60">
        <w:rPr>
          <w:rFonts w:cs="Times New Roman"/>
        </w:rPr>
        <w:t>; (ii) politics; (iii) education; (iv)</w:t>
      </w:r>
      <w:r w:rsidR="00571B33">
        <w:rPr>
          <w:rFonts w:cs="Times New Roman"/>
        </w:rPr>
        <w:t xml:space="preserve"> </w:t>
      </w:r>
      <w:r w:rsidR="00F65F49" w:rsidRPr="00C26D60">
        <w:rPr>
          <w:rFonts w:cs="Times New Roman"/>
        </w:rPr>
        <w:t xml:space="preserve">access to resources; (v) perceptions and stereotypes, and (vi) health. During 2009-14, 4 out of 6 areas registered </w:t>
      </w:r>
      <w:r>
        <w:rPr>
          <w:rFonts w:cs="Times New Roman"/>
        </w:rPr>
        <w:t>declines</w:t>
      </w:r>
      <w:r w:rsidR="00F65F49" w:rsidRPr="00C26D60">
        <w:rPr>
          <w:rFonts w:cs="Times New Roman"/>
        </w:rPr>
        <w:t xml:space="preserve">, with </w:t>
      </w:r>
      <w:r w:rsidR="00F65F49" w:rsidRPr="00C26D60">
        <w:rPr>
          <w:rFonts w:eastAsia="Times New Roman" w:cs="Times New Roman"/>
          <w:bCs/>
        </w:rPr>
        <w:t>deterioration being most evident in the labor market where the index score decreased from 70 to 63.</w:t>
      </w:r>
      <w:r w:rsidR="00F65F49" w:rsidRPr="00C26D60">
        <w:rPr>
          <w:rStyle w:val="FootnoteReference"/>
          <w:rFonts w:eastAsia="Times New Roman" w:cs="Times New Roman"/>
          <w:bCs/>
        </w:rPr>
        <w:footnoteReference w:id="6"/>
      </w:r>
      <w:r w:rsidR="00F65F49" w:rsidRPr="00C26D60">
        <w:rPr>
          <w:rFonts w:eastAsia="Times New Roman" w:cs="Times New Roman"/>
          <w:bCs/>
        </w:rPr>
        <w:t xml:space="preserve"> The same center conducted an assessment of 25 policies adopted by Parliament between 2012 and 2014 concluding that none have specifically considered gender issues.</w:t>
      </w:r>
    </w:p>
    <w:p w14:paraId="428B9700" w14:textId="77777777" w:rsidR="00F65F49" w:rsidRPr="00C26D60" w:rsidRDefault="00F65F49" w:rsidP="00D57BD0">
      <w:pPr>
        <w:spacing w:after="0" w:line="240" w:lineRule="auto"/>
        <w:jc w:val="both"/>
        <w:rPr>
          <w:rFonts w:cs="Times New Roman"/>
          <w:color w:val="000000"/>
        </w:rPr>
      </w:pPr>
    </w:p>
    <w:p w14:paraId="6C37E905" w14:textId="01159520" w:rsidR="00D86611" w:rsidRDefault="005951DE" w:rsidP="00CB7187">
      <w:pPr>
        <w:autoSpaceDE w:val="0"/>
        <w:autoSpaceDN w:val="0"/>
        <w:adjustRightInd w:val="0"/>
        <w:spacing w:after="0" w:line="240" w:lineRule="auto"/>
        <w:jc w:val="both"/>
        <w:rPr>
          <w:rFonts w:cs="Times New Roman"/>
          <w:color w:val="000000"/>
        </w:rPr>
      </w:pPr>
      <w:r>
        <w:rPr>
          <w:rFonts w:cs="Times New Roman"/>
          <w:b/>
          <w:i/>
          <w:color w:val="000000"/>
        </w:rPr>
        <w:t>E</w:t>
      </w:r>
      <w:r w:rsidR="00D42468" w:rsidRPr="00C26D60">
        <w:rPr>
          <w:rFonts w:cs="Times New Roman"/>
          <w:b/>
          <w:i/>
          <w:color w:val="000000"/>
        </w:rPr>
        <w:t xml:space="preserve">vidence </w:t>
      </w:r>
      <w:r w:rsidR="00621D4A" w:rsidRPr="00C26D60">
        <w:rPr>
          <w:rFonts w:cs="Times New Roman"/>
          <w:b/>
          <w:i/>
          <w:color w:val="000000"/>
        </w:rPr>
        <w:t>indicates that gender disc</w:t>
      </w:r>
      <w:r w:rsidR="00C26D60" w:rsidRPr="00C26D60">
        <w:rPr>
          <w:rFonts w:cs="Times New Roman"/>
          <w:b/>
          <w:i/>
          <w:color w:val="000000"/>
        </w:rPr>
        <w:t>repa</w:t>
      </w:r>
      <w:r w:rsidR="00621D4A" w:rsidRPr="00C26D60">
        <w:rPr>
          <w:rFonts w:cs="Times New Roman"/>
          <w:b/>
          <w:i/>
          <w:color w:val="000000"/>
        </w:rPr>
        <w:t>nci</w:t>
      </w:r>
      <w:r w:rsidR="00D42468" w:rsidRPr="00C26D60">
        <w:rPr>
          <w:rFonts w:cs="Times New Roman"/>
          <w:b/>
          <w:i/>
          <w:color w:val="000000"/>
        </w:rPr>
        <w:t xml:space="preserve">es persist within </w:t>
      </w:r>
      <w:r w:rsidR="00621D4A" w:rsidRPr="00C26D60">
        <w:rPr>
          <w:rFonts w:cs="Times New Roman"/>
          <w:b/>
          <w:i/>
          <w:color w:val="000000"/>
        </w:rPr>
        <w:t>important areas of social and economic life.</w:t>
      </w:r>
      <w:r w:rsidR="00AD4EB0">
        <w:rPr>
          <w:rStyle w:val="FootnoteReference"/>
          <w:rFonts w:cs="Times New Roman"/>
          <w:b/>
          <w:i/>
          <w:color w:val="000000"/>
        </w:rPr>
        <w:footnoteReference w:id="7"/>
      </w:r>
      <w:r w:rsidR="00621D4A" w:rsidRPr="00C26D60">
        <w:rPr>
          <w:rFonts w:cs="Times New Roman"/>
          <w:b/>
          <w:i/>
          <w:color w:val="000000"/>
        </w:rPr>
        <w:t xml:space="preserve">  </w:t>
      </w:r>
      <w:r w:rsidR="00621D4A" w:rsidRPr="00C26D60">
        <w:rPr>
          <w:rFonts w:cs="Times New Roman"/>
          <w:color w:val="000000"/>
        </w:rPr>
        <w:t>The</w:t>
      </w:r>
      <w:r w:rsidR="00D86611">
        <w:rPr>
          <w:rFonts w:cs="Times New Roman"/>
          <w:color w:val="000000"/>
        </w:rPr>
        <w:t xml:space="preserve"> Moldova Country Gender Assessment of 2014 (Moldova: Gender Disparities in Endowments and Access to Economic Opportunities) confirms that while gaps in gender outcomes are low, men and women do face distinct challenges. Women find it more difficult to integrate in higher-earning positions and are constrained by </w:t>
      </w:r>
      <w:r w:rsidR="0024240B">
        <w:rPr>
          <w:rFonts w:cs="Times New Roman"/>
          <w:color w:val="000000"/>
        </w:rPr>
        <w:t xml:space="preserve">the </w:t>
      </w:r>
      <w:r w:rsidR="00D86611">
        <w:rPr>
          <w:rFonts w:cs="Times New Roman"/>
          <w:color w:val="000000"/>
        </w:rPr>
        <w:t>declining availability of affordable childcare, while men face considerably lower health outcomes and high mortality.</w:t>
      </w:r>
    </w:p>
    <w:p w14:paraId="0E6ECE77" w14:textId="77777777" w:rsidR="00D86611" w:rsidRDefault="00D86611" w:rsidP="00CB7187">
      <w:pPr>
        <w:autoSpaceDE w:val="0"/>
        <w:autoSpaceDN w:val="0"/>
        <w:adjustRightInd w:val="0"/>
        <w:spacing w:after="0" w:line="240" w:lineRule="auto"/>
        <w:jc w:val="both"/>
        <w:rPr>
          <w:rFonts w:cs="Times New Roman"/>
          <w:color w:val="000000"/>
        </w:rPr>
      </w:pPr>
    </w:p>
    <w:p w14:paraId="1C334ACB" w14:textId="2A42A10E" w:rsidR="00F4008D" w:rsidRPr="00C26D60" w:rsidRDefault="00D86611" w:rsidP="00CB7187">
      <w:pPr>
        <w:autoSpaceDE w:val="0"/>
        <w:autoSpaceDN w:val="0"/>
        <w:adjustRightInd w:val="0"/>
        <w:spacing w:after="0" w:line="240" w:lineRule="auto"/>
        <w:jc w:val="both"/>
        <w:rPr>
          <w:rFonts w:cs="Times New Roman"/>
          <w:color w:val="000000"/>
        </w:rPr>
      </w:pPr>
      <w:r>
        <w:rPr>
          <w:rFonts w:cs="Times New Roman"/>
          <w:color w:val="000000"/>
        </w:rPr>
        <w:lastRenderedPageBreak/>
        <w:t>The priority gender challenges in Moldova</w:t>
      </w:r>
      <w:r w:rsidR="00F4008D" w:rsidRPr="00C26D60">
        <w:rPr>
          <w:rFonts w:cs="Times New Roman"/>
          <w:color w:val="000000"/>
        </w:rPr>
        <w:t xml:space="preserve"> can be summarized as follows:</w:t>
      </w:r>
      <w:r w:rsidR="005A18A1">
        <w:rPr>
          <w:rFonts w:cs="Times New Roman"/>
          <w:color w:val="000000"/>
        </w:rPr>
        <w:t xml:space="preserve"> </w:t>
      </w:r>
    </w:p>
    <w:p w14:paraId="76C9099C" w14:textId="77777777" w:rsidR="00CB7187" w:rsidRPr="00C26D60" w:rsidRDefault="00CB7187" w:rsidP="00CB7187">
      <w:pPr>
        <w:autoSpaceDE w:val="0"/>
        <w:autoSpaceDN w:val="0"/>
        <w:adjustRightInd w:val="0"/>
        <w:spacing w:after="0" w:line="240" w:lineRule="auto"/>
        <w:jc w:val="both"/>
        <w:rPr>
          <w:rFonts w:cs="Times New Roman"/>
        </w:rPr>
      </w:pPr>
    </w:p>
    <w:p w14:paraId="1159B21E" w14:textId="5C4153DB" w:rsidR="00120C91" w:rsidRPr="00FD674F" w:rsidRDefault="00120C91" w:rsidP="00F4008D">
      <w:pPr>
        <w:pStyle w:val="ListParagraph"/>
        <w:numPr>
          <w:ilvl w:val="0"/>
          <w:numId w:val="9"/>
        </w:numPr>
        <w:spacing w:after="0" w:line="240" w:lineRule="auto"/>
        <w:jc w:val="both"/>
        <w:rPr>
          <w:rFonts w:cs="Times New Roman"/>
          <w:color w:val="000000"/>
        </w:rPr>
      </w:pPr>
      <w:r>
        <w:rPr>
          <w:rFonts w:cs="Times New Roman"/>
          <w:color w:val="000000"/>
        </w:rPr>
        <w:t>Inequalities in the labor market</w:t>
      </w:r>
    </w:p>
    <w:p w14:paraId="1982AAE6" w14:textId="512CB50A" w:rsidR="009D538C" w:rsidRPr="00C26D60" w:rsidRDefault="009D538C" w:rsidP="00FD674F">
      <w:pPr>
        <w:pStyle w:val="ListParagraph"/>
        <w:numPr>
          <w:ilvl w:val="1"/>
          <w:numId w:val="9"/>
        </w:numPr>
        <w:spacing w:after="0" w:line="240" w:lineRule="auto"/>
        <w:jc w:val="both"/>
        <w:rPr>
          <w:rFonts w:cs="Times New Roman"/>
          <w:color w:val="000000"/>
        </w:rPr>
      </w:pPr>
      <w:r w:rsidRPr="00C26D60">
        <w:rPr>
          <w:rFonts w:cs="Times New Roman"/>
          <w:b/>
          <w:i/>
          <w:color w:val="000000"/>
        </w:rPr>
        <w:t>Occupation</w:t>
      </w:r>
      <w:r w:rsidR="00C219B9" w:rsidRPr="00C26D60">
        <w:rPr>
          <w:rFonts w:cs="Times New Roman"/>
          <w:b/>
          <w:i/>
          <w:color w:val="000000"/>
        </w:rPr>
        <w:t>al</w:t>
      </w:r>
      <w:r w:rsidRPr="00C26D60">
        <w:rPr>
          <w:rFonts w:cs="Times New Roman"/>
          <w:b/>
          <w:i/>
          <w:color w:val="000000"/>
        </w:rPr>
        <w:t xml:space="preserve"> segregation </w:t>
      </w:r>
      <w:r w:rsidR="00F4008D" w:rsidRPr="00C26D60">
        <w:rPr>
          <w:rFonts w:cs="Times New Roman"/>
          <w:b/>
          <w:i/>
          <w:color w:val="000000"/>
        </w:rPr>
        <w:t>and earnings gap</w:t>
      </w:r>
      <w:r w:rsidR="00F4008D" w:rsidRPr="00C26D60">
        <w:rPr>
          <w:rFonts w:cs="Times New Roman"/>
          <w:color w:val="000000"/>
        </w:rPr>
        <w:t>:</w:t>
      </w:r>
      <w:r w:rsidR="00C219B9" w:rsidRPr="00C26D60">
        <w:rPr>
          <w:rFonts w:cs="Times New Roman"/>
          <w:color w:val="000000"/>
        </w:rPr>
        <w:t xml:space="preserve"> </w:t>
      </w:r>
      <w:r w:rsidR="00621D4A" w:rsidRPr="00C26D60">
        <w:rPr>
          <w:rFonts w:cs="Times New Roman"/>
          <w:color w:val="000000"/>
        </w:rPr>
        <w:t xml:space="preserve">Despite evident equality in education and </w:t>
      </w:r>
      <w:r w:rsidR="001A68D8" w:rsidRPr="00C26D60">
        <w:rPr>
          <w:rFonts w:cs="Times New Roman"/>
          <w:color w:val="000000"/>
        </w:rPr>
        <w:t>l</w:t>
      </w:r>
      <w:r w:rsidR="00621D4A" w:rsidRPr="00C26D60">
        <w:rPr>
          <w:rFonts w:cs="Times New Roman"/>
          <w:color w:val="000000"/>
        </w:rPr>
        <w:t xml:space="preserve">abor force </w:t>
      </w:r>
      <w:r w:rsidR="00C26D60" w:rsidRPr="00C26D60">
        <w:rPr>
          <w:rFonts w:cs="Times New Roman"/>
          <w:color w:val="000000"/>
        </w:rPr>
        <w:t>participation</w:t>
      </w:r>
      <w:r w:rsidR="00621D4A" w:rsidRPr="00C26D60">
        <w:rPr>
          <w:rFonts w:cs="Times New Roman"/>
          <w:color w:val="000000"/>
        </w:rPr>
        <w:t xml:space="preserve"> data, there are still</w:t>
      </w:r>
      <w:r w:rsidR="00C219B9" w:rsidRPr="00C26D60">
        <w:rPr>
          <w:rFonts w:cs="Times New Roman"/>
          <w:color w:val="000000"/>
        </w:rPr>
        <w:t xml:space="preserve"> significantly fewer women in higher-earning sectors and positions. </w:t>
      </w:r>
      <w:r w:rsidR="00621D4A" w:rsidRPr="00C26D60">
        <w:rPr>
          <w:rFonts w:cs="Times New Roman"/>
          <w:color w:val="000000"/>
        </w:rPr>
        <w:t xml:space="preserve">The causes for professional segregation have not been explored in </w:t>
      </w:r>
      <w:r w:rsidR="00C26D60" w:rsidRPr="00C26D60">
        <w:rPr>
          <w:rFonts w:cs="Times New Roman"/>
          <w:color w:val="000000"/>
        </w:rPr>
        <w:t>detail</w:t>
      </w:r>
      <w:r w:rsidR="00621D4A" w:rsidRPr="00C26D60">
        <w:rPr>
          <w:rFonts w:cs="Times New Roman"/>
          <w:color w:val="000000"/>
        </w:rPr>
        <w:t xml:space="preserve"> but are believed to be largely rooted in social norms perpetuated through the </w:t>
      </w:r>
      <w:r w:rsidR="00C64558" w:rsidRPr="00C26D60">
        <w:rPr>
          <w:rFonts w:cs="Times New Roman"/>
          <w:color w:val="000000"/>
        </w:rPr>
        <w:t>educa</w:t>
      </w:r>
      <w:r w:rsidR="00C219B9" w:rsidRPr="00C26D60">
        <w:rPr>
          <w:rFonts w:cs="Times New Roman"/>
          <w:color w:val="000000"/>
        </w:rPr>
        <w:t>t</w:t>
      </w:r>
      <w:r w:rsidR="00C64558" w:rsidRPr="00C26D60">
        <w:rPr>
          <w:rFonts w:cs="Times New Roman"/>
          <w:color w:val="000000"/>
        </w:rPr>
        <w:t>i</w:t>
      </w:r>
      <w:r w:rsidR="00C219B9" w:rsidRPr="00C26D60">
        <w:rPr>
          <w:rFonts w:cs="Times New Roman"/>
          <w:color w:val="000000"/>
        </w:rPr>
        <w:t xml:space="preserve">on system, labor market, and media. </w:t>
      </w:r>
      <w:r w:rsidR="00E50020">
        <w:rPr>
          <w:rFonts w:cs="Times New Roman"/>
          <w:color w:val="000000"/>
        </w:rPr>
        <w:t>Expanding women’s access to higher-skilled and higher-earning jobs is particularly important in the current demographic context of declining and aging population and one that can help reduce dependence on social transfers (e.g.</w:t>
      </w:r>
      <w:r w:rsidR="00BD6FE4">
        <w:rPr>
          <w:rFonts w:cs="Times New Roman"/>
          <w:color w:val="000000"/>
        </w:rPr>
        <w:t>,</w:t>
      </w:r>
      <w:r w:rsidR="00E50020">
        <w:rPr>
          <w:rFonts w:cs="Times New Roman"/>
          <w:color w:val="000000"/>
        </w:rPr>
        <w:t xml:space="preserve"> for women-headed households and </w:t>
      </w:r>
      <w:r w:rsidR="00BD6FE4">
        <w:rPr>
          <w:rFonts w:cs="Times New Roman"/>
          <w:color w:val="000000"/>
        </w:rPr>
        <w:t xml:space="preserve">elderly </w:t>
      </w:r>
      <w:r w:rsidR="00E50020">
        <w:rPr>
          <w:rFonts w:cs="Times New Roman"/>
          <w:color w:val="000000"/>
        </w:rPr>
        <w:t>households) in the future.</w:t>
      </w:r>
    </w:p>
    <w:p w14:paraId="44E2EB88" w14:textId="3B2A2D34" w:rsidR="009D538C" w:rsidRPr="00C26D60" w:rsidRDefault="008C0978" w:rsidP="00FD674F">
      <w:pPr>
        <w:pStyle w:val="ListParagraph"/>
        <w:numPr>
          <w:ilvl w:val="1"/>
          <w:numId w:val="9"/>
        </w:numPr>
        <w:spacing w:after="0" w:line="240" w:lineRule="auto"/>
        <w:jc w:val="both"/>
        <w:rPr>
          <w:rFonts w:cs="Times New Roman"/>
          <w:color w:val="000000"/>
        </w:rPr>
      </w:pPr>
      <w:r w:rsidRPr="00C26D60">
        <w:rPr>
          <w:rFonts w:cs="Times New Roman"/>
          <w:b/>
          <w:i/>
          <w:color w:val="000000"/>
        </w:rPr>
        <w:t>Discr</w:t>
      </w:r>
      <w:r w:rsidR="00AF7145" w:rsidRPr="00C26D60">
        <w:rPr>
          <w:rFonts w:cs="Times New Roman"/>
          <w:b/>
          <w:i/>
          <w:color w:val="000000"/>
        </w:rPr>
        <w:t>epancies in labor force partici</w:t>
      </w:r>
      <w:r w:rsidRPr="00C26D60">
        <w:rPr>
          <w:rFonts w:cs="Times New Roman"/>
          <w:b/>
          <w:i/>
          <w:color w:val="000000"/>
        </w:rPr>
        <w:t>p</w:t>
      </w:r>
      <w:r w:rsidR="00AF7145" w:rsidRPr="00C26D60">
        <w:rPr>
          <w:rFonts w:cs="Times New Roman"/>
          <w:b/>
          <w:i/>
          <w:color w:val="000000"/>
        </w:rPr>
        <w:t>a</w:t>
      </w:r>
      <w:r w:rsidRPr="00C26D60">
        <w:rPr>
          <w:rFonts w:cs="Times New Roman"/>
          <w:b/>
          <w:i/>
          <w:color w:val="000000"/>
        </w:rPr>
        <w:t>tion</w:t>
      </w:r>
      <w:r w:rsidRPr="00C26D60">
        <w:rPr>
          <w:rFonts w:cs="Times New Roman"/>
          <w:color w:val="000000"/>
        </w:rPr>
        <w:t>: W</w:t>
      </w:r>
      <w:r w:rsidR="00F60EB5" w:rsidRPr="00C26D60">
        <w:rPr>
          <w:rFonts w:cs="Times New Roman"/>
          <w:color w:val="000000"/>
        </w:rPr>
        <w:t xml:space="preserve">omen delay for longer </w:t>
      </w:r>
      <w:r w:rsidR="003C43DC">
        <w:rPr>
          <w:rFonts w:cs="Times New Roman"/>
          <w:color w:val="000000"/>
        </w:rPr>
        <w:t xml:space="preserve">their </w:t>
      </w:r>
      <w:r w:rsidR="00F60EB5" w:rsidRPr="00C26D60">
        <w:rPr>
          <w:rFonts w:cs="Times New Roman"/>
          <w:color w:val="000000"/>
        </w:rPr>
        <w:t>entry into the labor force and take</w:t>
      </w:r>
      <w:r w:rsidR="00C219B9" w:rsidRPr="00C26D60">
        <w:rPr>
          <w:rFonts w:cs="Times New Roman"/>
          <w:color w:val="000000"/>
        </w:rPr>
        <w:t xml:space="preserve"> longer breaks from the labor </w:t>
      </w:r>
      <w:r w:rsidR="00F60EB5" w:rsidRPr="00C26D60">
        <w:rPr>
          <w:rFonts w:cs="Times New Roman"/>
          <w:color w:val="000000"/>
        </w:rPr>
        <w:t>force. There is a substantial difference in labor</w:t>
      </w:r>
      <w:r w:rsidRPr="00C26D60">
        <w:rPr>
          <w:rFonts w:cs="Times New Roman"/>
          <w:color w:val="000000"/>
        </w:rPr>
        <w:t xml:space="preserve"> force participation between wo</w:t>
      </w:r>
      <w:r w:rsidR="00F60EB5" w:rsidRPr="00C26D60">
        <w:rPr>
          <w:rFonts w:cs="Times New Roman"/>
          <w:color w:val="000000"/>
        </w:rPr>
        <w:t>m</w:t>
      </w:r>
      <w:r w:rsidRPr="00C26D60">
        <w:rPr>
          <w:rFonts w:cs="Times New Roman"/>
          <w:color w:val="000000"/>
        </w:rPr>
        <w:t>e</w:t>
      </w:r>
      <w:r w:rsidR="00F60EB5" w:rsidRPr="00C26D60">
        <w:rPr>
          <w:rFonts w:cs="Times New Roman"/>
          <w:color w:val="000000"/>
        </w:rPr>
        <w:t>n with and without children</w:t>
      </w:r>
      <w:r w:rsidRPr="00C26D60">
        <w:rPr>
          <w:rFonts w:cs="Times New Roman"/>
          <w:color w:val="000000"/>
        </w:rPr>
        <w:t xml:space="preserve"> (20% in 2014, one of the highest rates in Europe)</w:t>
      </w:r>
      <w:r w:rsidR="00F60EB5" w:rsidRPr="00C26D60">
        <w:rPr>
          <w:rFonts w:cs="Times New Roman"/>
          <w:color w:val="000000"/>
        </w:rPr>
        <w:t xml:space="preserve">. </w:t>
      </w:r>
      <w:r w:rsidRPr="00C26D60">
        <w:rPr>
          <w:rFonts w:cs="Times New Roman"/>
          <w:color w:val="000000"/>
        </w:rPr>
        <w:t>Moreover</w:t>
      </w:r>
      <w:r w:rsidR="00C26D60">
        <w:rPr>
          <w:rFonts w:cs="Times New Roman"/>
          <w:color w:val="000000"/>
        </w:rPr>
        <w:t>, a declining share of women</w:t>
      </w:r>
      <w:r w:rsidRPr="00C26D60">
        <w:rPr>
          <w:rFonts w:cs="Times New Roman"/>
          <w:color w:val="000000"/>
        </w:rPr>
        <w:t xml:space="preserve"> return to work after taking </w:t>
      </w:r>
      <w:r w:rsidR="00C26D60" w:rsidRPr="00C26D60">
        <w:rPr>
          <w:rFonts w:cs="Times New Roman"/>
          <w:color w:val="000000"/>
        </w:rPr>
        <w:t>ma</w:t>
      </w:r>
      <w:r w:rsidR="00C26D60">
        <w:rPr>
          <w:rFonts w:cs="Times New Roman"/>
          <w:color w:val="000000"/>
        </w:rPr>
        <w:t xml:space="preserve">ternity leave. Despite provisions in the Labor Code that prohibit gender bias, it exists </w:t>
      </w:r>
      <w:r w:rsidR="00BD6FE4">
        <w:rPr>
          <w:rFonts w:cs="Times New Roman"/>
          <w:color w:val="000000"/>
        </w:rPr>
        <w:t>i</w:t>
      </w:r>
      <w:r w:rsidR="00C26D60">
        <w:rPr>
          <w:rFonts w:cs="Times New Roman"/>
          <w:color w:val="000000"/>
        </w:rPr>
        <w:t xml:space="preserve">n the </w:t>
      </w:r>
      <w:r w:rsidRPr="00C26D60">
        <w:rPr>
          <w:rFonts w:cs="Times New Roman"/>
          <w:color w:val="000000"/>
        </w:rPr>
        <w:t xml:space="preserve">labor </w:t>
      </w:r>
      <w:r w:rsidR="00C26D60" w:rsidRPr="00C26D60">
        <w:rPr>
          <w:rFonts w:cs="Times New Roman"/>
          <w:color w:val="000000"/>
        </w:rPr>
        <w:t>market</w:t>
      </w:r>
      <w:r w:rsidR="00C26D60">
        <w:rPr>
          <w:rFonts w:cs="Times New Roman"/>
          <w:color w:val="000000"/>
        </w:rPr>
        <w:t xml:space="preserve">, </w:t>
      </w:r>
      <w:r w:rsidRPr="00C26D60">
        <w:rPr>
          <w:rFonts w:cs="Times New Roman"/>
          <w:color w:val="000000"/>
        </w:rPr>
        <w:t xml:space="preserve">partly fostered by restrictive maternity leave policies, lack of flexible work </w:t>
      </w:r>
      <w:r w:rsidR="00715CC3" w:rsidRPr="00C26D60">
        <w:rPr>
          <w:rFonts w:cs="Times New Roman"/>
          <w:color w:val="000000"/>
        </w:rPr>
        <w:t xml:space="preserve">arrangements, and scarce childcare options for children under 3. </w:t>
      </w:r>
    </w:p>
    <w:p w14:paraId="5072A02A" w14:textId="2D79138C" w:rsidR="00715CC3" w:rsidRPr="00C26D60" w:rsidRDefault="00715CC3" w:rsidP="00FD674F">
      <w:pPr>
        <w:pStyle w:val="ListParagraph"/>
        <w:numPr>
          <w:ilvl w:val="1"/>
          <w:numId w:val="9"/>
        </w:numPr>
        <w:spacing w:after="0" w:line="240" w:lineRule="auto"/>
        <w:jc w:val="both"/>
        <w:rPr>
          <w:rFonts w:cs="Times New Roman"/>
          <w:color w:val="000000"/>
        </w:rPr>
      </w:pPr>
      <w:r w:rsidRPr="00C26D60">
        <w:rPr>
          <w:rFonts w:cs="Times New Roman"/>
          <w:b/>
          <w:i/>
          <w:color w:val="000000"/>
        </w:rPr>
        <w:t>Entrepreneurship and livelihoods</w:t>
      </w:r>
      <w:r w:rsidRPr="00C26D60">
        <w:rPr>
          <w:rFonts w:cs="Times New Roman"/>
          <w:color w:val="000000"/>
        </w:rPr>
        <w:t xml:space="preserve">: </w:t>
      </w:r>
      <w:r w:rsidR="007B6C79">
        <w:rPr>
          <w:rFonts w:cs="Times New Roman"/>
          <w:color w:val="000000"/>
        </w:rPr>
        <w:t>E</w:t>
      </w:r>
      <w:r w:rsidR="00C26D60">
        <w:rPr>
          <w:rFonts w:cs="Times New Roman"/>
          <w:color w:val="000000"/>
        </w:rPr>
        <w:t xml:space="preserve">ntrepreneurship </w:t>
      </w:r>
      <w:r w:rsidR="007B6C79">
        <w:rPr>
          <w:rFonts w:cs="Times New Roman"/>
          <w:color w:val="000000"/>
        </w:rPr>
        <w:t>can be</w:t>
      </w:r>
      <w:r w:rsidR="00C26D60">
        <w:rPr>
          <w:rFonts w:cs="Times New Roman"/>
          <w:color w:val="000000"/>
        </w:rPr>
        <w:t xml:space="preserve"> an important gateway to livelihoods</w:t>
      </w:r>
      <w:r w:rsidR="00EA39E1">
        <w:rPr>
          <w:rFonts w:cs="Times New Roman"/>
          <w:color w:val="000000"/>
        </w:rPr>
        <w:t xml:space="preserve"> for both men and women</w:t>
      </w:r>
      <w:r w:rsidR="007B6C79">
        <w:rPr>
          <w:rFonts w:cs="Times New Roman"/>
          <w:color w:val="000000"/>
        </w:rPr>
        <w:t>, especially in rural areas where employment opportunities are scarcer</w:t>
      </w:r>
      <w:r w:rsidR="00EA39E1">
        <w:rPr>
          <w:rFonts w:cs="Times New Roman"/>
          <w:color w:val="000000"/>
        </w:rPr>
        <w:t xml:space="preserve">. </w:t>
      </w:r>
      <w:r w:rsidR="00566CE2">
        <w:rPr>
          <w:rFonts w:cs="Times New Roman"/>
          <w:color w:val="000000"/>
        </w:rPr>
        <w:t>Entrepreneurship can give a viable alternative to women who may otherwise opt for migration at a high family and social cost.</w:t>
      </w:r>
      <w:r w:rsidR="00C26D60">
        <w:rPr>
          <w:rFonts w:cs="Times New Roman"/>
          <w:color w:val="000000"/>
        </w:rPr>
        <w:t xml:space="preserve"> </w:t>
      </w:r>
      <w:r w:rsidR="00566CE2">
        <w:rPr>
          <w:rFonts w:cs="Times New Roman"/>
          <w:color w:val="000000"/>
        </w:rPr>
        <w:t>Women in Moldova are less likely to start a business, and when they do</w:t>
      </w:r>
      <w:r w:rsidR="00BD6FE4">
        <w:rPr>
          <w:rFonts w:cs="Times New Roman"/>
          <w:color w:val="000000"/>
        </w:rPr>
        <w:t>,</w:t>
      </w:r>
      <w:r w:rsidR="00566CE2">
        <w:rPr>
          <w:rFonts w:cs="Times New Roman"/>
          <w:color w:val="000000"/>
        </w:rPr>
        <w:t xml:space="preserve"> they are less likely to expand and employ others. Detailed research and policies on women in business is incipient; available data suggests that barriers </w:t>
      </w:r>
      <w:r w:rsidR="00BD6FE4">
        <w:rPr>
          <w:rFonts w:cs="Times New Roman"/>
          <w:color w:val="000000"/>
        </w:rPr>
        <w:t>include</w:t>
      </w:r>
      <w:r w:rsidR="00566CE2">
        <w:rPr>
          <w:rFonts w:cs="Times New Roman"/>
          <w:color w:val="000000"/>
        </w:rPr>
        <w:t xml:space="preserve"> social norms, access to productive assets, and </w:t>
      </w:r>
      <w:r w:rsidR="00BD6FE4">
        <w:rPr>
          <w:rFonts w:cs="Times New Roman"/>
          <w:color w:val="000000"/>
        </w:rPr>
        <w:t xml:space="preserve">the </w:t>
      </w:r>
      <w:r w:rsidR="00566CE2">
        <w:rPr>
          <w:rFonts w:cs="Times New Roman"/>
          <w:color w:val="000000"/>
        </w:rPr>
        <w:t xml:space="preserve">need for skills such as </w:t>
      </w:r>
      <w:r w:rsidRPr="00C26D60">
        <w:rPr>
          <w:rFonts w:cs="Times New Roman"/>
          <w:color w:val="000000"/>
        </w:rPr>
        <w:t xml:space="preserve">leadership, management, financial </w:t>
      </w:r>
      <w:r w:rsidR="00C26D60" w:rsidRPr="00C26D60">
        <w:rPr>
          <w:rFonts w:cs="Times New Roman"/>
          <w:color w:val="000000"/>
        </w:rPr>
        <w:t>literacy</w:t>
      </w:r>
      <w:r w:rsidR="00566CE2">
        <w:rPr>
          <w:rFonts w:cs="Times New Roman"/>
          <w:color w:val="000000"/>
        </w:rPr>
        <w:t>, etc.</w:t>
      </w:r>
    </w:p>
    <w:p w14:paraId="58774A57" w14:textId="18EF9AA8" w:rsidR="00C219B9" w:rsidRPr="00C26D60" w:rsidRDefault="00F4008D" w:rsidP="00F4008D">
      <w:pPr>
        <w:pStyle w:val="ListParagraph"/>
        <w:numPr>
          <w:ilvl w:val="0"/>
          <w:numId w:val="9"/>
        </w:numPr>
        <w:spacing w:after="0" w:line="240" w:lineRule="auto"/>
        <w:jc w:val="both"/>
        <w:rPr>
          <w:rFonts w:cs="Times New Roman"/>
          <w:color w:val="000000"/>
        </w:rPr>
      </w:pPr>
      <w:r w:rsidRPr="00C26D60">
        <w:rPr>
          <w:rFonts w:cs="Times New Roman"/>
          <w:b/>
          <w:i/>
          <w:color w:val="000000"/>
        </w:rPr>
        <w:t>A</w:t>
      </w:r>
      <w:r w:rsidR="00C219B9" w:rsidRPr="00C26D60">
        <w:rPr>
          <w:rFonts w:cs="Times New Roman"/>
          <w:b/>
          <w:i/>
          <w:color w:val="000000"/>
        </w:rPr>
        <w:t>gency</w:t>
      </w:r>
      <w:r w:rsidRPr="00C26D60">
        <w:rPr>
          <w:rFonts w:cs="Times New Roman"/>
          <w:b/>
          <w:i/>
          <w:color w:val="000000"/>
        </w:rPr>
        <w:t>, voice, and gender-based violence</w:t>
      </w:r>
      <w:r w:rsidR="00FB0066" w:rsidRPr="00C26D60">
        <w:rPr>
          <w:rFonts w:cs="Times New Roman"/>
          <w:color w:val="000000"/>
        </w:rPr>
        <w:t xml:space="preserve">: Women </w:t>
      </w:r>
      <w:r w:rsidR="00566CE2">
        <w:rPr>
          <w:rFonts w:cs="Times New Roman"/>
          <w:color w:val="000000"/>
        </w:rPr>
        <w:t xml:space="preserve">are under-represented </w:t>
      </w:r>
      <w:r w:rsidR="00FB0066" w:rsidRPr="00C26D60">
        <w:rPr>
          <w:rFonts w:cs="Times New Roman"/>
          <w:color w:val="000000"/>
        </w:rPr>
        <w:t>in leadership positons in</w:t>
      </w:r>
      <w:r w:rsidR="00C219B9" w:rsidRPr="00C26D60">
        <w:rPr>
          <w:rFonts w:cs="Times New Roman"/>
          <w:color w:val="000000"/>
        </w:rPr>
        <w:t xml:space="preserve"> local and natio</w:t>
      </w:r>
      <w:r w:rsidR="00566CE2">
        <w:rPr>
          <w:rFonts w:cs="Times New Roman"/>
          <w:color w:val="000000"/>
        </w:rPr>
        <w:t xml:space="preserve">nal government, in </w:t>
      </w:r>
      <w:r w:rsidR="00BD6FE4">
        <w:rPr>
          <w:rFonts w:cs="Times New Roman"/>
          <w:color w:val="000000"/>
        </w:rPr>
        <w:t xml:space="preserve">the </w:t>
      </w:r>
      <w:r w:rsidR="00566CE2">
        <w:rPr>
          <w:rFonts w:cs="Times New Roman"/>
          <w:color w:val="000000"/>
        </w:rPr>
        <w:t xml:space="preserve">legislature, </w:t>
      </w:r>
      <w:r w:rsidR="00FB0066" w:rsidRPr="00C26D60">
        <w:rPr>
          <w:rFonts w:cs="Times New Roman"/>
          <w:color w:val="000000"/>
        </w:rPr>
        <w:t xml:space="preserve">among judges, senior civil servants, senior foreign servants, and in media. </w:t>
      </w:r>
      <w:r w:rsidR="00566CE2">
        <w:rPr>
          <w:rFonts w:cs="Times New Roman"/>
          <w:color w:val="000000"/>
        </w:rPr>
        <w:t>Apart from excluding women from decision-making, this serves to perpetuate gender norms and biases</w:t>
      </w:r>
      <w:r w:rsidR="00BD6FE4">
        <w:rPr>
          <w:rFonts w:cs="Times New Roman"/>
          <w:color w:val="000000"/>
        </w:rPr>
        <w:t>.</w:t>
      </w:r>
      <w:r w:rsidR="00BF13C5">
        <w:rPr>
          <w:rStyle w:val="FootnoteReference"/>
          <w:rFonts w:cs="Times New Roman"/>
          <w:color w:val="000000"/>
        </w:rPr>
        <w:footnoteReference w:id="8"/>
      </w:r>
      <w:r w:rsidR="00566CE2">
        <w:rPr>
          <w:rFonts w:cs="Times New Roman"/>
          <w:color w:val="000000"/>
        </w:rPr>
        <w:t xml:space="preserve"> In addition, </w:t>
      </w:r>
      <w:r w:rsidR="00FB0066" w:rsidRPr="00C26D60">
        <w:rPr>
          <w:rFonts w:cs="Times New Roman"/>
          <w:color w:val="000000"/>
        </w:rPr>
        <w:t xml:space="preserve">Moldova has one of the </w:t>
      </w:r>
      <w:r w:rsidR="00C26D60" w:rsidRPr="00C26D60">
        <w:rPr>
          <w:rFonts w:cs="Times New Roman"/>
          <w:color w:val="000000"/>
        </w:rPr>
        <w:t>highest</w:t>
      </w:r>
      <w:r w:rsidR="00FB0066" w:rsidRPr="00C26D60">
        <w:rPr>
          <w:rFonts w:cs="Times New Roman"/>
          <w:color w:val="000000"/>
        </w:rPr>
        <w:t xml:space="preserve"> rates in </w:t>
      </w:r>
      <w:r w:rsidR="00C26D60" w:rsidRPr="00C26D60">
        <w:rPr>
          <w:rFonts w:cs="Times New Roman"/>
          <w:color w:val="000000"/>
        </w:rPr>
        <w:t>human</w:t>
      </w:r>
      <w:r w:rsidR="00FB0066" w:rsidRPr="00C26D60">
        <w:rPr>
          <w:rFonts w:cs="Times New Roman"/>
          <w:color w:val="000000"/>
        </w:rPr>
        <w:t xml:space="preserve"> trafficking (primarily as a source country) and in domestic violence in the region, which indicates </w:t>
      </w:r>
      <w:r w:rsidR="00A91117">
        <w:rPr>
          <w:rFonts w:cs="Times New Roman"/>
          <w:color w:val="000000"/>
        </w:rPr>
        <w:t>both vulnerabilities for women on the labor market, and</w:t>
      </w:r>
      <w:r w:rsidR="00A91117" w:rsidRPr="00C26D60">
        <w:rPr>
          <w:rFonts w:cs="Times New Roman"/>
          <w:color w:val="000000"/>
        </w:rPr>
        <w:t xml:space="preserve"> gaps</w:t>
      </w:r>
      <w:r w:rsidR="00FB0066" w:rsidRPr="00C26D60">
        <w:rPr>
          <w:rFonts w:cs="Times New Roman"/>
          <w:color w:val="000000"/>
        </w:rPr>
        <w:t xml:space="preserve"> in public awareness on these issues among both men and women.</w:t>
      </w:r>
    </w:p>
    <w:p w14:paraId="736BD8B3" w14:textId="77777777" w:rsidR="00F0209F" w:rsidRPr="00C26D60" w:rsidRDefault="00F4008D" w:rsidP="00D57BD0">
      <w:pPr>
        <w:pStyle w:val="ListParagraph"/>
        <w:numPr>
          <w:ilvl w:val="0"/>
          <w:numId w:val="9"/>
        </w:numPr>
        <w:spacing w:after="0" w:line="240" w:lineRule="auto"/>
        <w:jc w:val="both"/>
        <w:rPr>
          <w:rFonts w:cs="Times New Roman"/>
          <w:color w:val="000000"/>
        </w:rPr>
      </w:pPr>
      <w:r w:rsidRPr="00C26D60">
        <w:rPr>
          <w:rFonts w:cs="Times New Roman"/>
          <w:b/>
          <w:i/>
          <w:color w:val="000000"/>
        </w:rPr>
        <w:t>Healthy lifestyles and behaviors:</w:t>
      </w:r>
      <w:r w:rsidRPr="00C26D60">
        <w:rPr>
          <w:rFonts w:cs="Times New Roman"/>
          <w:color w:val="000000"/>
        </w:rPr>
        <w:t xml:space="preserve"> </w:t>
      </w:r>
      <w:r w:rsidR="00FB0066" w:rsidRPr="00C26D60">
        <w:rPr>
          <w:rFonts w:cs="Times New Roman"/>
          <w:color w:val="000000"/>
        </w:rPr>
        <w:t xml:space="preserve">Mortality and morbidity is significantly higher among men, driven by unhealthy lifestyles, road and work-related injuries, and the fact that men access health services at much lower rates than women. </w:t>
      </w:r>
    </w:p>
    <w:p w14:paraId="2E1E8ACF" w14:textId="77777777" w:rsidR="00FB0066" w:rsidRPr="00C26D60" w:rsidRDefault="00FB0066" w:rsidP="00F60EB5">
      <w:pPr>
        <w:autoSpaceDE w:val="0"/>
        <w:autoSpaceDN w:val="0"/>
        <w:adjustRightInd w:val="0"/>
        <w:spacing w:after="0" w:line="240" w:lineRule="auto"/>
        <w:jc w:val="both"/>
        <w:rPr>
          <w:rFonts w:eastAsia="Times New Roman" w:cs="Times New Roman"/>
          <w:bCs/>
        </w:rPr>
      </w:pPr>
    </w:p>
    <w:p w14:paraId="3492F2B4" w14:textId="0B4675D2" w:rsidR="00C135F2" w:rsidRPr="00200C3D" w:rsidRDefault="009F2658" w:rsidP="007E29A3">
      <w:pPr>
        <w:autoSpaceDE w:val="0"/>
        <w:autoSpaceDN w:val="0"/>
        <w:adjustRightInd w:val="0"/>
        <w:spacing w:after="0" w:line="240" w:lineRule="auto"/>
        <w:jc w:val="both"/>
        <w:rPr>
          <w:rFonts w:cs="Times New Roman"/>
          <w:color w:val="000000"/>
          <w:lang w:val="ro-RO"/>
        </w:rPr>
      </w:pPr>
      <w:r w:rsidRPr="00A91117">
        <w:rPr>
          <w:rFonts w:cs="Times New Roman"/>
          <w:b/>
          <w:i/>
          <w:color w:val="000000"/>
        </w:rPr>
        <w:t xml:space="preserve">Research and advocacy work by government, development </w:t>
      </w:r>
      <w:r w:rsidR="00A91117" w:rsidRPr="00A91117">
        <w:rPr>
          <w:rFonts w:cs="Times New Roman"/>
          <w:b/>
          <w:i/>
          <w:color w:val="000000"/>
        </w:rPr>
        <w:t>institutions</w:t>
      </w:r>
      <w:r w:rsidRPr="00A91117">
        <w:rPr>
          <w:rFonts w:cs="Times New Roman"/>
          <w:b/>
          <w:i/>
          <w:color w:val="000000"/>
        </w:rPr>
        <w:t xml:space="preserve"> and CSOs active </w:t>
      </w:r>
      <w:r w:rsidR="00932A19">
        <w:rPr>
          <w:rFonts w:cs="Times New Roman"/>
          <w:b/>
          <w:i/>
          <w:color w:val="000000"/>
        </w:rPr>
        <w:t>o</w:t>
      </w:r>
      <w:r w:rsidRPr="00A91117">
        <w:rPr>
          <w:rFonts w:cs="Times New Roman"/>
          <w:b/>
          <w:i/>
          <w:color w:val="000000"/>
        </w:rPr>
        <w:t xml:space="preserve">n this agenda in Moldova </w:t>
      </w:r>
      <w:r w:rsidR="00367426" w:rsidRPr="00A91117">
        <w:rPr>
          <w:rFonts w:cs="Times New Roman"/>
          <w:b/>
          <w:i/>
          <w:color w:val="000000"/>
        </w:rPr>
        <w:t xml:space="preserve">indicate that the </w:t>
      </w:r>
      <w:r w:rsidR="00A91117" w:rsidRPr="00A91117">
        <w:rPr>
          <w:rFonts w:cs="Times New Roman"/>
          <w:b/>
          <w:i/>
          <w:color w:val="000000"/>
        </w:rPr>
        <w:t>persistence</w:t>
      </w:r>
      <w:r w:rsidR="00367426" w:rsidRPr="00A91117">
        <w:rPr>
          <w:rFonts w:cs="Times New Roman"/>
          <w:b/>
          <w:i/>
          <w:color w:val="000000"/>
        </w:rPr>
        <w:t xml:space="preserve"> of these gender gaps </w:t>
      </w:r>
      <w:r w:rsidR="00BD6FE4">
        <w:rPr>
          <w:rFonts w:cs="Times New Roman"/>
          <w:b/>
          <w:i/>
          <w:color w:val="000000"/>
        </w:rPr>
        <w:t>is due to</w:t>
      </w:r>
      <w:r w:rsidR="00367426" w:rsidRPr="00A91117">
        <w:rPr>
          <w:rFonts w:cs="Times New Roman"/>
          <w:b/>
          <w:i/>
          <w:color w:val="000000"/>
        </w:rPr>
        <w:t xml:space="preserve"> prevalent social norms reinforced by </w:t>
      </w:r>
      <w:r w:rsidR="00A91117" w:rsidRPr="00A91117">
        <w:rPr>
          <w:rFonts w:cs="Times New Roman"/>
          <w:b/>
          <w:i/>
          <w:color w:val="000000"/>
        </w:rPr>
        <w:t>education</w:t>
      </w:r>
      <w:r w:rsidR="00367426" w:rsidRPr="00A91117">
        <w:rPr>
          <w:rFonts w:cs="Times New Roman"/>
          <w:b/>
          <w:i/>
          <w:color w:val="000000"/>
        </w:rPr>
        <w:t xml:space="preserve">, media, and labor market as well as with </w:t>
      </w:r>
      <w:r w:rsidR="00BD6FE4">
        <w:rPr>
          <w:rFonts w:cs="Times New Roman"/>
          <w:b/>
          <w:i/>
          <w:color w:val="000000"/>
        </w:rPr>
        <w:t xml:space="preserve">a </w:t>
      </w:r>
      <w:r w:rsidR="00367426" w:rsidRPr="00A91117">
        <w:rPr>
          <w:rFonts w:cs="Times New Roman"/>
          <w:b/>
          <w:i/>
          <w:color w:val="000000"/>
        </w:rPr>
        <w:t xml:space="preserve">lack of </w:t>
      </w:r>
      <w:r w:rsidR="00A91117" w:rsidRPr="00A91117">
        <w:rPr>
          <w:rFonts w:cs="Times New Roman"/>
          <w:b/>
          <w:i/>
          <w:color w:val="000000"/>
        </w:rPr>
        <w:t>effective</w:t>
      </w:r>
      <w:r w:rsidR="00367426" w:rsidRPr="00A91117">
        <w:rPr>
          <w:rFonts w:cs="Times New Roman"/>
          <w:b/>
          <w:i/>
          <w:color w:val="000000"/>
        </w:rPr>
        <w:t xml:space="preserve"> implementation and enforcement of existing legislation.</w:t>
      </w:r>
      <w:r w:rsidR="007E7615">
        <w:rPr>
          <w:rFonts w:cs="Times New Roman"/>
          <w:color w:val="000000"/>
        </w:rPr>
        <w:t xml:space="preserve"> In some cases, </w:t>
      </w:r>
      <w:r w:rsidR="00367426" w:rsidRPr="00C26D60">
        <w:rPr>
          <w:rFonts w:cs="Times New Roman"/>
          <w:color w:val="000000"/>
        </w:rPr>
        <w:t xml:space="preserve">progress in </w:t>
      </w:r>
      <w:r w:rsidR="00A91117" w:rsidRPr="00C26D60">
        <w:rPr>
          <w:rFonts w:cs="Times New Roman"/>
          <w:color w:val="000000"/>
        </w:rPr>
        <w:t>legislation</w:t>
      </w:r>
      <w:r w:rsidR="00367426" w:rsidRPr="00C26D60">
        <w:rPr>
          <w:rFonts w:cs="Times New Roman"/>
          <w:color w:val="000000"/>
        </w:rPr>
        <w:t xml:space="preserve"> has to be followed </w:t>
      </w:r>
      <w:r w:rsidR="00681722">
        <w:rPr>
          <w:rFonts w:cs="Times New Roman"/>
          <w:color w:val="000000"/>
        </w:rPr>
        <w:t>up</w:t>
      </w:r>
      <w:r w:rsidR="00681722" w:rsidRPr="00C26D60">
        <w:rPr>
          <w:rFonts w:cs="Times New Roman"/>
          <w:color w:val="000000"/>
        </w:rPr>
        <w:t xml:space="preserve"> </w:t>
      </w:r>
      <w:r w:rsidR="00367426" w:rsidRPr="00C26D60">
        <w:rPr>
          <w:rFonts w:cs="Times New Roman"/>
          <w:color w:val="000000"/>
        </w:rPr>
        <w:t xml:space="preserve">with secondary </w:t>
      </w:r>
      <w:r w:rsidR="00A91117" w:rsidRPr="00C26D60">
        <w:rPr>
          <w:rFonts w:cs="Times New Roman"/>
          <w:color w:val="000000"/>
        </w:rPr>
        <w:t>regulations</w:t>
      </w:r>
      <w:r w:rsidR="00367426" w:rsidRPr="00C26D60">
        <w:rPr>
          <w:rFonts w:cs="Times New Roman"/>
          <w:color w:val="000000"/>
        </w:rPr>
        <w:t>, gui</w:t>
      </w:r>
      <w:r w:rsidR="007E7615">
        <w:rPr>
          <w:rFonts w:cs="Times New Roman"/>
          <w:color w:val="000000"/>
        </w:rPr>
        <w:t>delines, awareness,</w:t>
      </w:r>
      <w:r w:rsidR="00367426" w:rsidRPr="00C26D60">
        <w:rPr>
          <w:rFonts w:cs="Times New Roman"/>
          <w:color w:val="000000"/>
        </w:rPr>
        <w:t xml:space="preserve"> and capacity-building efforts</w:t>
      </w:r>
      <w:r w:rsidR="00A91117">
        <w:rPr>
          <w:rFonts w:cs="Times New Roman"/>
          <w:color w:val="000000"/>
        </w:rPr>
        <w:t>. This would ensure that</w:t>
      </w:r>
      <w:r w:rsidR="00367426" w:rsidRPr="00C26D60">
        <w:rPr>
          <w:rFonts w:cs="Times New Roman"/>
          <w:color w:val="000000"/>
        </w:rPr>
        <w:t xml:space="preserve"> </w:t>
      </w:r>
      <w:r w:rsidR="00A91117">
        <w:rPr>
          <w:rFonts w:cs="Times New Roman"/>
          <w:color w:val="000000"/>
        </w:rPr>
        <w:t xml:space="preserve">the </w:t>
      </w:r>
      <w:r w:rsidR="00681722">
        <w:rPr>
          <w:rFonts w:cs="Times New Roman"/>
          <w:color w:val="000000"/>
        </w:rPr>
        <w:t xml:space="preserve">relevant </w:t>
      </w:r>
      <w:r w:rsidR="00A91117">
        <w:rPr>
          <w:rFonts w:cs="Times New Roman"/>
          <w:color w:val="000000"/>
        </w:rPr>
        <w:t>agencies are</w:t>
      </w:r>
      <w:r w:rsidR="00367426" w:rsidRPr="00C26D60">
        <w:rPr>
          <w:rFonts w:cs="Times New Roman"/>
          <w:color w:val="000000"/>
        </w:rPr>
        <w:t xml:space="preserve"> able to </w:t>
      </w:r>
      <w:r w:rsidR="00A91117" w:rsidRPr="00C26D60">
        <w:rPr>
          <w:rFonts w:cs="Times New Roman"/>
          <w:color w:val="000000"/>
        </w:rPr>
        <w:t>apply</w:t>
      </w:r>
      <w:r w:rsidR="00367426" w:rsidRPr="00C26D60">
        <w:rPr>
          <w:rFonts w:cs="Times New Roman"/>
          <w:color w:val="000000"/>
        </w:rPr>
        <w:t xml:space="preserve"> and enforce the existing</w:t>
      </w:r>
      <w:r w:rsidR="00A91117">
        <w:rPr>
          <w:rFonts w:cs="Times New Roman"/>
          <w:color w:val="000000"/>
        </w:rPr>
        <w:t xml:space="preserve"> high-quality</w:t>
      </w:r>
      <w:r w:rsidR="00367426" w:rsidRPr="00C26D60">
        <w:rPr>
          <w:rFonts w:cs="Times New Roman"/>
          <w:color w:val="000000"/>
        </w:rPr>
        <w:t xml:space="preserve"> laws,</w:t>
      </w:r>
      <w:r w:rsidR="00A91117">
        <w:rPr>
          <w:rFonts w:cs="Times New Roman"/>
          <w:color w:val="000000"/>
          <w:lang w:val="ro-RO"/>
        </w:rPr>
        <w:t xml:space="preserve"> and promote </w:t>
      </w:r>
      <w:r w:rsidR="00367426">
        <w:rPr>
          <w:rFonts w:cs="Times New Roman"/>
          <w:color w:val="000000"/>
          <w:lang w:val="ro-RO"/>
        </w:rPr>
        <w:t>change in institution</w:t>
      </w:r>
      <w:r w:rsidR="00A91117">
        <w:rPr>
          <w:rFonts w:cs="Times New Roman"/>
          <w:color w:val="000000"/>
          <w:lang w:val="ro-RO"/>
        </w:rPr>
        <w:t xml:space="preserve">al </w:t>
      </w:r>
      <w:r w:rsidR="007E7615">
        <w:rPr>
          <w:rFonts w:cs="Times New Roman"/>
          <w:color w:val="000000"/>
          <w:lang w:val="ro-RO"/>
        </w:rPr>
        <w:t xml:space="preserve">and decision-making culture </w:t>
      </w:r>
      <w:r w:rsidR="00A91117">
        <w:rPr>
          <w:rFonts w:cs="Times New Roman"/>
          <w:color w:val="000000"/>
          <w:lang w:val="ro-RO"/>
        </w:rPr>
        <w:t>that would ultimately make an impact on gender equality</w:t>
      </w:r>
      <w:r w:rsidR="007E7615">
        <w:rPr>
          <w:rFonts w:cs="Times New Roman"/>
          <w:color w:val="000000"/>
          <w:lang w:val="ro-RO"/>
        </w:rPr>
        <w:t xml:space="preserve">. For </w:t>
      </w:r>
      <w:r w:rsidR="007E7615">
        <w:rPr>
          <w:rFonts w:cs="Times New Roman"/>
          <w:color w:val="000000"/>
          <w:lang w:val="ro-RO"/>
        </w:rPr>
        <w:lastRenderedPageBreak/>
        <w:t>example, ame</w:t>
      </w:r>
      <w:r w:rsidR="00681722">
        <w:rPr>
          <w:rFonts w:cs="Times New Roman"/>
          <w:color w:val="000000"/>
          <w:lang w:val="ro-RO"/>
        </w:rPr>
        <w:t>n</w:t>
      </w:r>
      <w:r w:rsidR="007E7615">
        <w:rPr>
          <w:rFonts w:cs="Times New Roman"/>
          <w:color w:val="000000"/>
          <w:lang w:val="ro-RO"/>
        </w:rPr>
        <w:t xml:space="preserve">dments to the Labor Code need to be followed up with detailed guidance on </w:t>
      </w:r>
      <w:r w:rsidR="00A91117">
        <w:rPr>
          <w:rFonts w:cs="Times New Roman"/>
          <w:color w:val="000000"/>
          <w:lang w:val="ro-RO"/>
        </w:rPr>
        <w:t xml:space="preserve"> </w:t>
      </w:r>
      <w:r w:rsidR="00367426">
        <w:rPr>
          <w:rFonts w:cs="Times New Roman"/>
          <w:color w:val="000000"/>
          <w:lang w:val="ro-RO"/>
        </w:rPr>
        <w:t>gender-balanced job annou</w:t>
      </w:r>
      <w:r w:rsidR="00681722">
        <w:rPr>
          <w:rFonts w:cs="Times New Roman"/>
          <w:color w:val="000000"/>
          <w:lang w:val="ro-RO"/>
        </w:rPr>
        <w:t>n</w:t>
      </w:r>
      <w:r w:rsidR="00367426">
        <w:rPr>
          <w:rFonts w:cs="Times New Roman"/>
          <w:color w:val="000000"/>
          <w:lang w:val="ro-RO"/>
        </w:rPr>
        <w:t>cement</w:t>
      </w:r>
      <w:r w:rsidR="00A91117">
        <w:rPr>
          <w:rFonts w:cs="Times New Roman"/>
          <w:color w:val="000000"/>
          <w:lang w:val="ro-RO"/>
        </w:rPr>
        <w:t>s</w:t>
      </w:r>
      <w:r w:rsidR="00367426">
        <w:rPr>
          <w:rFonts w:cs="Times New Roman"/>
          <w:color w:val="000000"/>
          <w:lang w:val="ro-RO"/>
        </w:rPr>
        <w:t xml:space="preserve">, </w:t>
      </w:r>
      <w:r w:rsidR="00A91117">
        <w:rPr>
          <w:rFonts w:cs="Times New Roman"/>
          <w:color w:val="000000"/>
          <w:lang w:val="ro-RO"/>
        </w:rPr>
        <w:t>hiring and promotion pract</w:t>
      </w:r>
      <w:r w:rsidR="00681722">
        <w:rPr>
          <w:rFonts w:cs="Times New Roman"/>
          <w:color w:val="000000"/>
          <w:lang w:val="ro-RO"/>
        </w:rPr>
        <w:t>i</w:t>
      </w:r>
      <w:r w:rsidR="00A91117">
        <w:rPr>
          <w:rFonts w:cs="Times New Roman"/>
          <w:color w:val="000000"/>
          <w:lang w:val="ro-RO"/>
        </w:rPr>
        <w:t>ces,</w:t>
      </w:r>
      <w:r w:rsidR="00367426">
        <w:rPr>
          <w:rFonts w:cs="Times New Roman"/>
          <w:color w:val="000000"/>
          <w:lang w:val="ro-RO"/>
        </w:rPr>
        <w:t xml:space="preserve"> equal pay for equal work</w:t>
      </w:r>
      <w:r w:rsidR="00A91117">
        <w:rPr>
          <w:rFonts w:cs="Times New Roman"/>
          <w:color w:val="000000"/>
          <w:lang w:val="ro-RO"/>
        </w:rPr>
        <w:t>, etc.</w:t>
      </w:r>
      <w:r w:rsidR="00367426">
        <w:rPr>
          <w:rFonts w:cs="Times New Roman"/>
          <w:color w:val="000000"/>
          <w:lang w:val="ro-RO"/>
        </w:rPr>
        <w:t xml:space="preserve"> </w:t>
      </w:r>
      <w:r w:rsidR="007E7615">
        <w:rPr>
          <w:rFonts w:cs="Times New Roman"/>
          <w:color w:val="000000"/>
          <w:lang w:val="ro-RO"/>
        </w:rPr>
        <w:t>On other aspects</w:t>
      </w:r>
      <w:r w:rsidR="00681722">
        <w:rPr>
          <w:rFonts w:cs="Times New Roman"/>
          <w:color w:val="000000"/>
          <w:lang w:val="ro-RO"/>
        </w:rPr>
        <w:t>—</w:t>
      </w:r>
      <w:r w:rsidR="007E7615">
        <w:rPr>
          <w:rFonts w:cs="Times New Roman"/>
          <w:color w:val="000000"/>
          <w:lang w:val="ro-RO"/>
        </w:rPr>
        <w:t>such as maternity,</w:t>
      </w:r>
      <w:r w:rsidR="00367426">
        <w:rPr>
          <w:rFonts w:cs="Times New Roman"/>
          <w:color w:val="000000"/>
          <w:lang w:val="ro-RO"/>
        </w:rPr>
        <w:t xml:space="preserve"> childcare, and </w:t>
      </w:r>
      <w:r w:rsidR="007E7615">
        <w:rPr>
          <w:rFonts w:cs="Times New Roman"/>
          <w:color w:val="000000"/>
          <w:lang w:val="ro-RO"/>
        </w:rPr>
        <w:t>flexible work arrangements</w:t>
      </w:r>
      <w:r w:rsidR="00681722">
        <w:rPr>
          <w:rFonts w:cs="Times New Roman"/>
          <w:color w:val="000000"/>
          <w:lang w:val="ro-RO"/>
        </w:rPr>
        <w:t>—</w:t>
      </w:r>
      <w:r w:rsidR="007E7615">
        <w:rPr>
          <w:rFonts w:cs="Times New Roman"/>
          <w:color w:val="000000"/>
          <w:lang w:val="ro-RO"/>
        </w:rPr>
        <w:t>further policy</w:t>
      </w:r>
      <w:r w:rsidR="00367426">
        <w:rPr>
          <w:rFonts w:cs="Times New Roman"/>
          <w:color w:val="000000"/>
          <w:lang w:val="ro-RO"/>
        </w:rPr>
        <w:t xml:space="preserve"> discussion and regu</w:t>
      </w:r>
      <w:r w:rsidR="00A91117">
        <w:rPr>
          <w:rFonts w:cs="Times New Roman"/>
          <w:color w:val="000000"/>
          <w:lang w:val="ro-RO"/>
        </w:rPr>
        <w:t>latory</w:t>
      </w:r>
      <w:r w:rsidR="00367426">
        <w:rPr>
          <w:rFonts w:cs="Times New Roman"/>
          <w:color w:val="000000"/>
          <w:lang w:val="ro-RO"/>
        </w:rPr>
        <w:t xml:space="preserve"> change</w:t>
      </w:r>
      <w:r w:rsidR="007E7615">
        <w:rPr>
          <w:rFonts w:cs="Times New Roman"/>
          <w:color w:val="000000"/>
          <w:lang w:val="ro-RO"/>
        </w:rPr>
        <w:t xml:space="preserve">s may be needed to prevent disruptions of women’s inclusion in the labor market. </w:t>
      </w:r>
      <w:r w:rsidR="00367426">
        <w:rPr>
          <w:rFonts w:cs="Times New Roman"/>
          <w:color w:val="000000"/>
          <w:lang w:val="ro-RO"/>
        </w:rPr>
        <w:t xml:space="preserve"> Legal progress on voice and representation for women through quotas also needs to be accompanied by behavioral and cultural change</w:t>
      </w:r>
      <w:r w:rsidR="00681722">
        <w:rPr>
          <w:rFonts w:cs="Times New Roman"/>
          <w:color w:val="000000"/>
          <w:lang w:val="ro-RO"/>
        </w:rPr>
        <w:t>—</w:t>
      </w:r>
      <w:r w:rsidR="00367426">
        <w:rPr>
          <w:rFonts w:cs="Times New Roman"/>
          <w:color w:val="000000"/>
          <w:lang w:val="ro-RO"/>
        </w:rPr>
        <w:t>including through role of media</w:t>
      </w:r>
      <w:r w:rsidR="00681722">
        <w:rPr>
          <w:rFonts w:cs="Times New Roman"/>
          <w:color w:val="000000"/>
          <w:lang w:val="ro-RO"/>
        </w:rPr>
        <w:t>—</w:t>
      </w:r>
      <w:r w:rsidR="00367426">
        <w:rPr>
          <w:rFonts w:cs="Times New Roman"/>
          <w:color w:val="000000"/>
          <w:lang w:val="ro-RO"/>
        </w:rPr>
        <w:t xml:space="preserve">to encourage meaningful inclusion of women in decision-making roles </w:t>
      </w:r>
      <w:r w:rsidR="00FC36FB">
        <w:rPr>
          <w:rFonts w:cs="Times New Roman"/>
          <w:color w:val="000000"/>
          <w:lang w:val="ro-RO"/>
        </w:rPr>
        <w:t xml:space="preserve">at </w:t>
      </w:r>
      <w:r w:rsidR="00681722">
        <w:rPr>
          <w:rFonts w:cs="Times New Roman"/>
          <w:color w:val="000000"/>
          <w:lang w:val="ro-RO"/>
        </w:rPr>
        <w:t xml:space="preserve">the </w:t>
      </w:r>
      <w:r w:rsidR="00FC36FB">
        <w:rPr>
          <w:rFonts w:cs="Times New Roman"/>
          <w:color w:val="000000"/>
          <w:lang w:val="ro-RO"/>
        </w:rPr>
        <w:t xml:space="preserve">local and national level. Judicial protection for victims of violence should also be accompanied by liveilhood and economic empowerment programs and services that can give </w:t>
      </w:r>
      <w:r w:rsidR="007E7615">
        <w:rPr>
          <w:rFonts w:cs="Times New Roman"/>
          <w:color w:val="000000"/>
          <w:lang w:val="ro-RO"/>
        </w:rPr>
        <w:t>meaningful</w:t>
      </w:r>
      <w:r w:rsidR="00FC36FB">
        <w:rPr>
          <w:rFonts w:cs="Times New Roman"/>
          <w:color w:val="000000"/>
          <w:lang w:val="ro-RO"/>
        </w:rPr>
        <w:t xml:space="preserve"> options to potential victims of trafficking or violence to change their situation. </w:t>
      </w:r>
    </w:p>
    <w:p w14:paraId="31D869E7" w14:textId="77777777" w:rsidR="00BB45F8" w:rsidRDefault="00BB45F8" w:rsidP="00BB45F8">
      <w:pPr>
        <w:spacing w:after="0" w:line="240" w:lineRule="auto"/>
        <w:jc w:val="both"/>
        <w:rPr>
          <w:rFonts w:cs="Times New Roman"/>
          <w:color w:val="000000"/>
          <w:lang w:val="ro-RO"/>
        </w:rPr>
      </w:pPr>
    </w:p>
    <w:p w14:paraId="56639351" w14:textId="335EA076" w:rsidR="00BB45F8" w:rsidRDefault="008A2715" w:rsidP="00D57BD0">
      <w:pPr>
        <w:spacing w:after="0" w:line="240" w:lineRule="auto"/>
        <w:jc w:val="both"/>
        <w:rPr>
          <w:rFonts w:cs="Times New Roman"/>
        </w:rPr>
      </w:pPr>
      <w:r>
        <w:rPr>
          <w:rFonts w:cs="Times New Roman"/>
          <w:b/>
          <w:i/>
        </w:rPr>
        <w:t>A more detailed discussion</w:t>
      </w:r>
      <w:r w:rsidR="00AF7145" w:rsidRPr="000B4E3A">
        <w:rPr>
          <w:rFonts w:cs="Times New Roman"/>
          <w:b/>
          <w:i/>
        </w:rPr>
        <w:t xml:space="preserve"> on the </w:t>
      </w:r>
      <w:r w:rsidR="000B4E3A" w:rsidRPr="000B4E3A">
        <w:rPr>
          <w:rFonts w:cs="Times New Roman"/>
          <w:b/>
          <w:i/>
        </w:rPr>
        <w:t>gender issues listed above</w:t>
      </w:r>
      <w:r>
        <w:rPr>
          <w:rFonts w:cs="Times New Roman"/>
          <w:b/>
          <w:i/>
        </w:rPr>
        <w:t xml:space="preserve"> is included in </w:t>
      </w:r>
      <w:r w:rsidR="003039F5">
        <w:rPr>
          <w:rFonts w:cs="Times New Roman"/>
          <w:b/>
          <w:i/>
        </w:rPr>
        <w:t xml:space="preserve">the </w:t>
      </w:r>
      <w:r>
        <w:rPr>
          <w:rFonts w:cs="Times New Roman"/>
          <w:b/>
          <w:i/>
        </w:rPr>
        <w:t>Annex</w:t>
      </w:r>
      <w:r w:rsidR="000B4E3A" w:rsidRPr="000B4E3A">
        <w:rPr>
          <w:rFonts w:cs="Times New Roman"/>
          <w:b/>
          <w:i/>
        </w:rPr>
        <w:t>.</w:t>
      </w:r>
      <w:r w:rsidR="000B4E3A">
        <w:rPr>
          <w:rFonts w:cs="Times New Roman"/>
        </w:rPr>
        <w:t xml:space="preserve"> These </w:t>
      </w:r>
      <w:r>
        <w:rPr>
          <w:rFonts w:cs="Times New Roman"/>
        </w:rPr>
        <w:t xml:space="preserve">issues </w:t>
      </w:r>
      <w:r w:rsidR="000B4E3A">
        <w:rPr>
          <w:rFonts w:cs="Times New Roman"/>
        </w:rPr>
        <w:t>are further summarized in section ‘6.3. Country gender equality outcomes’ in a proposed CGAP Action Matrix that links</w:t>
      </w:r>
      <w:r w:rsidR="008B2F0C">
        <w:rPr>
          <w:rFonts w:cs="Times New Roman"/>
        </w:rPr>
        <w:t xml:space="preserve"> the gender issues</w:t>
      </w:r>
      <w:r w:rsidR="000B4E3A">
        <w:rPr>
          <w:rFonts w:cs="Times New Roman"/>
        </w:rPr>
        <w:t xml:space="preserve"> to </w:t>
      </w:r>
      <w:r w:rsidR="003039F5">
        <w:rPr>
          <w:rFonts w:cs="Times New Roman"/>
        </w:rPr>
        <w:t xml:space="preserve">the </w:t>
      </w:r>
      <w:r w:rsidR="000B4E3A">
        <w:rPr>
          <w:rFonts w:cs="Times New Roman"/>
        </w:rPr>
        <w:t>current and planned WBG portfolio in Moldova</w:t>
      </w:r>
      <w:r w:rsidR="008B2F0C">
        <w:rPr>
          <w:rFonts w:cs="Times New Roman"/>
        </w:rPr>
        <w:t>, and suggested targets for enhancing WBG impact on key gender equality outcomes in the country</w:t>
      </w:r>
      <w:r w:rsidR="000B4E3A">
        <w:rPr>
          <w:rFonts w:cs="Times New Roman"/>
        </w:rPr>
        <w:t xml:space="preserve">. </w:t>
      </w:r>
    </w:p>
    <w:p w14:paraId="45176072" w14:textId="77777777" w:rsidR="00D57BD0" w:rsidRPr="007617D7" w:rsidRDefault="00D57BD0" w:rsidP="00D57BD0">
      <w:pPr>
        <w:spacing w:after="0" w:line="240" w:lineRule="auto"/>
        <w:rPr>
          <w:rFonts w:cs="Times New Roman"/>
        </w:rPr>
      </w:pPr>
    </w:p>
    <w:p w14:paraId="07EC035C" w14:textId="77777777" w:rsidR="00D57BD0" w:rsidRPr="00B50FD1" w:rsidRDefault="00D57BD0" w:rsidP="00D57BD0">
      <w:pPr>
        <w:spacing w:after="0" w:line="240" w:lineRule="auto"/>
        <w:rPr>
          <w:rFonts w:cs="Times New Roman"/>
          <w:b/>
          <w:u w:val="single"/>
        </w:rPr>
      </w:pPr>
    </w:p>
    <w:p w14:paraId="04498943" w14:textId="77777777" w:rsidR="009366B8" w:rsidRDefault="009366B8" w:rsidP="00CE7281">
      <w:pPr>
        <w:pStyle w:val="Heading2"/>
        <w:numPr>
          <w:ilvl w:val="0"/>
          <w:numId w:val="16"/>
        </w:numPr>
      </w:pPr>
      <w:bookmarkStart w:id="4" w:name="_Toc476839790"/>
      <w:r>
        <w:t>Government Priorities on Gender Equality</w:t>
      </w:r>
      <w:bookmarkEnd w:id="4"/>
    </w:p>
    <w:p w14:paraId="14238298" w14:textId="77777777" w:rsidR="009366B8" w:rsidRDefault="009366B8" w:rsidP="00D57BD0">
      <w:pPr>
        <w:spacing w:after="0" w:line="240" w:lineRule="auto"/>
        <w:rPr>
          <w:rFonts w:cs="Times New Roman"/>
          <w:b/>
        </w:rPr>
      </w:pPr>
    </w:p>
    <w:p w14:paraId="1229EAD9" w14:textId="40E6ED7A" w:rsidR="004C5F79" w:rsidRDefault="00110004" w:rsidP="00C97155">
      <w:pPr>
        <w:spacing w:after="0" w:line="240" w:lineRule="auto"/>
        <w:jc w:val="both"/>
        <w:rPr>
          <w:rFonts w:cs="Times New Roman"/>
        </w:rPr>
      </w:pPr>
      <w:r w:rsidRPr="00C97155">
        <w:rPr>
          <w:rFonts w:cs="Times New Roman"/>
          <w:b/>
          <w:i/>
        </w:rPr>
        <w:t xml:space="preserve">National priorities on gender focus on equality in the labor market, increasing women’s representation in politics, improving the enabling environment for women entrepreneurs and combating gender-based violence. </w:t>
      </w:r>
      <w:r w:rsidR="009366B8" w:rsidRPr="009366B8">
        <w:rPr>
          <w:rFonts w:cs="Times New Roman"/>
        </w:rPr>
        <w:t>M</w:t>
      </w:r>
      <w:r>
        <w:rPr>
          <w:rFonts w:cs="Times New Roman"/>
        </w:rPr>
        <w:t xml:space="preserve">oldova has recently elaborated its new </w:t>
      </w:r>
      <w:r w:rsidR="009366B8" w:rsidRPr="009366B8">
        <w:rPr>
          <w:rFonts w:cs="Times New Roman"/>
        </w:rPr>
        <w:t xml:space="preserve">Gender Equality Strategy 2016-2020 </w:t>
      </w:r>
      <w:r>
        <w:rPr>
          <w:rFonts w:cs="Times New Roman"/>
        </w:rPr>
        <w:t>[to confirm its official approval] that</w:t>
      </w:r>
      <w:r w:rsidR="009366B8" w:rsidRPr="009366B8">
        <w:rPr>
          <w:rFonts w:cs="Times New Roman"/>
        </w:rPr>
        <w:t xml:space="preserve"> aims to mainstream gender </w:t>
      </w:r>
      <w:r>
        <w:rPr>
          <w:rFonts w:cs="Times New Roman"/>
        </w:rPr>
        <w:t>i</w:t>
      </w:r>
      <w:r w:rsidR="009366B8" w:rsidRPr="009366B8">
        <w:rPr>
          <w:rFonts w:cs="Times New Roman"/>
        </w:rPr>
        <w:t>n a wide range of policy areas including health, education, social services, labor market, women, peace and security, climate change and disaster management, political participation, etc. The Ministry of Labor, Health, and Social Affairs has the mandate to coordinate implementation of this program across Government</w:t>
      </w:r>
      <w:r w:rsidR="001C7BDD">
        <w:rPr>
          <w:rFonts w:cs="Times New Roman"/>
        </w:rPr>
        <w:t>.</w:t>
      </w:r>
      <w:r>
        <w:rPr>
          <w:rFonts w:cs="Times New Roman"/>
        </w:rPr>
        <w:t xml:space="preserve"> </w:t>
      </w:r>
      <w:r w:rsidR="001C7BDD">
        <w:rPr>
          <w:rFonts w:cs="Times New Roman"/>
        </w:rPr>
        <w:t>However, g</w:t>
      </w:r>
      <w:r>
        <w:rPr>
          <w:rFonts w:cs="Times New Roman"/>
        </w:rPr>
        <w:t>overnment agencies in each sector are responsible for allocating financial resources, or directing donor funding</w:t>
      </w:r>
      <w:r w:rsidR="001C7BDD">
        <w:rPr>
          <w:rFonts w:cs="Times New Roman"/>
        </w:rPr>
        <w:t>,</w:t>
      </w:r>
      <w:r>
        <w:rPr>
          <w:rFonts w:cs="Times New Roman"/>
        </w:rPr>
        <w:t xml:space="preserve"> towards areas under their mandate that are not covered by the national budget.</w:t>
      </w:r>
      <w:r w:rsidR="009366B8" w:rsidRPr="009366B8">
        <w:rPr>
          <w:rStyle w:val="FootnoteReference"/>
          <w:rFonts w:cs="Times New Roman"/>
        </w:rPr>
        <w:footnoteReference w:id="9"/>
      </w:r>
      <w:r>
        <w:rPr>
          <w:rFonts w:cs="Times New Roman"/>
        </w:rPr>
        <w:t xml:space="preserve"> </w:t>
      </w:r>
    </w:p>
    <w:p w14:paraId="7D834338" w14:textId="77777777" w:rsidR="004C5F79" w:rsidRDefault="004C5F79" w:rsidP="00C97155">
      <w:pPr>
        <w:spacing w:after="0" w:line="240" w:lineRule="auto"/>
        <w:jc w:val="both"/>
        <w:rPr>
          <w:rFonts w:cs="Times New Roman"/>
        </w:rPr>
      </w:pPr>
    </w:p>
    <w:p w14:paraId="4166524D" w14:textId="1AEBAB5E" w:rsidR="00C97155" w:rsidRDefault="00110004" w:rsidP="00C97155">
      <w:pPr>
        <w:spacing w:after="0" w:line="240" w:lineRule="auto"/>
        <w:jc w:val="both"/>
        <w:rPr>
          <w:rFonts w:cs="Times New Roman"/>
        </w:rPr>
      </w:pPr>
      <w:r w:rsidRPr="007617D7">
        <w:rPr>
          <w:rFonts w:cs="Times New Roman"/>
          <w:b/>
          <w:i/>
        </w:rPr>
        <w:t xml:space="preserve">Table </w:t>
      </w:r>
      <w:r w:rsidR="00571B33">
        <w:rPr>
          <w:rFonts w:cs="Times New Roman"/>
          <w:b/>
          <w:i/>
        </w:rPr>
        <w:t>2</w:t>
      </w:r>
      <w:r w:rsidRPr="007617D7">
        <w:rPr>
          <w:rFonts w:cs="Times New Roman"/>
          <w:b/>
          <w:i/>
        </w:rPr>
        <w:t xml:space="preserve"> below summarizes the general and specific objectives of the National Gender Equality Strategy. </w:t>
      </w:r>
      <w:r w:rsidR="004C5F79">
        <w:rPr>
          <w:rFonts w:cs="Times New Roman"/>
          <w:b/>
          <w:i/>
        </w:rPr>
        <w:t xml:space="preserve"> </w:t>
      </w:r>
      <w:r w:rsidR="004C5F79">
        <w:rPr>
          <w:rFonts w:cs="Times New Roman"/>
        </w:rPr>
        <w:t>The priorities identified by the National Strategy are closely aligned with the World Bank Groups activities and outcomes, as proposed in the CGAP Matrix above.</w:t>
      </w:r>
    </w:p>
    <w:p w14:paraId="0EEB5E32" w14:textId="77777777" w:rsidR="000E34D6" w:rsidRDefault="000E34D6" w:rsidP="009366B8">
      <w:pPr>
        <w:pStyle w:val="Default"/>
        <w:jc w:val="both"/>
        <w:rPr>
          <w:rFonts w:asciiTheme="minorHAnsi" w:hAnsiTheme="minorHAnsi" w:cs="Times New Roman"/>
          <w:sz w:val="22"/>
          <w:szCs w:val="22"/>
        </w:rPr>
      </w:pPr>
    </w:p>
    <w:p w14:paraId="768960C7" w14:textId="5E19E39A" w:rsidR="000E34D6" w:rsidRPr="000E34D6" w:rsidRDefault="00345337" w:rsidP="009366B8">
      <w:pPr>
        <w:pStyle w:val="Default"/>
        <w:jc w:val="both"/>
        <w:rPr>
          <w:rFonts w:asciiTheme="minorHAnsi" w:hAnsiTheme="minorHAnsi" w:cs="Times New Roman"/>
          <w:b/>
          <w:i/>
          <w:sz w:val="20"/>
          <w:szCs w:val="20"/>
        </w:rPr>
      </w:pPr>
      <w:r>
        <w:rPr>
          <w:rFonts w:asciiTheme="minorHAnsi" w:hAnsiTheme="minorHAnsi" w:cs="Times New Roman"/>
          <w:b/>
          <w:i/>
          <w:sz w:val="20"/>
          <w:szCs w:val="20"/>
        </w:rPr>
        <w:t>Table</w:t>
      </w:r>
      <w:r w:rsidR="00571B33">
        <w:rPr>
          <w:rFonts w:asciiTheme="minorHAnsi" w:hAnsiTheme="minorHAnsi" w:cs="Times New Roman"/>
          <w:b/>
          <w:i/>
          <w:sz w:val="20"/>
          <w:szCs w:val="20"/>
        </w:rPr>
        <w:t xml:space="preserve"> 2</w:t>
      </w:r>
      <w:r w:rsidR="000E34D6" w:rsidRPr="000E34D6">
        <w:rPr>
          <w:rFonts w:asciiTheme="minorHAnsi" w:hAnsiTheme="minorHAnsi" w:cs="Times New Roman"/>
          <w:b/>
          <w:i/>
          <w:sz w:val="20"/>
          <w:szCs w:val="20"/>
        </w:rPr>
        <w:t xml:space="preserve">: </w:t>
      </w:r>
      <w:r>
        <w:rPr>
          <w:rFonts w:asciiTheme="minorHAnsi" w:hAnsiTheme="minorHAnsi" w:cs="Times New Roman"/>
          <w:b/>
          <w:i/>
          <w:sz w:val="20"/>
          <w:szCs w:val="20"/>
        </w:rPr>
        <w:t xml:space="preserve">Objectives of the </w:t>
      </w:r>
      <w:r w:rsidR="000E34D6" w:rsidRPr="000E34D6">
        <w:rPr>
          <w:rFonts w:asciiTheme="minorHAnsi" w:hAnsiTheme="minorHAnsi" w:cs="Times New Roman"/>
          <w:b/>
          <w:i/>
          <w:sz w:val="20"/>
          <w:szCs w:val="20"/>
        </w:rPr>
        <w:t xml:space="preserve">Draft National Gender Equality Strategy </w:t>
      </w:r>
      <w:r>
        <w:rPr>
          <w:rFonts w:asciiTheme="minorHAnsi" w:hAnsiTheme="minorHAnsi" w:cs="Times New Roman"/>
          <w:b/>
          <w:i/>
          <w:sz w:val="20"/>
          <w:szCs w:val="20"/>
        </w:rPr>
        <w:t>2016-2020</w:t>
      </w:r>
    </w:p>
    <w:tbl>
      <w:tblPr>
        <w:tblStyle w:val="TableGrid"/>
        <w:tblW w:w="9895" w:type="dxa"/>
        <w:tblLook w:val="04A0" w:firstRow="1" w:lastRow="0" w:firstColumn="1" w:lastColumn="0" w:noHBand="0" w:noVBand="1"/>
      </w:tblPr>
      <w:tblGrid>
        <w:gridCol w:w="2425"/>
        <w:gridCol w:w="7470"/>
      </w:tblGrid>
      <w:tr w:rsidR="000E34D6" w:rsidRPr="000E34D6" w14:paraId="71DE4A8A" w14:textId="77777777" w:rsidTr="000E34D6">
        <w:tc>
          <w:tcPr>
            <w:tcW w:w="2425" w:type="dxa"/>
          </w:tcPr>
          <w:p w14:paraId="0F52B07A" w14:textId="77777777" w:rsidR="000E34D6" w:rsidRPr="000E34D6" w:rsidRDefault="000E34D6" w:rsidP="009366B8">
            <w:pPr>
              <w:pStyle w:val="Default"/>
              <w:jc w:val="both"/>
              <w:rPr>
                <w:rFonts w:asciiTheme="minorHAnsi" w:hAnsiTheme="minorHAnsi" w:cs="Times New Roman"/>
                <w:b/>
                <w:sz w:val="20"/>
                <w:szCs w:val="20"/>
              </w:rPr>
            </w:pPr>
            <w:r w:rsidRPr="000E34D6">
              <w:rPr>
                <w:rFonts w:asciiTheme="minorHAnsi" w:hAnsiTheme="minorHAnsi" w:cs="Times New Roman"/>
                <w:b/>
                <w:sz w:val="20"/>
                <w:szCs w:val="20"/>
              </w:rPr>
              <w:t>General Objectives (GO)</w:t>
            </w:r>
          </w:p>
        </w:tc>
        <w:tc>
          <w:tcPr>
            <w:tcW w:w="7470" w:type="dxa"/>
          </w:tcPr>
          <w:p w14:paraId="7248E74C" w14:textId="77777777" w:rsidR="000E34D6" w:rsidRPr="000E34D6" w:rsidRDefault="000E34D6" w:rsidP="009366B8">
            <w:pPr>
              <w:pStyle w:val="Default"/>
              <w:jc w:val="both"/>
              <w:rPr>
                <w:rFonts w:asciiTheme="minorHAnsi" w:hAnsiTheme="minorHAnsi" w:cs="Times New Roman"/>
                <w:b/>
                <w:sz w:val="20"/>
                <w:szCs w:val="20"/>
              </w:rPr>
            </w:pPr>
            <w:r w:rsidRPr="000E34D6">
              <w:rPr>
                <w:rFonts w:asciiTheme="minorHAnsi" w:hAnsiTheme="minorHAnsi" w:cs="Times New Roman"/>
                <w:b/>
                <w:sz w:val="20"/>
                <w:szCs w:val="20"/>
              </w:rPr>
              <w:t>Specific objectives (SO)</w:t>
            </w:r>
          </w:p>
        </w:tc>
      </w:tr>
      <w:tr w:rsidR="000E34D6" w:rsidRPr="000E34D6" w14:paraId="00CCF993" w14:textId="77777777" w:rsidTr="000E34D6">
        <w:tc>
          <w:tcPr>
            <w:tcW w:w="2425" w:type="dxa"/>
          </w:tcPr>
          <w:p w14:paraId="77DE7AC1"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 xml:space="preserve">GO 1:Adopting a comprehensive approach to promoting gender equality </w:t>
            </w:r>
          </w:p>
          <w:p w14:paraId="2D182A3C" w14:textId="77777777" w:rsidR="000E34D6" w:rsidRPr="000E34D6" w:rsidRDefault="000E34D6" w:rsidP="009366B8">
            <w:pPr>
              <w:pStyle w:val="Default"/>
              <w:jc w:val="both"/>
              <w:rPr>
                <w:rFonts w:asciiTheme="minorHAnsi" w:hAnsiTheme="minorHAnsi" w:cs="Times New Roman"/>
                <w:sz w:val="20"/>
                <w:szCs w:val="20"/>
              </w:rPr>
            </w:pPr>
          </w:p>
        </w:tc>
        <w:tc>
          <w:tcPr>
            <w:tcW w:w="7470" w:type="dxa"/>
          </w:tcPr>
          <w:p w14:paraId="13191DD6" w14:textId="4CFB7FA8"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Women</w:t>
            </w:r>
            <w:r w:rsidR="00E626B6">
              <w:rPr>
                <w:rFonts w:asciiTheme="minorHAnsi" w:hAnsiTheme="minorHAnsi" w:cs="Times New Roman"/>
                <w:i/>
                <w:iCs/>
                <w:color w:val="auto"/>
                <w:sz w:val="20"/>
                <w:szCs w:val="20"/>
              </w:rPr>
              <w:t>’s</w:t>
            </w:r>
            <w:r w:rsidRPr="000E34D6">
              <w:rPr>
                <w:rFonts w:asciiTheme="minorHAnsi" w:hAnsiTheme="minorHAnsi" w:cs="Times New Roman"/>
                <w:i/>
                <w:iCs/>
                <w:color w:val="auto"/>
                <w:sz w:val="20"/>
                <w:szCs w:val="20"/>
              </w:rPr>
              <w:t xml:space="preserve"> participation in decision making </w:t>
            </w:r>
          </w:p>
          <w:p w14:paraId="459A4CA5"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1.1: Consolidating institutional and legal mechanisms which aim at women’s advancement in decision making processes</w:t>
            </w:r>
          </w:p>
          <w:p w14:paraId="4B7B2EBB" w14:textId="77777777" w:rsidR="000E34D6" w:rsidRPr="000E34D6" w:rsidRDefault="000E34D6" w:rsidP="000E34D6">
            <w:pPr>
              <w:pStyle w:val="Default"/>
              <w:rPr>
                <w:rFonts w:asciiTheme="minorHAnsi" w:hAnsiTheme="minorHAnsi" w:cs="Times New Roman"/>
                <w:color w:val="auto"/>
                <w:sz w:val="20"/>
                <w:szCs w:val="20"/>
              </w:rPr>
            </w:pPr>
          </w:p>
          <w:p w14:paraId="4FBC9F23"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 xml:space="preserve">Labor market and gender wage gaps </w:t>
            </w:r>
          </w:p>
          <w:p w14:paraId="1231EE70" w14:textId="7631365C"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1.2: Legislative amendments to adopt European standards on equal pay for equal  work</w:t>
            </w:r>
          </w:p>
          <w:p w14:paraId="209507AB" w14:textId="77777777" w:rsidR="000E34D6" w:rsidRPr="000E34D6" w:rsidRDefault="000E34D6" w:rsidP="000E34D6">
            <w:pPr>
              <w:pStyle w:val="Default"/>
              <w:rPr>
                <w:rFonts w:asciiTheme="minorHAnsi" w:hAnsiTheme="minorHAnsi" w:cs="Times New Roman"/>
                <w:i/>
                <w:iCs/>
                <w:color w:val="auto"/>
                <w:sz w:val="20"/>
                <w:szCs w:val="20"/>
              </w:rPr>
            </w:pPr>
          </w:p>
          <w:p w14:paraId="105401D1"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 xml:space="preserve">Social Protection and Family Policies </w:t>
            </w:r>
          </w:p>
          <w:p w14:paraId="01D6687A"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 xml:space="preserve">SO 1.3: Equitable representation of the needs of women and men in social policies </w:t>
            </w:r>
          </w:p>
          <w:p w14:paraId="1972B09E"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 xml:space="preserve">SO 1.4: Improving social policies on families with children to ensure equitable involvement of both parents in child care </w:t>
            </w:r>
          </w:p>
          <w:p w14:paraId="5FEE5BE4"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lastRenderedPageBreak/>
              <w:t>SO1.5: Improving social assistance policies and services through integrating gender dimensions</w:t>
            </w:r>
          </w:p>
          <w:p w14:paraId="5648170A" w14:textId="77777777" w:rsidR="000E34D6" w:rsidRPr="000E34D6" w:rsidRDefault="000E34D6" w:rsidP="000E34D6">
            <w:pPr>
              <w:pStyle w:val="Default"/>
              <w:rPr>
                <w:rFonts w:asciiTheme="minorHAnsi" w:hAnsiTheme="minorHAnsi" w:cs="Times New Roman"/>
                <w:color w:val="auto"/>
                <w:sz w:val="20"/>
                <w:szCs w:val="20"/>
              </w:rPr>
            </w:pPr>
          </w:p>
          <w:p w14:paraId="26A8B2FA"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 xml:space="preserve">Health Care </w:t>
            </w:r>
          </w:p>
          <w:p w14:paraId="30E6DA37" w14:textId="58FF6DD8"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1.6: Incorporating gender dimensions in medical staff training</w:t>
            </w:r>
          </w:p>
          <w:p w14:paraId="234E4F11" w14:textId="734A1655"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1.7: Promoting healthy behaviors during life cycles for men and women aiming at increased accessibility to health care services</w:t>
            </w:r>
          </w:p>
          <w:p w14:paraId="0E3C05E9" w14:textId="77777777" w:rsidR="000E34D6" w:rsidRPr="000E34D6" w:rsidRDefault="000E34D6" w:rsidP="000E34D6">
            <w:pPr>
              <w:pStyle w:val="Default"/>
              <w:rPr>
                <w:rFonts w:asciiTheme="minorHAnsi" w:hAnsiTheme="minorHAnsi" w:cs="Times New Roman"/>
                <w:i/>
                <w:iCs/>
                <w:color w:val="auto"/>
                <w:sz w:val="20"/>
                <w:szCs w:val="20"/>
              </w:rPr>
            </w:pPr>
          </w:p>
          <w:p w14:paraId="2FBB811B"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Education</w:t>
            </w:r>
          </w:p>
          <w:p w14:paraId="4754AAE5" w14:textId="7C47BC6D"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1.8: Integrating gender dimensions in teacher</w:t>
            </w:r>
            <w:r w:rsidR="00E626B6">
              <w:rPr>
                <w:rFonts w:asciiTheme="minorHAnsi" w:hAnsiTheme="minorHAnsi" w:cs="Times New Roman"/>
                <w:color w:val="auto"/>
                <w:sz w:val="20"/>
                <w:szCs w:val="20"/>
              </w:rPr>
              <w:t>’</w:t>
            </w:r>
            <w:r w:rsidRPr="000E34D6">
              <w:rPr>
                <w:rFonts w:asciiTheme="minorHAnsi" w:hAnsiTheme="minorHAnsi" w:cs="Times New Roman"/>
                <w:color w:val="auto"/>
                <w:sz w:val="20"/>
                <w:szCs w:val="20"/>
              </w:rPr>
              <w:t xml:space="preserve">s training aiming to overcome gender stereotypes  and increase awareness on gender related issues </w:t>
            </w:r>
          </w:p>
          <w:p w14:paraId="162CF4FA" w14:textId="6714A40C"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 xml:space="preserve">SO 1.9: Incorporating gender aspects in career consulting services targeting increased access to less conventional professions </w:t>
            </w:r>
          </w:p>
          <w:p w14:paraId="55BECFDE" w14:textId="77777777" w:rsidR="000E34D6" w:rsidRPr="000E34D6" w:rsidRDefault="000E34D6" w:rsidP="000E34D6">
            <w:pPr>
              <w:pStyle w:val="Default"/>
              <w:rPr>
                <w:rFonts w:asciiTheme="minorHAnsi" w:hAnsiTheme="minorHAnsi" w:cs="Times New Roman"/>
                <w:i/>
                <w:iCs/>
                <w:color w:val="auto"/>
                <w:sz w:val="20"/>
                <w:szCs w:val="20"/>
              </w:rPr>
            </w:pPr>
          </w:p>
          <w:p w14:paraId="14396892" w14:textId="77777777"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i/>
                <w:iCs/>
                <w:color w:val="auto"/>
                <w:sz w:val="20"/>
                <w:szCs w:val="20"/>
              </w:rPr>
              <w:t>Climate change</w:t>
            </w:r>
          </w:p>
          <w:p w14:paraId="796D523F" w14:textId="5C986EA2" w:rsidR="000E34D6" w:rsidRPr="000E34D6" w:rsidRDefault="000E34D6" w:rsidP="000E34D6">
            <w:pPr>
              <w:pStyle w:val="Default"/>
              <w:rPr>
                <w:rFonts w:asciiTheme="minorHAnsi" w:hAnsiTheme="minorHAnsi" w:cs="Times New Roman"/>
                <w:color w:val="auto"/>
                <w:sz w:val="20"/>
                <w:szCs w:val="20"/>
              </w:rPr>
            </w:pPr>
            <w:r w:rsidRPr="000E34D6">
              <w:rPr>
                <w:rFonts w:asciiTheme="minorHAnsi" w:hAnsiTheme="minorHAnsi" w:cs="Times New Roman"/>
                <w:color w:val="auto"/>
                <w:sz w:val="20"/>
                <w:szCs w:val="20"/>
              </w:rPr>
              <w:t>SO 1.10: Integrating gender perspectives in sector strategies taking into account climate change impact</w:t>
            </w:r>
            <w:r w:rsidR="00E626B6">
              <w:rPr>
                <w:rFonts w:asciiTheme="minorHAnsi" w:hAnsiTheme="minorHAnsi" w:cs="Times New Roman"/>
                <w:color w:val="auto"/>
                <w:sz w:val="20"/>
                <w:szCs w:val="20"/>
              </w:rPr>
              <w:t>s</w:t>
            </w:r>
            <w:r w:rsidRPr="000E34D6">
              <w:rPr>
                <w:rFonts w:asciiTheme="minorHAnsi" w:hAnsiTheme="minorHAnsi" w:cs="Times New Roman"/>
                <w:color w:val="auto"/>
                <w:sz w:val="20"/>
                <w:szCs w:val="20"/>
              </w:rPr>
              <w:t xml:space="preserve"> </w:t>
            </w:r>
          </w:p>
          <w:p w14:paraId="71F93757" w14:textId="77777777" w:rsidR="000E34D6" w:rsidRPr="000E34D6" w:rsidRDefault="000E34D6" w:rsidP="009366B8">
            <w:pPr>
              <w:pStyle w:val="Default"/>
              <w:jc w:val="both"/>
              <w:rPr>
                <w:rFonts w:asciiTheme="minorHAnsi" w:hAnsiTheme="minorHAnsi" w:cs="Times New Roman"/>
                <w:sz w:val="20"/>
                <w:szCs w:val="20"/>
              </w:rPr>
            </w:pPr>
          </w:p>
        </w:tc>
      </w:tr>
      <w:tr w:rsidR="000E34D6" w:rsidRPr="000E34D6" w14:paraId="6A254B38" w14:textId="77777777" w:rsidTr="000E34D6">
        <w:tc>
          <w:tcPr>
            <w:tcW w:w="2425" w:type="dxa"/>
          </w:tcPr>
          <w:p w14:paraId="528F1E58" w14:textId="77777777" w:rsidR="000E34D6" w:rsidRPr="000E34D6" w:rsidRDefault="000E34D6" w:rsidP="009366B8">
            <w:pPr>
              <w:pStyle w:val="Default"/>
              <w:jc w:val="both"/>
              <w:rPr>
                <w:rFonts w:asciiTheme="minorHAnsi" w:hAnsiTheme="minorHAnsi" w:cs="Times New Roman"/>
                <w:sz w:val="20"/>
                <w:szCs w:val="20"/>
              </w:rPr>
            </w:pPr>
            <w:r w:rsidRPr="000E34D6">
              <w:rPr>
                <w:rFonts w:asciiTheme="minorHAnsi" w:hAnsiTheme="minorHAnsi" w:cs="Times New Roman"/>
                <w:bCs/>
                <w:sz w:val="20"/>
                <w:szCs w:val="20"/>
              </w:rPr>
              <w:lastRenderedPageBreak/>
              <w:t>GO 2: Enhancing national institutional mechanism on gender equality</w:t>
            </w:r>
          </w:p>
        </w:tc>
        <w:tc>
          <w:tcPr>
            <w:tcW w:w="7470" w:type="dxa"/>
          </w:tcPr>
          <w:p w14:paraId="578BFAAC"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SO 2.1: Building capacity for human resources within the institutional mechanism on gender equality at the level of central public administration</w:t>
            </w:r>
          </w:p>
          <w:p w14:paraId="301C8296"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 xml:space="preserve">SO 2.2: Increasing efficiency of the Government Committee on Gender Equality </w:t>
            </w:r>
          </w:p>
          <w:p w14:paraId="50CA6FC3"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 xml:space="preserve">SO 2.3: Capacity building for human resources within the institutional mechanism on gender equality at the level of local public administration </w:t>
            </w:r>
          </w:p>
          <w:p w14:paraId="012E5952" w14:textId="77777777" w:rsidR="000E34D6" w:rsidRPr="000E34D6" w:rsidRDefault="000E34D6" w:rsidP="009366B8">
            <w:pPr>
              <w:pStyle w:val="Default"/>
              <w:jc w:val="both"/>
              <w:rPr>
                <w:rFonts w:asciiTheme="minorHAnsi" w:hAnsiTheme="minorHAnsi" w:cs="Times New Roman"/>
                <w:sz w:val="20"/>
                <w:szCs w:val="20"/>
              </w:rPr>
            </w:pPr>
          </w:p>
        </w:tc>
      </w:tr>
      <w:tr w:rsidR="000E34D6" w:rsidRPr="000E34D6" w14:paraId="7C6BE3B6" w14:textId="77777777" w:rsidTr="000E34D6">
        <w:tc>
          <w:tcPr>
            <w:tcW w:w="2425" w:type="dxa"/>
          </w:tcPr>
          <w:p w14:paraId="33C39889"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bCs/>
                <w:sz w:val="20"/>
                <w:szCs w:val="20"/>
              </w:rPr>
              <w:t>GO 3</w:t>
            </w:r>
            <w:r w:rsidRPr="000E34D6">
              <w:rPr>
                <w:rFonts w:asciiTheme="minorHAnsi" w:hAnsiTheme="minorHAnsi" w:cs="Times New Roman"/>
                <w:sz w:val="20"/>
                <w:szCs w:val="20"/>
              </w:rPr>
              <w:t>: Combating gender stereotypes and advancing non-violent communication</w:t>
            </w:r>
          </w:p>
          <w:p w14:paraId="71BF8201" w14:textId="77777777" w:rsidR="000E34D6" w:rsidRPr="000E34D6" w:rsidRDefault="000E34D6" w:rsidP="009366B8">
            <w:pPr>
              <w:pStyle w:val="Default"/>
              <w:jc w:val="both"/>
              <w:rPr>
                <w:rFonts w:asciiTheme="minorHAnsi" w:hAnsiTheme="minorHAnsi" w:cs="Times New Roman"/>
                <w:sz w:val="20"/>
                <w:szCs w:val="20"/>
              </w:rPr>
            </w:pPr>
          </w:p>
        </w:tc>
        <w:tc>
          <w:tcPr>
            <w:tcW w:w="7470" w:type="dxa"/>
          </w:tcPr>
          <w:p w14:paraId="5AEB5014" w14:textId="1DE64358"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SO 3.1: Promoting gender</w:t>
            </w:r>
            <w:r w:rsidR="0035628F">
              <w:rPr>
                <w:rFonts w:asciiTheme="minorHAnsi" w:hAnsiTheme="minorHAnsi" w:cs="Times New Roman"/>
                <w:sz w:val="20"/>
                <w:szCs w:val="20"/>
              </w:rPr>
              <w:t>-</w:t>
            </w:r>
            <w:r w:rsidRPr="000E34D6">
              <w:rPr>
                <w:rFonts w:asciiTheme="minorHAnsi" w:hAnsiTheme="minorHAnsi" w:cs="Times New Roman"/>
                <w:sz w:val="20"/>
                <w:szCs w:val="20"/>
              </w:rPr>
              <w:t>balanced content in media and publicity industries</w:t>
            </w:r>
          </w:p>
          <w:p w14:paraId="106C08E1"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 xml:space="preserve">SO 3.2: Public awareness raising on gender stereotypes and non-violent communication </w:t>
            </w:r>
          </w:p>
          <w:p w14:paraId="1B9D4BA6" w14:textId="77777777" w:rsidR="000E34D6" w:rsidRPr="000E34D6" w:rsidRDefault="000E34D6" w:rsidP="009366B8">
            <w:pPr>
              <w:pStyle w:val="Default"/>
              <w:jc w:val="both"/>
              <w:rPr>
                <w:rFonts w:asciiTheme="minorHAnsi" w:hAnsiTheme="minorHAnsi" w:cs="Times New Roman"/>
                <w:sz w:val="20"/>
                <w:szCs w:val="20"/>
              </w:rPr>
            </w:pPr>
          </w:p>
        </w:tc>
      </w:tr>
      <w:tr w:rsidR="000E34D6" w:rsidRPr="000E34D6" w14:paraId="04AAD870" w14:textId="77777777" w:rsidTr="000E34D6">
        <w:tc>
          <w:tcPr>
            <w:tcW w:w="2425" w:type="dxa"/>
          </w:tcPr>
          <w:p w14:paraId="520BB71A"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bCs/>
                <w:sz w:val="20"/>
                <w:szCs w:val="20"/>
              </w:rPr>
              <w:t>GO 4</w:t>
            </w:r>
            <w:r w:rsidRPr="000E34D6">
              <w:rPr>
                <w:rFonts w:asciiTheme="minorHAnsi" w:hAnsiTheme="minorHAnsi" w:cs="Times New Roman"/>
                <w:sz w:val="20"/>
                <w:szCs w:val="20"/>
              </w:rPr>
              <w:t>: Ensuring gender equality in security and defense fields</w:t>
            </w:r>
          </w:p>
          <w:p w14:paraId="267C2F32" w14:textId="77777777" w:rsidR="000E34D6" w:rsidRPr="000E34D6" w:rsidRDefault="000E34D6" w:rsidP="009366B8">
            <w:pPr>
              <w:pStyle w:val="Default"/>
              <w:jc w:val="both"/>
              <w:rPr>
                <w:rFonts w:asciiTheme="minorHAnsi" w:hAnsiTheme="minorHAnsi" w:cs="Times New Roman"/>
                <w:sz w:val="20"/>
                <w:szCs w:val="20"/>
              </w:rPr>
            </w:pPr>
          </w:p>
        </w:tc>
        <w:tc>
          <w:tcPr>
            <w:tcW w:w="7470" w:type="dxa"/>
          </w:tcPr>
          <w:p w14:paraId="052B6756" w14:textId="77777777" w:rsidR="000E34D6" w:rsidRPr="000E34D6" w:rsidRDefault="000E34D6" w:rsidP="000E34D6">
            <w:pPr>
              <w:pStyle w:val="Default"/>
              <w:pageBreakBefore/>
              <w:rPr>
                <w:rFonts w:asciiTheme="minorHAnsi" w:hAnsiTheme="minorHAnsi" w:cs="Times New Roman"/>
                <w:sz w:val="20"/>
                <w:szCs w:val="20"/>
              </w:rPr>
            </w:pPr>
            <w:r w:rsidRPr="000E34D6">
              <w:rPr>
                <w:rFonts w:asciiTheme="minorHAnsi" w:hAnsiTheme="minorHAnsi" w:cs="Times New Roman"/>
                <w:sz w:val="20"/>
                <w:szCs w:val="20"/>
              </w:rPr>
              <w:t xml:space="preserve">SO 4.1 Ensuring equal participation of women and men </w:t>
            </w:r>
          </w:p>
          <w:p w14:paraId="6D27FD5F"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 xml:space="preserve">SO 4.2 Integrating gender dimensions in security and defense policies </w:t>
            </w:r>
          </w:p>
          <w:p w14:paraId="32300905"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SO 4.3 Ensuring implementation of CEDAW’s general recommendation #30 and UN Security Council Resolutions on women, peace, and security</w:t>
            </w:r>
          </w:p>
          <w:p w14:paraId="77D6C0AE" w14:textId="77777777" w:rsidR="000E34D6" w:rsidRPr="000E34D6" w:rsidRDefault="000E34D6" w:rsidP="009366B8">
            <w:pPr>
              <w:pStyle w:val="Default"/>
              <w:jc w:val="both"/>
              <w:rPr>
                <w:rFonts w:asciiTheme="minorHAnsi" w:hAnsiTheme="minorHAnsi" w:cs="Times New Roman"/>
                <w:sz w:val="20"/>
                <w:szCs w:val="20"/>
              </w:rPr>
            </w:pPr>
          </w:p>
        </w:tc>
      </w:tr>
      <w:tr w:rsidR="000E34D6" w:rsidRPr="000E34D6" w14:paraId="3ED4B79B" w14:textId="77777777" w:rsidTr="000E34D6">
        <w:tc>
          <w:tcPr>
            <w:tcW w:w="2425" w:type="dxa"/>
          </w:tcPr>
          <w:p w14:paraId="293DF2AB"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bCs/>
                <w:sz w:val="20"/>
                <w:szCs w:val="20"/>
              </w:rPr>
              <w:t>GO 5</w:t>
            </w:r>
            <w:r w:rsidRPr="000E34D6">
              <w:rPr>
                <w:rFonts w:asciiTheme="minorHAnsi" w:hAnsiTheme="minorHAnsi" w:cs="Times New Roman"/>
                <w:sz w:val="20"/>
                <w:szCs w:val="20"/>
              </w:rPr>
              <w:t>: Integrating gender sensitive budgeting in budgetary planning processes</w:t>
            </w:r>
          </w:p>
        </w:tc>
        <w:tc>
          <w:tcPr>
            <w:tcW w:w="7470" w:type="dxa"/>
          </w:tcPr>
          <w:p w14:paraId="48934384" w14:textId="77777777" w:rsidR="000E34D6" w:rsidRPr="000E34D6" w:rsidRDefault="000E34D6" w:rsidP="000E34D6">
            <w:pPr>
              <w:pStyle w:val="Default"/>
              <w:rPr>
                <w:rFonts w:asciiTheme="minorHAnsi" w:hAnsiTheme="minorHAnsi" w:cs="Times New Roman"/>
                <w:sz w:val="20"/>
                <w:szCs w:val="20"/>
              </w:rPr>
            </w:pPr>
            <w:r w:rsidRPr="000E34D6">
              <w:rPr>
                <w:rFonts w:asciiTheme="minorHAnsi" w:hAnsiTheme="minorHAnsi" w:cs="Times New Roman"/>
                <w:sz w:val="20"/>
                <w:szCs w:val="20"/>
              </w:rPr>
              <w:t xml:space="preserve">SO 5.1: Promoting gender dimensions in budgetary processes </w:t>
            </w:r>
          </w:p>
          <w:p w14:paraId="5491FE09" w14:textId="77777777" w:rsidR="000E34D6" w:rsidRPr="000E34D6" w:rsidRDefault="000E34D6" w:rsidP="000E34D6">
            <w:pPr>
              <w:rPr>
                <w:rFonts w:cs="Times New Roman"/>
                <w:sz w:val="20"/>
                <w:szCs w:val="20"/>
              </w:rPr>
            </w:pPr>
            <w:r w:rsidRPr="000E34D6">
              <w:rPr>
                <w:rFonts w:cs="Times New Roman"/>
                <w:sz w:val="20"/>
                <w:szCs w:val="20"/>
              </w:rPr>
              <w:t>SO 5.2: Enhancing awareness raising on the needs and importance of gender sensitive budgeting for decision makers at the national and local levels</w:t>
            </w:r>
          </w:p>
          <w:p w14:paraId="7FCB8C5D" w14:textId="77777777" w:rsidR="000E34D6" w:rsidRPr="000E34D6" w:rsidRDefault="000E34D6" w:rsidP="009366B8">
            <w:pPr>
              <w:pStyle w:val="Default"/>
              <w:jc w:val="both"/>
              <w:rPr>
                <w:rFonts w:asciiTheme="minorHAnsi" w:hAnsiTheme="minorHAnsi" w:cs="Times New Roman"/>
                <w:sz w:val="20"/>
                <w:szCs w:val="20"/>
              </w:rPr>
            </w:pPr>
          </w:p>
        </w:tc>
      </w:tr>
    </w:tbl>
    <w:p w14:paraId="01949DD6" w14:textId="77777777" w:rsidR="000E34D6" w:rsidRPr="009366B8" w:rsidRDefault="000E34D6" w:rsidP="009366B8">
      <w:pPr>
        <w:pStyle w:val="Default"/>
        <w:jc w:val="both"/>
        <w:rPr>
          <w:rFonts w:asciiTheme="minorHAnsi" w:hAnsiTheme="minorHAnsi" w:cs="Times New Roman"/>
          <w:sz w:val="22"/>
          <w:szCs w:val="22"/>
        </w:rPr>
      </w:pPr>
    </w:p>
    <w:p w14:paraId="159CAD39" w14:textId="2EFABA12" w:rsidR="004C5F79" w:rsidRPr="00360250" w:rsidRDefault="004C5F79" w:rsidP="004C5F79">
      <w:pPr>
        <w:spacing w:after="0" w:line="240" w:lineRule="auto"/>
        <w:jc w:val="both"/>
        <w:rPr>
          <w:rFonts w:cs="Times New Roman"/>
          <w:color w:val="000000"/>
          <w:lang w:val="ro-RO"/>
        </w:rPr>
      </w:pPr>
      <w:r w:rsidRPr="00360250">
        <w:rPr>
          <w:rFonts w:cs="Times New Roman"/>
          <w:b/>
          <w:i/>
        </w:rPr>
        <w:t xml:space="preserve">As mentioned above, between 2006 and 2016, the Government adopted a number of </w:t>
      </w:r>
      <w:r w:rsidR="0035628F">
        <w:rPr>
          <w:rFonts w:cs="Times New Roman"/>
          <w:b/>
          <w:i/>
        </w:rPr>
        <w:t xml:space="preserve">laws </w:t>
      </w:r>
      <w:r w:rsidRPr="00360250">
        <w:rPr>
          <w:rFonts w:cs="Times New Roman"/>
          <w:b/>
          <w:i/>
        </w:rPr>
        <w:t>concerning gender equality.</w:t>
      </w:r>
      <w:r>
        <w:rPr>
          <w:rFonts w:cs="Times New Roman"/>
        </w:rPr>
        <w:t xml:space="preserve"> Most recently, Law 71 which introduced political representation quotas, also amended </w:t>
      </w:r>
      <w:r>
        <w:rPr>
          <w:rFonts w:cs="Times New Roman"/>
          <w:color w:val="000000"/>
          <w:lang w:val="ro-RO"/>
        </w:rPr>
        <w:t>15 other national laws to include more gender-sensitive provisions; for example,</w:t>
      </w:r>
      <w:r w:rsidR="0035628F">
        <w:rPr>
          <w:rFonts w:cs="Times New Roman"/>
          <w:color w:val="000000"/>
          <w:lang w:val="ro-RO"/>
        </w:rPr>
        <w:t xml:space="preserve"> </w:t>
      </w:r>
      <w:r>
        <w:rPr>
          <w:rFonts w:cs="Times New Roman"/>
          <w:color w:val="000000"/>
          <w:lang w:val="ro-RO"/>
        </w:rPr>
        <w:t>prohibiting</w:t>
      </w:r>
      <w:r w:rsidRPr="00B50FD1">
        <w:rPr>
          <w:rFonts w:cs="Times New Roman"/>
          <w:color w:val="000000"/>
          <w:lang w:val="ro-RO"/>
        </w:rPr>
        <w:t xml:space="preserve"> sexist language and images in m</w:t>
      </w:r>
      <w:r>
        <w:rPr>
          <w:rFonts w:cs="Times New Roman"/>
          <w:color w:val="000000"/>
          <w:lang w:val="ro-RO"/>
        </w:rPr>
        <w:t>edia and advertizing, allowing a</w:t>
      </w:r>
      <w:r w:rsidRPr="00B50FD1">
        <w:rPr>
          <w:rFonts w:cs="Times New Roman"/>
          <w:color w:val="000000"/>
          <w:lang w:val="ro-RO"/>
        </w:rPr>
        <w:t xml:space="preserve"> 14-day paid paternity leave, establish</w:t>
      </w:r>
      <w:r>
        <w:rPr>
          <w:rFonts w:cs="Times New Roman"/>
          <w:color w:val="000000"/>
          <w:lang w:val="ro-RO"/>
        </w:rPr>
        <w:t>ing a process for overseeing implemeta</w:t>
      </w:r>
      <w:r w:rsidR="00A6626E">
        <w:rPr>
          <w:rFonts w:cs="Times New Roman"/>
          <w:color w:val="000000"/>
          <w:lang w:val="ro-RO"/>
        </w:rPr>
        <w:t>ti</w:t>
      </w:r>
      <w:r>
        <w:rPr>
          <w:rFonts w:cs="Times New Roman"/>
          <w:color w:val="000000"/>
          <w:lang w:val="ro-RO"/>
        </w:rPr>
        <w:t xml:space="preserve">on of </w:t>
      </w:r>
      <w:r w:rsidRPr="00B50FD1">
        <w:rPr>
          <w:rFonts w:cs="Times New Roman"/>
          <w:color w:val="000000"/>
          <w:lang w:val="ro-RO"/>
        </w:rPr>
        <w:t xml:space="preserve">the Gender Equality Strategy, </w:t>
      </w:r>
      <w:r>
        <w:rPr>
          <w:rFonts w:cs="Times New Roman"/>
          <w:color w:val="000000"/>
          <w:lang w:val="ro-RO"/>
        </w:rPr>
        <w:t>etc.</w:t>
      </w:r>
      <w:r w:rsidRPr="00B50FD1">
        <w:rPr>
          <w:rStyle w:val="FootnoteReference"/>
          <w:rFonts w:cs="Times New Roman"/>
          <w:color w:val="000000"/>
          <w:lang w:val="ro-RO"/>
        </w:rPr>
        <w:footnoteReference w:id="10"/>
      </w:r>
      <w:r>
        <w:rPr>
          <w:rFonts w:cs="Times New Roman"/>
          <w:color w:val="000000"/>
          <w:lang w:val="ro-RO"/>
        </w:rPr>
        <w:t xml:space="preserve"> However, the implementation and enforcement of legislat</w:t>
      </w:r>
      <w:r w:rsidR="0035628F">
        <w:rPr>
          <w:rFonts w:cs="Times New Roman"/>
          <w:color w:val="000000"/>
          <w:lang w:val="ro-RO"/>
        </w:rPr>
        <w:t>i</w:t>
      </w:r>
      <w:r>
        <w:rPr>
          <w:rFonts w:cs="Times New Roman"/>
          <w:color w:val="000000"/>
          <w:lang w:val="ro-RO"/>
        </w:rPr>
        <w:t xml:space="preserve">on is still weak. </w:t>
      </w:r>
    </w:p>
    <w:p w14:paraId="36AE0EF1" w14:textId="77777777" w:rsidR="004C5F79" w:rsidRDefault="004C5F79" w:rsidP="004C5F79">
      <w:pPr>
        <w:pStyle w:val="Default"/>
        <w:jc w:val="both"/>
        <w:rPr>
          <w:rFonts w:asciiTheme="minorHAnsi" w:hAnsiTheme="minorHAnsi" w:cs="Times New Roman"/>
          <w:color w:val="auto"/>
          <w:sz w:val="22"/>
          <w:szCs w:val="22"/>
        </w:rPr>
      </w:pPr>
    </w:p>
    <w:p w14:paraId="4E8005F9" w14:textId="5B0FFD81" w:rsidR="004C5F79" w:rsidRPr="00B50FD1" w:rsidRDefault="004C5F79" w:rsidP="004C5F79">
      <w:pPr>
        <w:spacing w:after="0" w:line="240" w:lineRule="auto"/>
        <w:jc w:val="both"/>
        <w:rPr>
          <w:rFonts w:eastAsia="Times New Roman" w:cs="Times New Roman"/>
          <w:color w:val="161616"/>
          <w:spacing w:val="-6"/>
          <w:lang w:val="ro-RO"/>
        </w:rPr>
      </w:pPr>
      <w:r w:rsidRPr="00C97155">
        <w:rPr>
          <w:rFonts w:cs="Times New Roman"/>
          <w:b/>
          <w:i/>
        </w:rPr>
        <w:t>In addition to this process, in June 2015, a Gender Equality Platform</w:t>
      </w:r>
      <w:r>
        <w:rPr>
          <w:rFonts w:cs="Times New Roman"/>
          <w:b/>
          <w:i/>
        </w:rPr>
        <w:t xml:space="preserve"> was established by a group of government</w:t>
      </w:r>
      <w:r w:rsidRPr="00C97155">
        <w:rPr>
          <w:rFonts w:cs="Times New Roman"/>
          <w:b/>
          <w:i/>
        </w:rPr>
        <w:t xml:space="preserve"> and CSO champions.</w:t>
      </w:r>
      <w:r>
        <w:rPr>
          <w:rFonts w:cs="Times New Roman"/>
        </w:rPr>
        <w:t xml:space="preserve"> This platform</w:t>
      </w:r>
      <w:r w:rsidRPr="00B50FD1">
        <w:rPr>
          <w:rFonts w:cs="Times New Roman"/>
        </w:rPr>
        <w:t xml:space="preserve"> aim</w:t>
      </w:r>
      <w:r>
        <w:rPr>
          <w:rFonts w:cs="Times New Roman"/>
        </w:rPr>
        <w:t>s</w:t>
      </w:r>
      <w:r w:rsidRPr="00B50FD1">
        <w:rPr>
          <w:rFonts w:cs="Times New Roman"/>
        </w:rPr>
        <w:t xml:space="preserve"> to serve as an active and unified voice to advance </w:t>
      </w:r>
      <w:r w:rsidRPr="00B50FD1">
        <w:rPr>
          <w:rFonts w:cs="Times New Roman"/>
        </w:rPr>
        <w:lastRenderedPageBreak/>
        <w:t>gender equality</w:t>
      </w:r>
      <w:r>
        <w:rPr>
          <w:rFonts w:cs="Times New Roman"/>
        </w:rPr>
        <w:t xml:space="preserve"> and</w:t>
      </w:r>
      <w:r w:rsidR="00291930">
        <w:rPr>
          <w:rFonts w:cs="Times New Roman"/>
        </w:rPr>
        <w:t>,</w:t>
      </w:r>
      <w:r w:rsidRPr="00B50FD1">
        <w:rPr>
          <w:rFonts w:cs="Times New Roman"/>
        </w:rPr>
        <w:t xml:space="preserve"> in particular</w:t>
      </w:r>
      <w:r w:rsidR="00291930">
        <w:rPr>
          <w:rFonts w:cs="Times New Roman"/>
        </w:rPr>
        <w:t>,</w:t>
      </w:r>
      <w:r>
        <w:rPr>
          <w:rFonts w:cs="Times New Roman"/>
        </w:rPr>
        <w:t xml:space="preserve"> contribute</w:t>
      </w:r>
      <w:r w:rsidRPr="00B50FD1">
        <w:rPr>
          <w:rFonts w:cs="Times New Roman"/>
        </w:rPr>
        <w:t xml:space="preserve"> to improving and enforcing gender equality legislation.</w:t>
      </w:r>
      <w:r w:rsidRPr="00B50FD1">
        <w:rPr>
          <w:rFonts w:eastAsia="Times New Roman" w:cs="Times New Roman"/>
          <w:color w:val="161616"/>
          <w:spacing w:val="-6"/>
          <w:lang w:val="ro-RO"/>
        </w:rPr>
        <w:t xml:space="preserve"> </w:t>
      </w:r>
      <w:r>
        <w:rPr>
          <w:rFonts w:eastAsia="Times New Roman" w:cs="Times New Roman"/>
          <w:color w:val="161616"/>
          <w:spacing w:val="-6"/>
          <w:lang w:val="ro-RO"/>
        </w:rPr>
        <w:t xml:space="preserve">This initiative has resulted in </w:t>
      </w:r>
      <w:r w:rsidR="00291930">
        <w:rPr>
          <w:rFonts w:eastAsia="Times New Roman" w:cs="Times New Roman"/>
          <w:color w:val="161616"/>
          <w:spacing w:val="-6"/>
          <w:lang w:val="ro-RO"/>
        </w:rPr>
        <w:t xml:space="preserve">the </w:t>
      </w:r>
      <w:r>
        <w:rPr>
          <w:rFonts w:eastAsia="Times New Roman" w:cs="Times New Roman"/>
          <w:color w:val="161616"/>
          <w:spacing w:val="-6"/>
          <w:lang w:val="ro-RO"/>
        </w:rPr>
        <w:t>creation of a website that collects resources on gender equality, and advocacy activities focusing on:</w:t>
      </w:r>
      <w:r w:rsidRPr="00B50FD1">
        <w:rPr>
          <w:rFonts w:eastAsia="Times New Roman" w:cs="Times New Roman"/>
          <w:color w:val="161616"/>
          <w:spacing w:val="-6"/>
          <w:lang w:val="ro-RO"/>
        </w:rPr>
        <w:t xml:space="preserve"> (i) promoting equitable representation </w:t>
      </w:r>
      <w:r>
        <w:rPr>
          <w:rFonts w:eastAsia="Times New Roman" w:cs="Times New Roman"/>
          <w:color w:val="161616"/>
          <w:spacing w:val="-6"/>
          <w:lang w:val="ro-RO"/>
        </w:rPr>
        <w:t xml:space="preserve">of women </w:t>
      </w:r>
      <w:r w:rsidRPr="00B50FD1">
        <w:rPr>
          <w:rFonts w:eastAsia="Times New Roman" w:cs="Times New Roman"/>
          <w:color w:val="161616"/>
          <w:spacing w:val="-6"/>
          <w:lang w:val="ro-RO"/>
        </w:rPr>
        <w:t xml:space="preserve">in politics; (ii) </w:t>
      </w:r>
      <w:r>
        <w:rPr>
          <w:rFonts w:eastAsia="Times New Roman" w:cs="Times New Roman"/>
          <w:color w:val="161616"/>
          <w:spacing w:val="-6"/>
          <w:lang w:val="ro-RO"/>
        </w:rPr>
        <w:t>preventing and combating gender-</w:t>
      </w:r>
      <w:r w:rsidRPr="00B50FD1">
        <w:rPr>
          <w:rFonts w:eastAsia="Times New Roman" w:cs="Times New Roman"/>
          <w:color w:val="161616"/>
          <w:spacing w:val="-6"/>
          <w:lang w:val="ro-RO"/>
        </w:rPr>
        <w:t xml:space="preserve">based violence; (iii) </w:t>
      </w:r>
      <w:r w:rsidR="00291930">
        <w:rPr>
          <w:rFonts w:eastAsia="Times New Roman" w:cs="Times New Roman"/>
          <w:color w:val="161616"/>
          <w:spacing w:val="-6"/>
          <w:lang w:val="ro-RO"/>
        </w:rPr>
        <w:t>promoting</w:t>
      </w:r>
      <w:r w:rsidR="00291930" w:rsidRPr="00B50FD1">
        <w:rPr>
          <w:rFonts w:eastAsia="Times New Roman" w:cs="Times New Roman"/>
          <w:color w:val="161616"/>
          <w:spacing w:val="-6"/>
          <w:lang w:val="ro-RO"/>
        </w:rPr>
        <w:t xml:space="preserve"> </w:t>
      </w:r>
      <w:r w:rsidRPr="00B50FD1">
        <w:rPr>
          <w:rFonts w:eastAsia="Times New Roman" w:cs="Times New Roman"/>
          <w:color w:val="161616"/>
          <w:spacing w:val="-6"/>
          <w:lang w:val="ro-RO"/>
        </w:rPr>
        <w:t>a</w:t>
      </w:r>
      <w:r w:rsidR="00291930">
        <w:rPr>
          <w:rFonts w:eastAsia="Times New Roman" w:cs="Times New Roman"/>
          <w:color w:val="161616"/>
          <w:spacing w:val="-6"/>
          <w:lang w:val="ro-RO"/>
        </w:rPr>
        <w:t xml:space="preserve"> better</w:t>
      </w:r>
      <w:r w:rsidR="00291930" w:rsidRPr="00B50FD1">
        <w:rPr>
          <w:rFonts w:eastAsia="Times New Roman" w:cs="Times New Roman"/>
          <w:color w:val="161616"/>
          <w:spacing w:val="-6"/>
          <w:lang w:val="ro-RO"/>
        </w:rPr>
        <w:t xml:space="preserve"> </w:t>
      </w:r>
      <w:r w:rsidRPr="00B50FD1">
        <w:rPr>
          <w:rFonts w:eastAsia="Times New Roman" w:cs="Times New Roman"/>
          <w:color w:val="161616"/>
          <w:spacing w:val="-6"/>
          <w:lang w:val="ro-RO"/>
        </w:rPr>
        <w:t xml:space="preserve">environment for gender equality in </w:t>
      </w:r>
      <w:r>
        <w:rPr>
          <w:rFonts w:eastAsia="Times New Roman" w:cs="Times New Roman"/>
          <w:color w:val="161616"/>
          <w:spacing w:val="-6"/>
          <w:lang w:val="ro-RO"/>
        </w:rPr>
        <w:t xml:space="preserve">the </w:t>
      </w:r>
      <w:r w:rsidRPr="00B50FD1">
        <w:rPr>
          <w:rFonts w:eastAsia="Times New Roman" w:cs="Times New Roman"/>
          <w:color w:val="161616"/>
          <w:spacing w:val="-6"/>
          <w:lang w:val="ro-RO"/>
        </w:rPr>
        <w:t>labor market; (iv) facilitating women enterpreneurship; and (v) ensuring a functional institutional mechanism for gender equality</w:t>
      </w:r>
      <w:r>
        <w:rPr>
          <w:rFonts w:eastAsia="Times New Roman" w:cs="Times New Roman"/>
          <w:color w:val="161616"/>
          <w:spacing w:val="-6"/>
          <w:lang w:val="ro-RO"/>
        </w:rPr>
        <w:t>.</w:t>
      </w:r>
      <w:r w:rsidRPr="00B50FD1">
        <w:rPr>
          <w:rStyle w:val="FootnoteReference"/>
          <w:rFonts w:eastAsia="Times New Roman" w:cs="Times New Roman"/>
          <w:color w:val="161616"/>
          <w:spacing w:val="-6"/>
          <w:lang w:val="ro-RO"/>
        </w:rPr>
        <w:footnoteReference w:id="11"/>
      </w:r>
      <w:r w:rsidRPr="00B50FD1">
        <w:rPr>
          <w:rFonts w:eastAsia="Times New Roman" w:cs="Times New Roman"/>
          <w:color w:val="161616"/>
          <w:spacing w:val="-6"/>
          <w:lang w:val="ro-RO"/>
        </w:rPr>
        <w:t xml:space="preserve"> </w:t>
      </w:r>
    </w:p>
    <w:p w14:paraId="0D3717E7" w14:textId="77777777" w:rsidR="004C5F79" w:rsidRDefault="004C5F79" w:rsidP="00715CC3">
      <w:pPr>
        <w:autoSpaceDE w:val="0"/>
        <w:autoSpaceDN w:val="0"/>
        <w:adjustRightInd w:val="0"/>
        <w:spacing w:after="84" w:line="240" w:lineRule="auto"/>
        <w:jc w:val="both"/>
        <w:rPr>
          <w:rFonts w:cs="Times New Roman"/>
          <w:b/>
          <w:i/>
          <w:color w:val="000000"/>
        </w:rPr>
      </w:pPr>
    </w:p>
    <w:p w14:paraId="3D77DD21" w14:textId="0F7D2D6F" w:rsidR="00715CC3" w:rsidRDefault="00715CC3" w:rsidP="00715CC3">
      <w:pPr>
        <w:autoSpaceDE w:val="0"/>
        <w:autoSpaceDN w:val="0"/>
        <w:adjustRightInd w:val="0"/>
        <w:spacing w:after="84" w:line="240" w:lineRule="auto"/>
        <w:jc w:val="both"/>
        <w:rPr>
          <w:rFonts w:cs="Times New Roman"/>
        </w:rPr>
      </w:pPr>
      <w:r w:rsidRPr="00715CC3">
        <w:rPr>
          <w:rFonts w:cs="Times New Roman"/>
          <w:b/>
          <w:i/>
          <w:color w:val="000000"/>
        </w:rPr>
        <w:t>For th</w:t>
      </w:r>
      <w:r w:rsidR="004C5F79">
        <w:rPr>
          <w:rFonts w:cs="Times New Roman"/>
          <w:b/>
          <w:i/>
          <w:color w:val="000000"/>
        </w:rPr>
        <w:t>e National Gender Equality</w:t>
      </w:r>
      <w:r w:rsidRPr="00715CC3">
        <w:rPr>
          <w:rFonts w:cs="Times New Roman"/>
          <w:b/>
          <w:i/>
          <w:color w:val="000000"/>
        </w:rPr>
        <w:t xml:space="preserve"> Strategy to be effective, it is also necessary to strengthen the institutional mechanisms for gender equality policy and oversight.</w:t>
      </w:r>
      <w:r>
        <w:rPr>
          <w:rFonts w:cs="Times New Roman"/>
          <w:color w:val="000000"/>
        </w:rPr>
        <w:t xml:space="preserve"> Commitments on gender are fairly decentralized. </w:t>
      </w:r>
      <w:r>
        <w:rPr>
          <w:rFonts w:cs="Times New Roman"/>
        </w:rPr>
        <w:t>T</w:t>
      </w:r>
      <w:r w:rsidRPr="00117E7F">
        <w:rPr>
          <w:rFonts w:cs="Times New Roman"/>
        </w:rPr>
        <w:t>he Government Committee on Gender Equality has not been</w:t>
      </w:r>
      <w:r>
        <w:rPr>
          <w:rFonts w:cs="Times New Roman"/>
        </w:rPr>
        <w:t xml:space="preserve"> consolidated as a key structure to lead on gender equality issues in the country</w:t>
      </w:r>
      <w:r w:rsidRPr="00117E7F">
        <w:rPr>
          <w:rFonts w:cs="Times New Roman"/>
        </w:rPr>
        <w:t xml:space="preserve">; it has relatively </w:t>
      </w:r>
      <w:r>
        <w:rPr>
          <w:rFonts w:cs="Times New Roman"/>
        </w:rPr>
        <w:t>l</w:t>
      </w:r>
      <w:r w:rsidRPr="00117E7F">
        <w:rPr>
          <w:rFonts w:cs="Times New Roman"/>
        </w:rPr>
        <w:t xml:space="preserve">ow capacity, funding, and power to hold different Government actors accountable for commitments </w:t>
      </w:r>
      <w:r>
        <w:rPr>
          <w:rFonts w:cs="Times New Roman"/>
        </w:rPr>
        <w:t>on gender equality.</w:t>
      </w:r>
      <w:r>
        <w:rPr>
          <w:rFonts w:cs="Times New Roman"/>
          <w:color w:val="000000"/>
        </w:rPr>
        <w:t xml:space="preserve"> Enforcement of gender equality legislation remains a key challenge.</w:t>
      </w:r>
      <w:r w:rsidRPr="00117E7F">
        <w:rPr>
          <w:rStyle w:val="FootnoteReference"/>
          <w:rFonts w:cs="Times New Roman"/>
          <w:color w:val="000000"/>
        </w:rPr>
        <w:footnoteReference w:id="12"/>
      </w:r>
      <w:r>
        <w:rPr>
          <w:rFonts w:cs="Times New Roman"/>
          <w:color w:val="000000"/>
        </w:rPr>
        <w:t xml:space="preserve"> Such enforcement would entail producing relevant guidance, training and capacity building for </w:t>
      </w:r>
      <w:r>
        <w:rPr>
          <w:rFonts w:cs="Times New Roman"/>
        </w:rPr>
        <w:t>each respective agency to uphold gender diversity standards (for example, in job advertising, hiring, promotion procedures for public and private employers, etc.).</w:t>
      </w:r>
    </w:p>
    <w:p w14:paraId="6559959E" w14:textId="77777777" w:rsidR="00E710B5" w:rsidRDefault="00E710B5" w:rsidP="00715CC3">
      <w:pPr>
        <w:autoSpaceDE w:val="0"/>
        <w:autoSpaceDN w:val="0"/>
        <w:adjustRightInd w:val="0"/>
        <w:spacing w:after="84" w:line="240" w:lineRule="auto"/>
        <w:jc w:val="both"/>
        <w:rPr>
          <w:rFonts w:cs="Times New Roman"/>
        </w:rPr>
      </w:pPr>
    </w:p>
    <w:p w14:paraId="21CA2DB0" w14:textId="79480FA6" w:rsidR="00E710B5" w:rsidRPr="00117E7F" w:rsidRDefault="0079355F" w:rsidP="00715CC3">
      <w:pPr>
        <w:autoSpaceDE w:val="0"/>
        <w:autoSpaceDN w:val="0"/>
        <w:adjustRightInd w:val="0"/>
        <w:spacing w:after="84" w:line="240" w:lineRule="auto"/>
        <w:jc w:val="both"/>
        <w:rPr>
          <w:rFonts w:cs="Times New Roman"/>
          <w:color w:val="000000"/>
        </w:rPr>
      </w:pPr>
      <w:r w:rsidRPr="00200C3D">
        <w:rPr>
          <w:rFonts w:cs="Times New Roman"/>
          <w:b/>
          <w:i/>
          <w:color w:val="000000"/>
        </w:rPr>
        <w:t>Several international development partners support aspects of the national gender equality agenda in Moldova.</w:t>
      </w:r>
      <w:r>
        <w:rPr>
          <w:rFonts w:cs="Times New Roman"/>
          <w:color w:val="000000"/>
        </w:rPr>
        <w:t xml:space="preserve"> </w:t>
      </w:r>
      <w:r w:rsidR="00F907F9">
        <w:rPr>
          <w:rFonts w:cs="Times New Roman"/>
          <w:color w:val="000000"/>
        </w:rPr>
        <w:t xml:space="preserve">UN Women leads programs directed at issues of gender based violence, leadership and political participation, economic empowerment, national planning and budgeting. </w:t>
      </w:r>
      <w:r>
        <w:rPr>
          <w:rFonts w:cs="Times New Roman"/>
          <w:color w:val="000000"/>
        </w:rPr>
        <w:t xml:space="preserve">The Embassy of Sweden and UNDP are implementing three programs to support women’s participation in politics and decision-making. </w:t>
      </w:r>
      <w:r w:rsidR="00F907F9">
        <w:rPr>
          <w:rFonts w:cs="Times New Roman"/>
          <w:color w:val="000000"/>
        </w:rPr>
        <w:t xml:space="preserve">EBRD and the Embassy of Sweden provide joint support to the Moldova Women in Business program. The EU and CoE support the alignment of legislation, policies, and capacity-building efforts with EU standards on areas on human rights and equality, including gender equality. OSCE implements an anti-trafficking and gender program. </w:t>
      </w:r>
    </w:p>
    <w:p w14:paraId="38A92A8D" w14:textId="77777777" w:rsidR="009366B8" w:rsidRDefault="009366B8" w:rsidP="00D57BD0">
      <w:pPr>
        <w:spacing w:after="0" w:line="240" w:lineRule="auto"/>
        <w:rPr>
          <w:rFonts w:cs="Times New Roman"/>
          <w:b/>
        </w:rPr>
      </w:pPr>
    </w:p>
    <w:p w14:paraId="4CD22742" w14:textId="04412446" w:rsidR="007126D5" w:rsidRPr="00B50FD1" w:rsidRDefault="009366B8" w:rsidP="009366B8">
      <w:pPr>
        <w:pStyle w:val="Heading2"/>
      </w:pPr>
      <w:bookmarkStart w:id="5" w:name="_Toc476839791"/>
      <w:r>
        <w:t xml:space="preserve">V. </w:t>
      </w:r>
      <w:r w:rsidR="0042200C">
        <w:t>Gender in the WBG P</w:t>
      </w:r>
      <w:r w:rsidR="00B50FD1" w:rsidRPr="00B50FD1">
        <w:t>rogram</w:t>
      </w:r>
      <w:bookmarkEnd w:id="5"/>
    </w:p>
    <w:p w14:paraId="4565782E" w14:textId="77777777" w:rsidR="00571B33" w:rsidRDefault="00571B33" w:rsidP="004C5F79">
      <w:pPr>
        <w:spacing w:after="0" w:line="240" w:lineRule="auto"/>
        <w:jc w:val="both"/>
      </w:pPr>
    </w:p>
    <w:p w14:paraId="79C21C74" w14:textId="65C8A141" w:rsidR="004C5F79" w:rsidRDefault="004C5F79" w:rsidP="004C5F79">
      <w:pPr>
        <w:spacing w:after="0" w:line="240" w:lineRule="auto"/>
        <w:jc w:val="both"/>
        <w:rPr>
          <w:rFonts w:cs="Times New Roman"/>
        </w:rPr>
      </w:pPr>
      <w:r w:rsidRPr="00FC36FB">
        <w:rPr>
          <w:rFonts w:cs="Times New Roman"/>
          <w:b/>
          <w:i/>
        </w:rPr>
        <w:t xml:space="preserve">WBG analytics and operations have an important role to play in </w:t>
      </w:r>
      <w:r>
        <w:rPr>
          <w:rFonts w:cs="Times New Roman"/>
          <w:b/>
          <w:i/>
        </w:rPr>
        <w:t xml:space="preserve">addressing occupational segregation and labor force participation issues through education and labor interventions, opening up opportunities for women as entrepreneurs, </w:t>
      </w:r>
      <w:r w:rsidR="00AB20E7">
        <w:rPr>
          <w:rFonts w:cs="Times New Roman"/>
          <w:b/>
          <w:i/>
        </w:rPr>
        <w:t xml:space="preserve">promoting women’s participation and empowerment, </w:t>
      </w:r>
      <w:r>
        <w:rPr>
          <w:rFonts w:cs="Times New Roman"/>
          <w:b/>
          <w:i/>
        </w:rPr>
        <w:t xml:space="preserve">as well as change </w:t>
      </w:r>
      <w:r w:rsidR="00AB20E7">
        <w:rPr>
          <w:rFonts w:cs="Times New Roman"/>
          <w:b/>
          <w:i/>
        </w:rPr>
        <w:t xml:space="preserve">towards </w:t>
      </w:r>
      <w:r>
        <w:rPr>
          <w:rFonts w:cs="Times New Roman"/>
          <w:b/>
          <w:i/>
        </w:rPr>
        <w:t>health</w:t>
      </w:r>
      <w:r w:rsidR="00AB20E7">
        <w:rPr>
          <w:rFonts w:cs="Times New Roman"/>
          <w:b/>
          <w:i/>
        </w:rPr>
        <w:t>ier</w:t>
      </w:r>
      <w:r>
        <w:rPr>
          <w:rFonts w:cs="Times New Roman"/>
          <w:b/>
          <w:i/>
        </w:rPr>
        <w:t xml:space="preserve"> lifestyles for men. </w:t>
      </w:r>
      <w:r>
        <w:rPr>
          <w:rFonts w:cs="Times New Roman"/>
        </w:rPr>
        <w:t xml:space="preserve">WBG lending and knowledge products can contribute to establishing the evidence base for linkages between gender equality and social and economic empowerment, pilot specific skills, training, or capacity-building programs, bring good practice knowledge in public awareness and communications on gender issues, as well as help build </w:t>
      </w:r>
      <w:r w:rsidR="009F57CD">
        <w:rPr>
          <w:rFonts w:cs="Times New Roman"/>
        </w:rPr>
        <w:t>g</w:t>
      </w:r>
      <w:r>
        <w:rPr>
          <w:rFonts w:cs="Times New Roman"/>
        </w:rPr>
        <w:t xml:space="preserve">overnment’s capacity for establishing better statistics and continuous monitoring of gender outcomes. </w:t>
      </w:r>
    </w:p>
    <w:p w14:paraId="78BCB03D" w14:textId="77777777" w:rsidR="004C5F79" w:rsidRDefault="004C5F79" w:rsidP="005F4627">
      <w:pPr>
        <w:jc w:val="both"/>
        <w:rPr>
          <w:b/>
          <w:i/>
        </w:rPr>
      </w:pPr>
    </w:p>
    <w:p w14:paraId="31F37708" w14:textId="484602F1" w:rsidR="00571B33" w:rsidRDefault="005F4627" w:rsidP="005F4627">
      <w:pPr>
        <w:jc w:val="both"/>
      </w:pPr>
      <w:r w:rsidRPr="00C97155">
        <w:rPr>
          <w:b/>
          <w:i/>
        </w:rPr>
        <w:t>A review of 15 projects active under the 2014-17 CPS shows a growing trend of gender analysis and gender monitoring.</w:t>
      </w:r>
      <w:r w:rsidRPr="005F4627">
        <w:rPr>
          <w:rStyle w:val="FootnoteReference"/>
        </w:rPr>
        <w:footnoteReference w:id="13"/>
      </w:r>
      <w:r w:rsidRPr="005F4627">
        <w:t xml:space="preserve"> Two thirds of projects are informed by some form of gender analysis, and the wide majority include gender indicators in</w:t>
      </w:r>
      <w:r w:rsidR="0042200C">
        <w:t xml:space="preserve"> their results framework (RF). </w:t>
      </w:r>
      <w:r w:rsidRPr="005F4627">
        <w:t xml:space="preserve">Overall, 80% of projects can be </w:t>
      </w:r>
      <w:r w:rsidRPr="005F4627">
        <w:lastRenderedPageBreak/>
        <w:t xml:space="preserve">considered gender-informed, i.e., </w:t>
      </w:r>
      <w:r w:rsidR="009F57CD">
        <w:t>meeting</w:t>
      </w:r>
      <w:r w:rsidR="009F57CD" w:rsidRPr="005F4627">
        <w:t xml:space="preserve"> </w:t>
      </w:r>
      <w:r w:rsidRPr="005F4627">
        <w:t xml:space="preserve">at least two out of three criteria: gender analysis, actions, and/or monitoring. </w:t>
      </w:r>
      <w:r>
        <w:t>A positive trend is also notable when comparing projects approved between FY11 and FY13 with ones approved under the current CPS period (2014-</w:t>
      </w:r>
      <w:r w:rsidR="0042200C">
        <w:t>17): 100% of projects approved in or after FY14 are informed by gender analysis and have gender-related indicators</w:t>
      </w:r>
      <w:r w:rsidR="0042200C" w:rsidRPr="0042200C">
        <w:t xml:space="preserve">. </w:t>
      </w:r>
      <w:r w:rsidR="0042200C">
        <w:t xml:space="preserve">At </w:t>
      </w:r>
      <w:r w:rsidR="009F57CD">
        <w:t xml:space="preserve">the </w:t>
      </w:r>
      <w:r w:rsidR="0042200C">
        <w:t>design stage, gender is integrated</w:t>
      </w:r>
      <w:r w:rsidR="0042200C" w:rsidRPr="0042200C">
        <w:t xml:space="preserve"> either through project-spec</w:t>
      </w:r>
      <w:r w:rsidR="0042200C">
        <w:t>ific analysis (part of a social assessment, PSIA, or</w:t>
      </w:r>
      <w:r w:rsidR="0042200C" w:rsidRPr="0042200C">
        <w:t xml:space="preserve"> baseline survey</w:t>
      </w:r>
      <w:r w:rsidR="009F57CD">
        <w:t>),</w:t>
      </w:r>
      <w:r w:rsidR="0042200C" w:rsidRPr="0042200C">
        <w:rPr>
          <w:rStyle w:val="FootnoteReference"/>
        </w:rPr>
        <w:footnoteReference w:id="14"/>
      </w:r>
      <w:r w:rsidR="0042200C">
        <w:t xml:space="preserve"> or through</w:t>
      </w:r>
      <w:r w:rsidR="0042200C" w:rsidRPr="0042200C">
        <w:t xml:space="preserve"> review of secondary data (household survey, sector-specific data, evaluations or analysis done under previous projects</w:t>
      </w:r>
      <w:r w:rsidR="009F57CD">
        <w:t>).</w:t>
      </w:r>
      <w:r w:rsidR="0042200C" w:rsidRPr="0042200C">
        <w:rPr>
          <w:rStyle w:val="FootnoteReference"/>
        </w:rPr>
        <w:footnoteReference w:id="15"/>
      </w:r>
      <w:r w:rsidR="0042200C" w:rsidRPr="0042200C">
        <w:t xml:space="preserve">  Moldova’s First and Second DPOs, approved in 2014 and 2016 respectively</w:t>
      </w:r>
      <w:r w:rsidR="009F57CD">
        <w:t>,</w:t>
      </w:r>
      <w:r w:rsidR="0042200C" w:rsidRPr="0042200C">
        <w:t xml:space="preserve"> are grounded in gender-informed PSIA work</w:t>
      </w:r>
      <w:r w:rsidR="009F57CD">
        <w:t>.</w:t>
      </w:r>
      <w:r w:rsidR="0042200C" w:rsidRPr="0042200C">
        <w:rPr>
          <w:rStyle w:val="FootnoteReference"/>
        </w:rPr>
        <w:footnoteReference w:id="16"/>
      </w:r>
      <w:r w:rsidR="0042200C" w:rsidRPr="0042200C">
        <w:t xml:space="preserve"> </w:t>
      </w:r>
      <w:r w:rsidR="009F57CD">
        <w:t>Gender m</w:t>
      </w:r>
      <w:r w:rsidR="00336E3E">
        <w:t>onitoring, in the majority of projects</w:t>
      </w:r>
      <w:r w:rsidR="00B26519">
        <w:t>,</w:t>
      </w:r>
      <w:r w:rsidR="00336E3E">
        <w:t xml:space="preserve"> consists of </w:t>
      </w:r>
      <w:r w:rsidR="00B26519">
        <w:t xml:space="preserve">collecting </w:t>
      </w:r>
      <w:r w:rsidR="00336E3E">
        <w:t>g</w:t>
      </w:r>
      <w:r w:rsidR="00B26519">
        <w:t>ender-</w:t>
      </w:r>
      <w:r w:rsidR="00336E3E">
        <w:t xml:space="preserve">disaggregated data on beneficiaries. </w:t>
      </w:r>
    </w:p>
    <w:p w14:paraId="642A49FE" w14:textId="77777777" w:rsidR="00571B33" w:rsidRDefault="00571B33" w:rsidP="005F4627">
      <w:pPr>
        <w:jc w:val="both"/>
      </w:pPr>
    </w:p>
    <w:p w14:paraId="6A6DC1E8" w14:textId="540C5211" w:rsidR="007126D5" w:rsidRPr="0042200C" w:rsidRDefault="00383B3F" w:rsidP="0042200C">
      <w:pPr>
        <w:jc w:val="both"/>
        <w:rPr>
          <w:b/>
          <w:i/>
          <w:sz w:val="20"/>
          <w:szCs w:val="20"/>
        </w:rPr>
      </w:pPr>
      <w:r>
        <w:rPr>
          <w:b/>
          <w:i/>
          <w:sz w:val="20"/>
          <w:szCs w:val="20"/>
        </w:rPr>
        <w:t xml:space="preserve">Fig </w:t>
      </w:r>
      <w:r w:rsidR="00571B33">
        <w:rPr>
          <w:b/>
          <w:i/>
          <w:sz w:val="20"/>
          <w:szCs w:val="20"/>
        </w:rPr>
        <w:t>1</w:t>
      </w:r>
      <w:r>
        <w:rPr>
          <w:b/>
          <w:i/>
          <w:sz w:val="20"/>
          <w:szCs w:val="20"/>
        </w:rPr>
        <w:t xml:space="preserve"> &amp; </w:t>
      </w:r>
      <w:r w:rsidR="00571B33">
        <w:rPr>
          <w:b/>
          <w:i/>
          <w:sz w:val="20"/>
          <w:szCs w:val="20"/>
        </w:rPr>
        <w:t>2</w:t>
      </w:r>
      <w:r w:rsidR="0042200C" w:rsidRPr="0042200C">
        <w:rPr>
          <w:b/>
          <w:i/>
          <w:sz w:val="20"/>
          <w:szCs w:val="20"/>
        </w:rPr>
        <w:t>: Share of active projects that are gender informed in each dimension (analysis, actions, M&amp;E); Share of projects by date of approval that incorporate gender in each dimension</w:t>
      </w:r>
    </w:p>
    <w:p w14:paraId="0FB4C863" w14:textId="7149F083" w:rsidR="00E00FD1" w:rsidRDefault="008E66AE" w:rsidP="00D57BD0">
      <w:pPr>
        <w:spacing w:after="0" w:line="240" w:lineRule="auto"/>
        <w:rPr>
          <w:rFonts w:cs="Times New Roman"/>
          <w:b/>
        </w:rPr>
      </w:pPr>
      <w:r>
        <w:rPr>
          <w:noProof/>
        </w:rPr>
        <w:drawing>
          <wp:inline distT="0" distB="0" distL="0" distR="0" wp14:anchorId="2DBC99A2" wp14:editId="375EB5B1">
            <wp:extent cx="2943225" cy="2219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476D18F9" wp14:editId="3F63E1D9">
            <wp:extent cx="2886075" cy="22193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782F0B" w14:textId="77777777" w:rsidR="00E00FD1" w:rsidRDefault="00E00FD1" w:rsidP="00D57BD0">
      <w:pPr>
        <w:spacing w:after="0" w:line="240" w:lineRule="auto"/>
        <w:rPr>
          <w:rFonts w:cs="Times New Roman"/>
        </w:rPr>
      </w:pPr>
    </w:p>
    <w:p w14:paraId="0EB191DD" w14:textId="4D412403" w:rsidR="00E00FD1" w:rsidRDefault="00E00FD1" w:rsidP="00216C26">
      <w:pPr>
        <w:spacing w:after="0" w:line="240" w:lineRule="auto"/>
        <w:jc w:val="both"/>
        <w:rPr>
          <w:rFonts w:cs="Times New Roman"/>
        </w:rPr>
      </w:pPr>
      <w:r w:rsidRPr="005B2736">
        <w:rPr>
          <w:rFonts w:cs="Times New Roman"/>
          <w:b/>
          <w:i/>
        </w:rPr>
        <w:t>Although the portfolio is thoroughly ‘gender-informed’</w:t>
      </w:r>
      <w:r w:rsidR="00B26519" w:rsidRPr="005B2736">
        <w:rPr>
          <w:rFonts w:cs="Times New Roman"/>
          <w:b/>
          <w:i/>
        </w:rPr>
        <w:t>,</w:t>
      </w:r>
      <w:r w:rsidRPr="005B2736">
        <w:rPr>
          <w:rFonts w:cs="Times New Roman"/>
          <w:b/>
          <w:i/>
        </w:rPr>
        <w:t xml:space="preserve"> </w:t>
      </w:r>
      <w:r w:rsidR="00B26519" w:rsidRPr="005B2736">
        <w:rPr>
          <w:rFonts w:cs="Times New Roman"/>
          <w:b/>
          <w:i/>
        </w:rPr>
        <w:t xml:space="preserve">it still faces challenges in terms of having a transformational impact on key gender equality </w:t>
      </w:r>
      <w:r w:rsidR="00D26639" w:rsidRPr="005B2736">
        <w:rPr>
          <w:rFonts w:cs="Times New Roman"/>
          <w:b/>
          <w:i/>
        </w:rPr>
        <w:t>issues in the country.</w:t>
      </w:r>
      <w:r w:rsidR="00D26639">
        <w:rPr>
          <w:rFonts w:cs="Times New Roman"/>
        </w:rPr>
        <w:t xml:space="preserve"> </w:t>
      </w:r>
      <w:r w:rsidR="00F00F63">
        <w:rPr>
          <w:rFonts w:cs="Times New Roman"/>
        </w:rPr>
        <w:t xml:space="preserve">It is positive that all projects conduct gender-disaggregated monitoring of beneficiaries. </w:t>
      </w:r>
      <w:r w:rsidR="003C43DC">
        <w:rPr>
          <w:rFonts w:cs="Times New Roman"/>
        </w:rPr>
        <w:t>However</w:t>
      </w:r>
      <w:r w:rsidR="00F00F63">
        <w:rPr>
          <w:rFonts w:cs="Times New Roman"/>
        </w:rPr>
        <w:t>, o</w:t>
      </w:r>
      <w:r w:rsidR="00D26639">
        <w:rPr>
          <w:rFonts w:cs="Times New Roman"/>
        </w:rPr>
        <w:t xml:space="preserve">nly </w:t>
      </w:r>
      <w:r w:rsidR="005B2736">
        <w:rPr>
          <w:rFonts w:cs="Times New Roman"/>
        </w:rPr>
        <w:t>one</w:t>
      </w:r>
      <w:r w:rsidR="00D26639">
        <w:rPr>
          <w:rFonts w:cs="Times New Roman"/>
        </w:rPr>
        <w:t xml:space="preserve"> project incorporates a</w:t>
      </w:r>
      <w:r w:rsidR="005B2736">
        <w:rPr>
          <w:rFonts w:cs="Times New Roman"/>
        </w:rPr>
        <w:t>nd reports on a</w:t>
      </w:r>
      <w:r w:rsidR="00D26639">
        <w:rPr>
          <w:rFonts w:cs="Times New Roman"/>
        </w:rPr>
        <w:t xml:space="preserve"> gender-specific target (50% female beneficiaries </w:t>
      </w:r>
      <w:r w:rsidR="003C43DC">
        <w:rPr>
          <w:rFonts w:cs="Times New Roman"/>
        </w:rPr>
        <w:t xml:space="preserve">in the </w:t>
      </w:r>
      <w:r w:rsidR="00D26639">
        <w:rPr>
          <w:rFonts w:cs="Times New Roman"/>
        </w:rPr>
        <w:t xml:space="preserve">E-Transformation project), and no projects target gender equality outcomes in their results framework. The rate of gender-specific actions in project design (53%) is </w:t>
      </w:r>
      <w:r w:rsidR="003C43DC">
        <w:rPr>
          <w:rFonts w:cs="Times New Roman"/>
        </w:rPr>
        <w:t xml:space="preserve">less </w:t>
      </w:r>
      <w:r w:rsidR="00D26639">
        <w:rPr>
          <w:rFonts w:cs="Times New Roman"/>
        </w:rPr>
        <w:t xml:space="preserve">than that of analysis or M&amp;E.  </w:t>
      </w:r>
      <w:r w:rsidR="00216C26">
        <w:rPr>
          <w:rFonts w:cs="Times New Roman"/>
        </w:rPr>
        <w:t xml:space="preserve">Moreover, a large share of projects that report gender actions at </w:t>
      </w:r>
      <w:r w:rsidR="003C43DC">
        <w:rPr>
          <w:rFonts w:cs="Times New Roman"/>
        </w:rPr>
        <w:t xml:space="preserve">the </w:t>
      </w:r>
      <w:r w:rsidR="00216C26">
        <w:rPr>
          <w:rFonts w:cs="Times New Roman"/>
        </w:rPr>
        <w:t>design stage do not provide evidence of these during implementation, which may indicate that the share of gender activities actually implemented is even lower.  It can be expected</w:t>
      </w:r>
      <w:r w:rsidR="003018E1">
        <w:rPr>
          <w:rFonts w:cs="Times New Roman"/>
        </w:rPr>
        <w:t xml:space="preserve"> </w:t>
      </w:r>
      <w:r w:rsidR="003C43DC">
        <w:rPr>
          <w:rFonts w:cs="Times New Roman"/>
        </w:rPr>
        <w:t xml:space="preserve">that </w:t>
      </w:r>
      <w:r w:rsidR="003018E1">
        <w:rPr>
          <w:rFonts w:cs="Times New Roman"/>
        </w:rPr>
        <w:t xml:space="preserve">not all projects </w:t>
      </w:r>
      <w:r w:rsidR="00216C26">
        <w:rPr>
          <w:rFonts w:cs="Times New Roman"/>
        </w:rPr>
        <w:t xml:space="preserve">by design will provide a natural link to advancing gender equality outcomes. However, in cases where the project has the potential to </w:t>
      </w:r>
      <w:r w:rsidR="003C43DC">
        <w:rPr>
          <w:rFonts w:cs="Times New Roman"/>
        </w:rPr>
        <w:t xml:space="preserve">affect </w:t>
      </w:r>
      <w:r w:rsidR="00216C26">
        <w:rPr>
          <w:rFonts w:cs="Times New Roman"/>
        </w:rPr>
        <w:t xml:space="preserve">gender equality goals, further technical support to task teams would be desirable to help design activities, adopt feasible result indicators, and report more consistently on implementation and outcomes. </w:t>
      </w:r>
    </w:p>
    <w:p w14:paraId="4D358F18" w14:textId="77777777" w:rsidR="00E00FD1" w:rsidRDefault="00E00FD1" w:rsidP="00D57BD0">
      <w:pPr>
        <w:spacing w:after="0" w:line="240" w:lineRule="auto"/>
        <w:rPr>
          <w:rFonts w:cs="Times New Roman"/>
        </w:rPr>
      </w:pPr>
    </w:p>
    <w:p w14:paraId="23C0B004" w14:textId="77777777" w:rsidR="00BE7013" w:rsidRDefault="007E77CA" w:rsidP="00E56C86">
      <w:pPr>
        <w:jc w:val="both"/>
      </w:pPr>
      <w:r w:rsidRPr="005B2736">
        <w:rPr>
          <w:rFonts w:cs="Times New Roman"/>
          <w:b/>
          <w:i/>
        </w:rPr>
        <w:t>WBG’s k</w:t>
      </w:r>
      <w:r w:rsidR="00216C26" w:rsidRPr="005B2736">
        <w:rPr>
          <w:rFonts w:cs="Times New Roman"/>
          <w:b/>
          <w:i/>
        </w:rPr>
        <w:t xml:space="preserve">nowledge work in Moldova </w:t>
      </w:r>
      <w:r w:rsidRPr="005B2736">
        <w:rPr>
          <w:rFonts w:cs="Times New Roman"/>
          <w:b/>
          <w:i/>
        </w:rPr>
        <w:t>is</w:t>
      </w:r>
      <w:r w:rsidRPr="005B2736">
        <w:rPr>
          <w:b/>
          <w:i/>
        </w:rPr>
        <w:t xml:space="preserve"> also making a strong contribution to the evidence base on specific gender gaps.</w:t>
      </w:r>
      <w:r w:rsidRPr="007E77CA">
        <w:t xml:space="preserve"> The 2015 study </w:t>
      </w:r>
      <w:r w:rsidRPr="007E77CA">
        <w:rPr>
          <w:i/>
        </w:rPr>
        <w:t>From Aspirations to Occupations</w:t>
      </w:r>
      <w:r w:rsidRPr="007E77CA">
        <w:t xml:space="preserve"> and the Moldova SCD (2016) highlighted the gap in occupational preferences across men and women with significantly fewer women entering into </w:t>
      </w:r>
      <w:r w:rsidRPr="007E77CA">
        <w:lastRenderedPageBreak/>
        <w:t xml:space="preserve">higher-earning STEM professions, and the fact that women tend to delay longer </w:t>
      </w:r>
      <w:r w:rsidR="003C43DC">
        <w:t xml:space="preserve">their </w:t>
      </w:r>
      <w:r w:rsidRPr="007E77CA">
        <w:t>entry into the labor force. A TA to Moldova’s Small and Medium Business Development Agency (ODIMM) is undertaking the first national survey on barriers for women entrepreneurs to inform the Agency’s Women in Business program.</w:t>
      </w:r>
      <w:r>
        <w:t xml:space="preserve"> The findings from these knowledge products will be an important basis for informing gender-specific actions in education, livelihoods, and competitiveness/entrepreneurship sectors.</w:t>
      </w:r>
      <w:r w:rsidR="002A3899">
        <w:t xml:space="preserve"> A WB TA informed the Moldova Pension Reform Law, approved in December 2016. This Law equalized the retirement age for men and women (at 63); it is expected to improve adequacy of women’s pensions and benefits and reduce the income gap for retired men and women.</w:t>
      </w:r>
      <w:r w:rsidR="00C73DCF">
        <w:t xml:space="preserve"> </w:t>
      </w:r>
    </w:p>
    <w:p w14:paraId="0E983057" w14:textId="77777777" w:rsidR="00BE7013" w:rsidRPr="00C22AFD" w:rsidRDefault="00C73DCF" w:rsidP="00BE7013">
      <w:pPr>
        <w:autoSpaceDE w:val="0"/>
        <w:autoSpaceDN w:val="0"/>
        <w:adjustRightInd w:val="0"/>
        <w:spacing w:after="0" w:line="240" w:lineRule="auto"/>
        <w:jc w:val="both"/>
        <w:rPr>
          <w:rFonts w:cs="Times New Roman"/>
        </w:rPr>
      </w:pPr>
      <w:r w:rsidRPr="00BE7013">
        <w:rPr>
          <w:b/>
          <w:i/>
        </w:rPr>
        <w:t xml:space="preserve">The </w:t>
      </w:r>
      <w:r w:rsidR="00CB3EE1" w:rsidRPr="00BE7013">
        <w:rPr>
          <w:b/>
          <w:i/>
        </w:rPr>
        <w:t xml:space="preserve">preparation of the IFC’s </w:t>
      </w:r>
      <w:r w:rsidRPr="00BE7013">
        <w:rPr>
          <w:b/>
          <w:i/>
        </w:rPr>
        <w:t>ECA Gender Project</w:t>
      </w:r>
      <w:r w:rsidR="00CB3EE1" w:rsidRPr="00BE7013">
        <w:rPr>
          <w:rStyle w:val="FootnoteReference"/>
          <w:b/>
          <w:i/>
        </w:rPr>
        <w:footnoteReference w:id="17"/>
      </w:r>
      <w:r w:rsidRPr="00BE7013">
        <w:rPr>
          <w:b/>
          <w:i/>
        </w:rPr>
        <w:t xml:space="preserve"> included analy</w:t>
      </w:r>
      <w:r w:rsidR="00CB3EE1" w:rsidRPr="00BE7013">
        <w:rPr>
          <w:b/>
          <w:i/>
        </w:rPr>
        <w:t xml:space="preserve">tical work in Moldova </w:t>
      </w:r>
      <w:r w:rsidRPr="00BE7013">
        <w:rPr>
          <w:b/>
          <w:i/>
        </w:rPr>
        <w:t xml:space="preserve">on </w:t>
      </w:r>
      <w:r w:rsidRPr="00BE7013">
        <w:rPr>
          <w:rFonts w:cs="Times New Roman"/>
          <w:b/>
          <w:i/>
        </w:rPr>
        <w:t>gender-sensitive selection of a value chain.</w:t>
      </w:r>
      <w:r>
        <w:rPr>
          <w:rFonts w:cs="Times New Roman"/>
        </w:rPr>
        <w:t xml:space="preserve"> T</w:t>
      </w:r>
      <w:r w:rsidRPr="007E29A3">
        <w:rPr>
          <w:rFonts w:cs="Times New Roman"/>
        </w:rPr>
        <w:t>hree priority sectors (light industry, horticulture and honey) were compared for the selection of a value chain which has a potential to contribute to increased women empowerment and gender equality</w:t>
      </w:r>
      <w:r>
        <w:rPr>
          <w:rFonts w:cs="Times New Roman"/>
          <w:sz w:val="20"/>
          <w:szCs w:val="20"/>
        </w:rPr>
        <w:t>.</w:t>
      </w:r>
      <w:r w:rsidR="00CB3EE1">
        <w:rPr>
          <w:rFonts w:cs="Times New Roman"/>
          <w:sz w:val="20"/>
          <w:szCs w:val="20"/>
        </w:rPr>
        <w:t xml:space="preserve"> </w:t>
      </w:r>
      <w:r w:rsidR="00BE7013" w:rsidRPr="00C22AFD">
        <w:rPr>
          <w:rFonts w:cs="Times New Roman"/>
        </w:rPr>
        <w:t xml:space="preserve">Therefore, the honey </w:t>
      </w:r>
      <w:r w:rsidR="00BE7013" w:rsidRPr="003F34D9">
        <w:rPr>
          <w:rFonts w:cs="Times New Roman"/>
        </w:rPr>
        <w:t>value chain was selected for further in-depth gender specific analysis as a chain with</w:t>
      </w:r>
      <w:r w:rsidR="00BE7013" w:rsidRPr="00C22AFD">
        <w:rPr>
          <w:rFonts w:cs="Times New Roman"/>
        </w:rPr>
        <w:t xml:space="preserve"> significant number of women employed and new job opportunities, commitment of chain act</w:t>
      </w:r>
      <w:r w:rsidR="00BE7013" w:rsidRPr="00B34CE4">
        <w:rPr>
          <w:rFonts w:cs="Times New Roman"/>
        </w:rPr>
        <w:t>ors, their readiness for change, existence of some level of organization of chain actors, low entry barriers for women entrepreneurs (time and mobility, access to technology and assets, cultural constraints), offering new opportunities for women.</w:t>
      </w:r>
      <w:r w:rsidR="00BE7013" w:rsidRPr="00EB41F1">
        <w:rPr>
          <w:rFonts w:cs="Times New Roman"/>
        </w:rPr>
        <w:t xml:space="preserve"> The Honey Value Chain Analysis focused on a global gender-sensitive picture of the value chain, the actors involved, their linkages and the percentages of men and women in each chain segment. The Analysis identified constraints and opportunities for women to participate in the value chain, the differences in power (positions) in the value chain governance, and discovered opportunities for women to upgrade their position. </w:t>
      </w:r>
      <w:r w:rsidR="00BE7013" w:rsidRPr="00C22AFD">
        <w:rPr>
          <w:rFonts w:cs="Times New Roman"/>
        </w:rPr>
        <w:t xml:space="preserve">Limited access to both local and foreign markets, </w:t>
      </w:r>
      <w:r w:rsidR="00BE7013">
        <w:rPr>
          <w:rFonts w:cs="Times New Roman"/>
        </w:rPr>
        <w:t>l</w:t>
      </w:r>
      <w:r w:rsidR="00BE7013" w:rsidRPr="00C22AFD">
        <w:rPr>
          <w:rFonts w:cs="Times New Roman"/>
        </w:rPr>
        <w:t xml:space="preserve">ack of </w:t>
      </w:r>
      <w:r w:rsidR="00BE7013">
        <w:rPr>
          <w:rFonts w:cs="Times New Roman"/>
        </w:rPr>
        <w:t xml:space="preserve">women </w:t>
      </w:r>
      <w:r w:rsidR="00BE7013" w:rsidRPr="00C22AFD">
        <w:rPr>
          <w:rFonts w:cs="Times New Roman"/>
        </w:rPr>
        <w:t xml:space="preserve">associations, </w:t>
      </w:r>
      <w:r w:rsidR="00BE7013">
        <w:rPr>
          <w:rFonts w:cs="Times New Roman"/>
        </w:rPr>
        <w:t xml:space="preserve">informal employment and skills gaps were among the major constraints. </w:t>
      </w:r>
    </w:p>
    <w:p w14:paraId="7F83359F" w14:textId="77777777" w:rsidR="00BE7013" w:rsidRPr="00C22AFD" w:rsidRDefault="00BE7013" w:rsidP="00BE7013">
      <w:pPr>
        <w:autoSpaceDE w:val="0"/>
        <w:autoSpaceDN w:val="0"/>
        <w:adjustRightInd w:val="0"/>
        <w:spacing w:after="0" w:line="240" w:lineRule="auto"/>
        <w:rPr>
          <w:rFonts w:cs="Times New Roman"/>
        </w:rPr>
      </w:pPr>
    </w:p>
    <w:p w14:paraId="3DDE3725" w14:textId="322D4AB8" w:rsidR="00383B3F" w:rsidRPr="00E56C86" w:rsidRDefault="00383B3F" w:rsidP="00E56C86">
      <w:pPr>
        <w:jc w:val="both"/>
      </w:pPr>
    </w:p>
    <w:p w14:paraId="10F6599D" w14:textId="77B5461E" w:rsidR="00B50FD1" w:rsidRPr="00B26519" w:rsidRDefault="00383B3F" w:rsidP="00D57BD0">
      <w:pPr>
        <w:spacing w:after="0" w:line="240" w:lineRule="auto"/>
        <w:rPr>
          <w:rFonts w:cs="Times New Roman"/>
          <w:b/>
          <w:i/>
          <w:sz w:val="20"/>
          <w:szCs w:val="20"/>
        </w:rPr>
      </w:pPr>
      <w:r>
        <w:rPr>
          <w:rFonts w:cs="Times New Roman"/>
          <w:b/>
          <w:i/>
          <w:sz w:val="20"/>
          <w:szCs w:val="20"/>
        </w:rPr>
        <w:t xml:space="preserve">Table </w:t>
      </w:r>
      <w:r w:rsidR="00571B33">
        <w:rPr>
          <w:rFonts w:cs="Times New Roman"/>
          <w:b/>
          <w:i/>
          <w:sz w:val="20"/>
          <w:szCs w:val="20"/>
        </w:rPr>
        <w:t>3</w:t>
      </w:r>
      <w:r w:rsidR="00B26519" w:rsidRPr="00B26519">
        <w:rPr>
          <w:rFonts w:cs="Times New Roman"/>
          <w:b/>
          <w:i/>
          <w:sz w:val="20"/>
          <w:szCs w:val="20"/>
        </w:rPr>
        <w:t xml:space="preserve">: </w:t>
      </w:r>
      <w:r w:rsidR="002A3899">
        <w:rPr>
          <w:rFonts w:cs="Times New Roman"/>
          <w:b/>
          <w:i/>
          <w:sz w:val="20"/>
          <w:szCs w:val="20"/>
        </w:rPr>
        <w:t>Gender activities and indicators in the current WBG portfolio</w:t>
      </w:r>
    </w:p>
    <w:tbl>
      <w:tblPr>
        <w:tblStyle w:val="TableGrid"/>
        <w:tblW w:w="0" w:type="auto"/>
        <w:tblLook w:val="04A0" w:firstRow="1" w:lastRow="0" w:firstColumn="1" w:lastColumn="0" w:noHBand="0" w:noVBand="1"/>
      </w:tblPr>
      <w:tblGrid>
        <w:gridCol w:w="2155"/>
        <w:gridCol w:w="5400"/>
        <w:gridCol w:w="1795"/>
      </w:tblGrid>
      <w:tr w:rsidR="008428E7" w:rsidRPr="008428E7" w14:paraId="71AA446D" w14:textId="77777777" w:rsidTr="007E29A3">
        <w:trPr>
          <w:trHeight w:val="962"/>
        </w:trPr>
        <w:tc>
          <w:tcPr>
            <w:tcW w:w="2155" w:type="dxa"/>
          </w:tcPr>
          <w:p w14:paraId="55D8A756" w14:textId="77777777" w:rsidR="008428E7" w:rsidRPr="008428E7" w:rsidRDefault="008428E7" w:rsidP="00D57BD0">
            <w:pPr>
              <w:rPr>
                <w:rFonts w:cs="Times New Roman"/>
                <w:b/>
                <w:i/>
                <w:sz w:val="20"/>
                <w:szCs w:val="20"/>
              </w:rPr>
            </w:pPr>
            <w:r w:rsidRPr="008428E7">
              <w:rPr>
                <w:rFonts w:cs="Times New Roman"/>
                <w:b/>
                <w:i/>
                <w:sz w:val="20"/>
                <w:szCs w:val="20"/>
              </w:rPr>
              <w:t>Project</w:t>
            </w:r>
          </w:p>
        </w:tc>
        <w:tc>
          <w:tcPr>
            <w:tcW w:w="5400" w:type="dxa"/>
          </w:tcPr>
          <w:p w14:paraId="73987D22" w14:textId="4827EF39" w:rsidR="008428E7" w:rsidRDefault="008428E7" w:rsidP="00D57BD0">
            <w:pPr>
              <w:rPr>
                <w:rFonts w:cs="Times New Roman"/>
                <w:b/>
                <w:i/>
                <w:sz w:val="20"/>
                <w:szCs w:val="20"/>
              </w:rPr>
            </w:pPr>
            <w:r w:rsidRPr="008428E7">
              <w:rPr>
                <w:rFonts w:cs="Times New Roman"/>
                <w:b/>
                <w:i/>
                <w:sz w:val="20"/>
                <w:szCs w:val="20"/>
              </w:rPr>
              <w:t>Gender Elements in Active WB</w:t>
            </w:r>
            <w:r>
              <w:rPr>
                <w:rFonts w:cs="Times New Roman"/>
                <w:b/>
                <w:i/>
                <w:sz w:val="20"/>
                <w:szCs w:val="20"/>
              </w:rPr>
              <w:t>G Program</w:t>
            </w:r>
          </w:p>
          <w:p w14:paraId="3C057AF6" w14:textId="77777777" w:rsidR="008428E7" w:rsidRPr="008428E7" w:rsidRDefault="008428E7" w:rsidP="00D57BD0">
            <w:pPr>
              <w:rPr>
                <w:rFonts w:cs="Times New Roman"/>
                <w:b/>
                <w:i/>
                <w:sz w:val="20"/>
                <w:szCs w:val="20"/>
              </w:rPr>
            </w:pPr>
          </w:p>
        </w:tc>
        <w:tc>
          <w:tcPr>
            <w:tcW w:w="1795" w:type="dxa"/>
          </w:tcPr>
          <w:p w14:paraId="394B01B7" w14:textId="77777777" w:rsidR="008428E7" w:rsidRPr="008428E7" w:rsidRDefault="008428E7" w:rsidP="00D57BD0">
            <w:pPr>
              <w:rPr>
                <w:rFonts w:cs="Times New Roman"/>
                <w:b/>
                <w:i/>
                <w:sz w:val="20"/>
                <w:szCs w:val="20"/>
              </w:rPr>
            </w:pPr>
            <w:r w:rsidRPr="008428E7">
              <w:rPr>
                <w:rFonts w:cs="Times New Roman"/>
                <w:b/>
                <w:i/>
                <w:sz w:val="20"/>
                <w:szCs w:val="20"/>
              </w:rPr>
              <w:t>Type of intervention</w:t>
            </w:r>
          </w:p>
          <w:p w14:paraId="0D8D94DD" w14:textId="77777777" w:rsidR="008428E7" w:rsidRPr="008428E7" w:rsidRDefault="008428E7" w:rsidP="00D57BD0">
            <w:pPr>
              <w:rPr>
                <w:rFonts w:cs="Times New Roman"/>
                <w:b/>
                <w:i/>
                <w:sz w:val="20"/>
                <w:szCs w:val="20"/>
              </w:rPr>
            </w:pPr>
            <w:r w:rsidRPr="008428E7">
              <w:rPr>
                <w:rFonts w:cs="Times New Roman"/>
                <w:b/>
                <w:i/>
                <w:sz w:val="20"/>
                <w:szCs w:val="20"/>
              </w:rPr>
              <w:t>OPN=operational</w:t>
            </w:r>
          </w:p>
          <w:p w14:paraId="0B948B6D" w14:textId="77777777" w:rsidR="008428E7" w:rsidRDefault="008428E7" w:rsidP="00D57BD0">
            <w:pPr>
              <w:rPr>
                <w:rFonts w:cs="Times New Roman"/>
                <w:b/>
                <w:i/>
                <w:sz w:val="20"/>
                <w:szCs w:val="20"/>
              </w:rPr>
            </w:pPr>
            <w:r w:rsidRPr="008428E7">
              <w:rPr>
                <w:rFonts w:cs="Times New Roman"/>
                <w:b/>
                <w:i/>
                <w:sz w:val="20"/>
                <w:szCs w:val="20"/>
              </w:rPr>
              <w:t>M&amp;E=indicators</w:t>
            </w:r>
          </w:p>
          <w:p w14:paraId="5CB57D5B" w14:textId="77777777" w:rsidR="008428E7" w:rsidRPr="008428E7" w:rsidRDefault="008428E7" w:rsidP="00D57BD0">
            <w:pPr>
              <w:rPr>
                <w:rFonts w:cs="Times New Roman"/>
                <w:b/>
                <w:i/>
                <w:sz w:val="20"/>
                <w:szCs w:val="20"/>
              </w:rPr>
            </w:pPr>
            <w:r>
              <w:rPr>
                <w:rFonts w:cs="Times New Roman"/>
                <w:b/>
                <w:i/>
                <w:sz w:val="20"/>
                <w:szCs w:val="20"/>
              </w:rPr>
              <w:t>AA=analytic</w:t>
            </w:r>
          </w:p>
          <w:p w14:paraId="39970512" w14:textId="77777777" w:rsidR="008428E7" w:rsidRPr="008428E7" w:rsidRDefault="008428E7" w:rsidP="00D57BD0">
            <w:pPr>
              <w:rPr>
                <w:rFonts w:cs="Times New Roman"/>
                <w:b/>
                <w:i/>
                <w:sz w:val="20"/>
                <w:szCs w:val="20"/>
              </w:rPr>
            </w:pPr>
          </w:p>
        </w:tc>
      </w:tr>
      <w:tr w:rsidR="00C74317" w:rsidRPr="008428E7" w14:paraId="388009DD" w14:textId="77777777" w:rsidTr="00FF6D11">
        <w:tc>
          <w:tcPr>
            <w:tcW w:w="2155" w:type="dxa"/>
          </w:tcPr>
          <w:p w14:paraId="79101528" w14:textId="184ADFA5" w:rsidR="00C74317" w:rsidRPr="00631665" w:rsidRDefault="00C74317" w:rsidP="00D57BD0">
            <w:pPr>
              <w:rPr>
                <w:rFonts w:cs="Times New Roman"/>
                <w:sz w:val="20"/>
                <w:szCs w:val="20"/>
              </w:rPr>
            </w:pPr>
            <w:r>
              <w:rPr>
                <w:rFonts w:cs="Times New Roman"/>
                <w:sz w:val="20"/>
                <w:szCs w:val="20"/>
              </w:rPr>
              <w:t xml:space="preserve">Education Reform Project </w:t>
            </w:r>
          </w:p>
        </w:tc>
        <w:tc>
          <w:tcPr>
            <w:tcW w:w="5400" w:type="dxa"/>
          </w:tcPr>
          <w:p w14:paraId="790895D7" w14:textId="570314A1" w:rsidR="00C74317" w:rsidRDefault="00C270E1" w:rsidP="00D57BD0">
            <w:pPr>
              <w:rPr>
                <w:rFonts w:cs="Times New Roman"/>
                <w:sz w:val="20"/>
                <w:szCs w:val="20"/>
              </w:rPr>
            </w:pPr>
            <w:r>
              <w:rPr>
                <w:rFonts w:cs="Times New Roman"/>
                <w:sz w:val="20"/>
                <w:szCs w:val="20"/>
              </w:rPr>
              <w:t>Disbursement linked indicator related to a functioning Education Management information System (EMIS) (which can track basic indicators such as enrollment, completion, drop-rate rates by gender)</w:t>
            </w:r>
          </w:p>
        </w:tc>
        <w:tc>
          <w:tcPr>
            <w:tcW w:w="1795" w:type="dxa"/>
          </w:tcPr>
          <w:p w14:paraId="5969521D" w14:textId="0CCD195E" w:rsidR="00C74317" w:rsidRDefault="00C270E1" w:rsidP="00D57BD0">
            <w:pPr>
              <w:rPr>
                <w:rFonts w:cs="Times New Roman"/>
                <w:sz w:val="20"/>
                <w:szCs w:val="20"/>
              </w:rPr>
            </w:pPr>
            <w:r>
              <w:rPr>
                <w:rFonts w:cs="Times New Roman"/>
                <w:sz w:val="20"/>
                <w:szCs w:val="20"/>
              </w:rPr>
              <w:t>M&amp;E</w:t>
            </w:r>
          </w:p>
        </w:tc>
      </w:tr>
      <w:tr w:rsidR="008428E7" w:rsidRPr="008428E7" w14:paraId="28F02BE8" w14:textId="77777777" w:rsidTr="00FF6D11">
        <w:tc>
          <w:tcPr>
            <w:tcW w:w="2155" w:type="dxa"/>
          </w:tcPr>
          <w:p w14:paraId="23DCEC2A" w14:textId="77777777" w:rsidR="008428E7" w:rsidRPr="00631665" w:rsidRDefault="00631665" w:rsidP="00D57BD0">
            <w:pPr>
              <w:rPr>
                <w:rFonts w:cs="Times New Roman"/>
                <w:sz w:val="20"/>
                <w:szCs w:val="20"/>
              </w:rPr>
            </w:pPr>
            <w:r w:rsidRPr="00631665">
              <w:rPr>
                <w:rFonts w:cs="Times New Roman"/>
                <w:sz w:val="20"/>
                <w:szCs w:val="20"/>
              </w:rPr>
              <w:t>E-Transformation project</w:t>
            </w:r>
            <w:r w:rsidR="007166A4">
              <w:rPr>
                <w:rFonts w:cs="Times New Roman"/>
                <w:sz w:val="20"/>
                <w:szCs w:val="20"/>
              </w:rPr>
              <w:t xml:space="preserve"> (P121231)</w:t>
            </w:r>
          </w:p>
        </w:tc>
        <w:tc>
          <w:tcPr>
            <w:tcW w:w="5400" w:type="dxa"/>
          </w:tcPr>
          <w:p w14:paraId="6D5CDAA7" w14:textId="03C1872D" w:rsidR="007166A4" w:rsidRPr="00631665" w:rsidRDefault="007166A4"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female beneficiaries (citizens who access public services via the Government e-portal or mobile phone), 50% target</w:t>
            </w:r>
          </w:p>
        </w:tc>
        <w:tc>
          <w:tcPr>
            <w:tcW w:w="1795" w:type="dxa"/>
          </w:tcPr>
          <w:p w14:paraId="1E3D18E1" w14:textId="77777777" w:rsidR="008428E7" w:rsidRPr="00631665" w:rsidRDefault="007166A4" w:rsidP="00D57BD0">
            <w:pPr>
              <w:rPr>
                <w:rFonts w:cs="Times New Roman"/>
                <w:sz w:val="20"/>
                <w:szCs w:val="20"/>
              </w:rPr>
            </w:pPr>
            <w:r>
              <w:rPr>
                <w:rFonts w:cs="Times New Roman"/>
                <w:sz w:val="20"/>
                <w:szCs w:val="20"/>
              </w:rPr>
              <w:t>M&amp;E</w:t>
            </w:r>
          </w:p>
        </w:tc>
      </w:tr>
      <w:tr w:rsidR="008428E7" w:rsidRPr="008428E7" w14:paraId="3E1B64FF" w14:textId="77777777" w:rsidTr="00FF6D11">
        <w:tc>
          <w:tcPr>
            <w:tcW w:w="2155" w:type="dxa"/>
          </w:tcPr>
          <w:p w14:paraId="20D137A7" w14:textId="77777777" w:rsidR="008428E7" w:rsidRPr="00631665" w:rsidRDefault="00631665" w:rsidP="00D57BD0">
            <w:pPr>
              <w:rPr>
                <w:rFonts w:cs="Times New Roman"/>
                <w:sz w:val="20"/>
                <w:szCs w:val="20"/>
              </w:rPr>
            </w:pPr>
            <w:r>
              <w:rPr>
                <w:rFonts w:cs="Times New Roman"/>
                <w:sz w:val="20"/>
                <w:szCs w:val="20"/>
              </w:rPr>
              <w:t xml:space="preserve">Agriculture Competitiveness </w:t>
            </w:r>
            <w:r w:rsidR="007166A4">
              <w:rPr>
                <w:rFonts w:cs="Times New Roman"/>
                <w:sz w:val="20"/>
                <w:szCs w:val="20"/>
              </w:rPr>
              <w:t>(P118518; P127125)</w:t>
            </w:r>
          </w:p>
        </w:tc>
        <w:tc>
          <w:tcPr>
            <w:tcW w:w="5400" w:type="dxa"/>
          </w:tcPr>
          <w:p w14:paraId="1550C961" w14:textId="77777777" w:rsidR="008428E7" w:rsidRDefault="002412AF" w:rsidP="00D57BD0">
            <w:pPr>
              <w:rPr>
                <w:rFonts w:cs="Times New Roman"/>
                <w:sz w:val="20"/>
                <w:szCs w:val="20"/>
              </w:rPr>
            </w:pPr>
            <w:r>
              <w:rPr>
                <w:rFonts w:cs="Times New Roman"/>
                <w:sz w:val="20"/>
                <w:szCs w:val="20"/>
              </w:rPr>
              <w:t>Communication and outreach targeted at women clients</w:t>
            </w:r>
          </w:p>
          <w:p w14:paraId="574A3B32" w14:textId="5E41F79C" w:rsidR="002412AF" w:rsidRDefault="002412AF" w:rsidP="00D57BD0">
            <w:pPr>
              <w:rPr>
                <w:rFonts w:cs="Times New Roman"/>
                <w:sz w:val="20"/>
                <w:szCs w:val="20"/>
              </w:rPr>
            </w:pPr>
            <w:r>
              <w:rPr>
                <w:rFonts w:cs="Times New Roman"/>
                <w:sz w:val="20"/>
                <w:szCs w:val="20"/>
              </w:rPr>
              <w:t xml:space="preserve">% </w:t>
            </w:r>
            <w:r w:rsidR="00547AF2">
              <w:rPr>
                <w:rFonts w:cs="Times New Roman"/>
                <w:sz w:val="20"/>
                <w:szCs w:val="20"/>
              </w:rPr>
              <w:t xml:space="preserve">of </w:t>
            </w:r>
            <w:r>
              <w:rPr>
                <w:rFonts w:cs="Times New Roman"/>
                <w:sz w:val="20"/>
                <w:szCs w:val="20"/>
              </w:rPr>
              <w:t xml:space="preserve">women participating in communication activities </w:t>
            </w:r>
          </w:p>
          <w:p w14:paraId="55CDC667" w14:textId="23C50E9D" w:rsidR="002412AF" w:rsidRPr="00631665" w:rsidRDefault="002412AF" w:rsidP="00D57BD0">
            <w:pPr>
              <w:rPr>
                <w:rFonts w:cs="Times New Roman"/>
                <w:sz w:val="20"/>
                <w:szCs w:val="20"/>
              </w:rPr>
            </w:pPr>
            <w:r>
              <w:rPr>
                <w:rFonts w:cs="Times New Roman"/>
                <w:sz w:val="20"/>
                <w:szCs w:val="20"/>
              </w:rPr>
              <w:t xml:space="preserve">% </w:t>
            </w:r>
            <w:r w:rsidR="00547AF2">
              <w:rPr>
                <w:rFonts w:cs="Times New Roman"/>
                <w:sz w:val="20"/>
                <w:szCs w:val="20"/>
              </w:rPr>
              <w:t xml:space="preserve">of </w:t>
            </w:r>
            <w:r>
              <w:rPr>
                <w:rFonts w:cs="Times New Roman"/>
                <w:sz w:val="20"/>
                <w:szCs w:val="20"/>
              </w:rPr>
              <w:t>female beneficiaries</w:t>
            </w:r>
          </w:p>
        </w:tc>
        <w:tc>
          <w:tcPr>
            <w:tcW w:w="1795" w:type="dxa"/>
          </w:tcPr>
          <w:p w14:paraId="52414412" w14:textId="77777777" w:rsidR="008428E7" w:rsidRDefault="002412AF" w:rsidP="00D57BD0">
            <w:pPr>
              <w:rPr>
                <w:rFonts w:cs="Times New Roman"/>
                <w:sz w:val="20"/>
                <w:szCs w:val="20"/>
              </w:rPr>
            </w:pPr>
            <w:r>
              <w:rPr>
                <w:rFonts w:cs="Times New Roman"/>
                <w:sz w:val="20"/>
                <w:szCs w:val="20"/>
              </w:rPr>
              <w:t>OPN</w:t>
            </w:r>
          </w:p>
          <w:p w14:paraId="2CDD3A89" w14:textId="77777777" w:rsidR="002412AF" w:rsidRPr="00631665" w:rsidRDefault="002412AF" w:rsidP="00D57BD0">
            <w:pPr>
              <w:rPr>
                <w:rFonts w:cs="Times New Roman"/>
                <w:sz w:val="20"/>
                <w:szCs w:val="20"/>
              </w:rPr>
            </w:pPr>
            <w:r>
              <w:rPr>
                <w:rFonts w:cs="Times New Roman"/>
                <w:sz w:val="20"/>
                <w:szCs w:val="20"/>
              </w:rPr>
              <w:t>M&amp;E</w:t>
            </w:r>
          </w:p>
        </w:tc>
      </w:tr>
      <w:tr w:rsidR="008428E7" w:rsidRPr="008428E7" w14:paraId="6671A724" w14:textId="77777777" w:rsidTr="00FF6D11">
        <w:tc>
          <w:tcPr>
            <w:tcW w:w="2155" w:type="dxa"/>
          </w:tcPr>
          <w:p w14:paraId="3BFE7290" w14:textId="77777777" w:rsidR="008428E7" w:rsidRPr="00631665" w:rsidRDefault="007166A4" w:rsidP="00D57BD0">
            <w:pPr>
              <w:rPr>
                <w:rFonts w:cs="Times New Roman"/>
                <w:sz w:val="20"/>
                <w:szCs w:val="20"/>
              </w:rPr>
            </w:pPr>
            <w:r>
              <w:rPr>
                <w:rFonts w:cs="Times New Roman"/>
                <w:sz w:val="20"/>
                <w:szCs w:val="20"/>
              </w:rPr>
              <w:t>Health Transformation (P144892)</w:t>
            </w:r>
          </w:p>
        </w:tc>
        <w:tc>
          <w:tcPr>
            <w:tcW w:w="5400" w:type="dxa"/>
          </w:tcPr>
          <w:p w14:paraId="2B7DD5AE" w14:textId="77777777" w:rsidR="008428E7" w:rsidRDefault="00FF6D11" w:rsidP="00D57BD0">
            <w:pPr>
              <w:rPr>
                <w:rFonts w:cs="Times New Roman"/>
                <w:sz w:val="20"/>
                <w:szCs w:val="20"/>
              </w:rPr>
            </w:pPr>
            <w:r>
              <w:rPr>
                <w:rFonts w:cs="Times New Roman"/>
                <w:sz w:val="20"/>
                <w:szCs w:val="20"/>
              </w:rPr>
              <w:t>Support enabling environment for men to access health care services</w:t>
            </w:r>
          </w:p>
          <w:p w14:paraId="157B461C" w14:textId="77777777" w:rsidR="00FF6D11" w:rsidRDefault="00FF6D11" w:rsidP="00D57BD0">
            <w:pPr>
              <w:rPr>
                <w:rFonts w:cs="Times New Roman"/>
                <w:sz w:val="20"/>
                <w:szCs w:val="20"/>
              </w:rPr>
            </w:pPr>
            <w:r>
              <w:rPr>
                <w:rFonts w:cs="Times New Roman"/>
                <w:sz w:val="20"/>
                <w:szCs w:val="20"/>
              </w:rPr>
              <w:t xml:space="preserve">Tailored communication campaign to female health workers </w:t>
            </w:r>
          </w:p>
          <w:p w14:paraId="353D681B" w14:textId="77777777" w:rsidR="00FF6D11" w:rsidRDefault="00FF6D11" w:rsidP="00D57BD0">
            <w:pPr>
              <w:rPr>
                <w:rFonts w:cs="Times New Roman"/>
                <w:sz w:val="20"/>
                <w:szCs w:val="20"/>
              </w:rPr>
            </w:pPr>
            <w:r>
              <w:rPr>
                <w:rFonts w:cs="Times New Roman"/>
                <w:sz w:val="20"/>
                <w:szCs w:val="20"/>
              </w:rPr>
              <w:t>Smoking prevalence (by gender)</w:t>
            </w:r>
          </w:p>
          <w:p w14:paraId="0FCF95AD" w14:textId="59CE68F0" w:rsidR="00FF6D11" w:rsidRDefault="00FF6D11" w:rsidP="00D57BD0">
            <w:pPr>
              <w:rPr>
                <w:rFonts w:cs="Times New Roman"/>
                <w:sz w:val="20"/>
                <w:szCs w:val="20"/>
              </w:rPr>
            </w:pPr>
            <w:r>
              <w:rPr>
                <w:rFonts w:cs="Times New Roman"/>
                <w:sz w:val="20"/>
                <w:szCs w:val="20"/>
              </w:rPr>
              <w:t xml:space="preserve">% </w:t>
            </w:r>
            <w:r w:rsidR="00547AF2">
              <w:rPr>
                <w:rFonts w:cs="Times New Roman"/>
                <w:sz w:val="20"/>
                <w:szCs w:val="20"/>
              </w:rPr>
              <w:t xml:space="preserve">of </w:t>
            </w:r>
            <w:r>
              <w:rPr>
                <w:rFonts w:cs="Times New Roman"/>
                <w:sz w:val="20"/>
                <w:szCs w:val="20"/>
              </w:rPr>
              <w:t>adults with hypertension receiving treatment (by gender)</w:t>
            </w:r>
          </w:p>
          <w:p w14:paraId="29ADB45D" w14:textId="5E9C991A" w:rsidR="00FF6D11" w:rsidRPr="00631665" w:rsidRDefault="00FF6D11" w:rsidP="00D57BD0">
            <w:pPr>
              <w:rPr>
                <w:rFonts w:cs="Times New Roman"/>
                <w:sz w:val="20"/>
                <w:szCs w:val="20"/>
              </w:rPr>
            </w:pPr>
            <w:r>
              <w:rPr>
                <w:rFonts w:cs="Times New Roman"/>
                <w:sz w:val="20"/>
                <w:szCs w:val="20"/>
              </w:rPr>
              <w:lastRenderedPageBreak/>
              <w:t xml:space="preserve">% </w:t>
            </w:r>
            <w:r w:rsidR="00547AF2">
              <w:rPr>
                <w:rFonts w:cs="Times New Roman"/>
                <w:sz w:val="20"/>
                <w:szCs w:val="20"/>
              </w:rPr>
              <w:t xml:space="preserve">of </w:t>
            </w:r>
            <w:r>
              <w:rPr>
                <w:rFonts w:cs="Times New Roman"/>
                <w:sz w:val="20"/>
                <w:szCs w:val="20"/>
              </w:rPr>
              <w:t>adults whose blood pressure is under control (by gender)</w:t>
            </w:r>
          </w:p>
        </w:tc>
        <w:tc>
          <w:tcPr>
            <w:tcW w:w="1795" w:type="dxa"/>
          </w:tcPr>
          <w:p w14:paraId="07ED1534" w14:textId="77777777" w:rsidR="008428E7" w:rsidRDefault="001E673A" w:rsidP="00D57BD0">
            <w:pPr>
              <w:rPr>
                <w:rFonts w:cs="Times New Roman"/>
                <w:sz w:val="20"/>
                <w:szCs w:val="20"/>
              </w:rPr>
            </w:pPr>
            <w:r>
              <w:rPr>
                <w:rFonts w:cs="Times New Roman"/>
                <w:sz w:val="20"/>
                <w:szCs w:val="20"/>
              </w:rPr>
              <w:lastRenderedPageBreak/>
              <w:t>OPN</w:t>
            </w:r>
          </w:p>
          <w:p w14:paraId="2D530EF5" w14:textId="77777777" w:rsidR="001E673A" w:rsidRPr="00631665" w:rsidRDefault="001E673A" w:rsidP="00D57BD0">
            <w:pPr>
              <w:rPr>
                <w:rFonts w:cs="Times New Roman"/>
                <w:sz w:val="20"/>
                <w:szCs w:val="20"/>
              </w:rPr>
            </w:pPr>
            <w:r>
              <w:rPr>
                <w:rFonts w:cs="Times New Roman"/>
                <w:sz w:val="20"/>
                <w:szCs w:val="20"/>
              </w:rPr>
              <w:t>M&amp;E</w:t>
            </w:r>
          </w:p>
        </w:tc>
      </w:tr>
      <w:tr w:rsidR="007166A4" w:rsidRPr="008428E7" w14:paraId="0B83169A" w14:textId="77777777" w:rsidTr="00FF6D11">
        <w:tc>
          <w:tcPr>
            <w:tcW w:w="2155" w:type="dxa"/>
          </w:tcPr>
          <w:p w14:paraId="3125FDA0" w14:textId="77777777" w:rsidR="007166A4" w:rsidRDefault="007166A4" w:rsidP="00D57BD0">
            <w:pPr>
              <w:rPr>
                <w:rFonts w:cs="Times New Roman"/>
                <w:sz w:val="20"/>
                <w:szCs w:val="20"/>
              </w:rPr>
            </w:pPr>
            <w:r>
              <w:rPr>
                <w:rFonts w:cs="Times New Roman"/>
                <w:sz w:val="20"/>
                <w:szCs w:val="20"/>
              </w:rPr>
              <w:t>Strengthening Effectiveness of SSN (P120913)</w:t>
            </w:r>
          </w:p>
        </w:tc>
        <w:tc>
          <w:tcPr>
            <w:tcW w:w="5400" w:type="dxa"/>
          </w:tcPr>
          <w:p w14:paraId="197FAC08" w14:textId="3F112AF6" w:rsidR="007166A4" w:rsidRDefault="007166A4" w:rsidP="007166A4">
            <w:pPr>
              <w:rPr>
                <w:rFonts w:cs="Times New Roman"/>
                <w:sz w:val="20"/>
                <w:szCs w:val="20"/>
              </w:rPr>
            </w:pPr>
            <w:r w:rsidRPr="007166A4">
              <w:rPr>
                <w:rFonts w:cs="Times New Roman"/>
                <w:sz w:val="20"/>
                <w:szCs w:val="20"/>
              </w:rPr>
              <w:t xml:space="preserve"># </w:t>
            </w:r>
            <w:r w:rsidR="00AB5585">
              <w:rPr>
                <w:rFonts w:cs="Times New Roman"/>
                <w:sz w:val="20"/>
                <w:szCs w:val="20"/>
              </w:rPr>
              <w:t xml:space="preserve">of </w:t>
            </w:r>
            <w:r w:rsidR="006C0729">
              <w:rPr>
                <w:rFonts w:cs="Times New Roman"/>
                <w:sz w:val="20"/>
                <w:szCs w:val="20"/>
              </w:rPr>
              <w:t xml:space="preserve">female </w:t>
            </w:r>
            <w:r w:rsidRPr="007166A4">
              <w:rPr>
                <w:rFonts w:cs="Times New Roman"/>
                <w:sz w:val="20"/>
                <w:szCs w:val="20"/>
              </w:rPr>
              <w:t xml:space="preserve">beneficiaries </w:t>
            </w:r>
          </w:p>
          <w:p w14:paraId="51F77EA1" w14:textId="10A9F444" w:rsidR="007166A4" w:rsidRPr="007166A4" w:rsidRDefault="007166A4" w:rsidP="006C0729">
            <w:pPr>
              <w:rPr>
                <w:rFonts w:cs="Times New Roman"/>
                <w:sz w:val="20"/>
                <w:szCs w:val="20"/>
              </w:rPr>
            </w:pPr>
            <w:r w:rsidRPr="007166A4">
              <w:rPr>
                <w:rFonts w:cs="Times New Roman"/>
                <w:sz w:val="20"/>
                <w:szCs w:val="20"/>
              </w:rPr>
              <w:t xml:space="preserve"># </w:t>
            </w:r>
            <w:r w:rsidR="00AB5585">
              <w:rPr>
                <w:rFonts w:cs="Times New Roman"/>
                <w:sz w:val="20"/>
                <w:szCs w:val="20"/>
              </w:rPr>
              <w:t xml:space="preserve">of </w:t>
            </w:r>
            <w:r w:rsidR="006C0729">
              <w:rPr>
                <w:rFonts w:cs="Times New Roman"/>
                <w:sz w:val="20"/>
                <w:szCs w:val="20"/>
              </w:rPr>
              <w:t xml:space="preserve">female </w:t>
            </w:r>
            <w:r w:rsidRPr="007166A4">
              <w:rPr>
                <w:rFonts w:cs="Times New Roman"/>
                <w:sz w:val="20"/>
                <w:szCs w:val="20"/>
              </w:rPr>
              <w:t>SSN beneficiaries</w:t>
            </w:r>
          </w:p>
        </w:tc>
        <w:tc>
          <w:tcPr>
            <w:tcW w:w="1795" w:type="dxa"/>
          </w:tcPr>
          <w:p w14:paraId="1EC1CA85" w14:textId="77777777" w:rsidR="007166A4" w:rsidRPr="007166A4" w:rsidRDefault="007166A4" w:rsidP="007166A4">
            <w:pPr>
              <w:rPr>
                <w:rFonts w:cs="Times New Roman"/>
                <w:sz w:val="20"/>
                <w:szCs w:val="20"/>
              </w:rPr>
            </w:pPr>
            <w:r w:rsidRPr="007166A4">
              <w:rPr>
                <w:rFonts w:cs="Times New Roman"/>
                <w:sz w:val="20"/>
                <w:szCs w:val="20"/>
              </w:rPr>
              <w:t>M&amp;E</w:t>
            </w:r>
          </w:p>
        </w:tc>
      </w:tr>
      <w:tr w:rsidR="00737305" w:rsidRPr="008428E7" w14:paraId="57AD2574" w14:textId="77777777" w:rsidTr="00FF6D11">
        <w:tc>
          <w:tcPr>
            <w:tcW w:w="2155" w:type="dxa"/>
          </w:tcPr>
          <w:p w14:paraId="3F06D3F5" w14:textId="77777777" w:rsidR="00737305" w:rsidRPr="00631665" w:rsidRDefault="007166A4" w:rsidP="00D57BD0">
            <w:pPr>
              <w:rPr>
                <w:rFonts w:cs="Times New Roman"/>
                <w:sz w:val="20"/>
                <w:szCs w:val="20"/>
              </w:rPr>
            </w:pPr>
            <w:r>
              <w:rPr>
                <w:rFonts w:cs="Times New Roman"/>
                <w:sz w:val="20"/>
                <w:szCs w:val="20"/>
              </w:rPr>
              <w:t>Local Roads Improvement (P150357)</w:t>
            </w:r>
          </w:p>
        </w:tc>
        <w:tc>
          <w:tcPr>
            <w:tcW w:w="5400" w:type="dxa"/>
          </w:tcPr>
          <w:p w14:paraId="03FE38D2" w14:textId="38AA5316" w:rsidR="00737305" w:rsidRDefault="002412AF" w:rsidP="00D57BD0">
            <w:pPr>
              <w:rPr>
                <w:rFonts w:cs="Times New Roman"/>
                <w:sz w:val="20"/>
                <w:szCs w:val="20"/>
              </w:rPr>
            </w:pPr>
            <w:r>
              <w:rPr>
                <w:rFonts w:cs="Times New Roman"/>
                <w:sz w:val="20"/>
                <w:szCs w:val="20"/>
              </w:rPr>
              <w:t xml:space="preserve"># </w:t>
            </w:r>
            <w:r w:rsidR="00547AF2">
              <w:rPr>
                <w:rFonts w:cs="Times New Roman"/>
                <w:sz w:val="20"/>
                <w:szCs w:val="20"/>
              </w:rPr>
              <w:t xml:space="preserve">of </w:t>
            </w:r>
            <w:r>
              <w:rPr>
                <w:rFonts w:cs="Times New Roman"/>
                <w:sz w:val="20"/>
                <w:szCs w:val="20"/>
              </w:rPr>
              <w:t>girls trained in road safety awareness</w:t>
            </w:r>
          </w:p>
          <w:p w14:paraId="4AD68976" w14:textId="7EDB00F0" w:rsidR="002412AF" w:rsidRPr="00631665" w:rsidRDefault="002412AF"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female beneficiaries</w:t>
            </w:r>
          </w:p>
        </w:tc>
        <w:tc>
          <w:tcPr>
            <w:tcW w:w="1795" w:type="dxa"/>
          </w:tcPr>
          <w:p w14:paraId="23643E0C" w14:textId="77777777" w:rsidR="00737305" w:rsidRPr="00631665" w:rsidRDefault="002412AF" w:rsidP="00D57BD0">
            <w:pPr>
              <w:rPr>
                <w:rFonts w:cs="Times New Roman"/>
                <w:sz w:val="20"/>
                <w:szCs w:val="20"/>
              </w:rPr>
            </w:pPr>
            <w:r>
              <w:rPr>
                <w:rFonts w:cs="Times New Roman"/>
                <w:sz w:val="20"/>
                <w:szCs w:val="20"/>
              </w:rPr>
              <w:t>M&amp;E</w:t>
            </w:r>
          </w:p>
        </w:tc>
      </w:tr>
      <w:tr w:rsidR="00737305" w:rsidRPr="008428E7" w14:paraId="3ED9CEA4" w14:textId="77777777" w:rsidTr="00FF6D11">
        <w:tc>
          <w:tcPr>
            <w:tcW w:w="2155" w:type="dxa"/>
          </w:tcPr>
          <w:p w14:paraId="2882BDD7" w14:textId="77777777" w:rsidR="00737305" w:rsidRPr="00631665" w:rsidRDefault="007166A4" w:rsidP="00D57BD0">
            <w:pPr>
              <w:rPr>
                <w:rFonts w:cs="Times New Roman"/>
                <w:sz w:val="20"/>
                <w:szCs w:val="20"/>
              </w:rPr>
            </w:pPr>
            <w:r>
              <w:rPr>
                <w:rFonts w:cs="Times New Roman"/>
                <w:sz w:val="20"/>
                <w:szCs w:val="20"/>
              </w:rPr>
              <w:t>Second Competitiveness Enhancement (P144103)</w:t>
            </w:r>
          </w:p>
        </w:tc>
        <w:tc>
          <w:tcPr>
            <w:tcW w:w="5400" w:type="dxa"/>
          </w:tcPr>
          <w:p w14:paraId="580B0A7C" w14:textId="77777777" w:rsidR="00737305" w:rsidRDefault="002A3899" w:rsidP="006C0729">
            <w:pPr>
              <w:rPr>
                <w:rFonts w:cs="Times New Roman"/>
                <w:sz w:val="20"/>
                <w:szCs w:val="20"/>
              </w:rPr>
            </w:pPr>
            <w:r>
              <w:rPr>
                <w:rFonts w:cs="Times New Roman"/>
                <w:sz w:val="20"/>
                <w:szCs w:val="20"/>
              </w:rPr>
              <w:t xml:space="preserve">National survey to assess barriers </w:t>
            </w:r>
            <w:r w:rsidR="006C0729">
              <w:rPr>
                <w:rFonts w:cs="Times New Roman"/>
                <w:sz w:val="20"/>
                <w:szCs w:val="20"/>
              </w:rPr>
              <w:t xml:space="preserve">to </w:t>
            </w:r>
            <w:r>
              <w:rPr>
                <w:rFonts w:cs="Times New Roman"/>
                <w:sz w:val="20"/>
                <w:szCs w:val="20"/>
              </w:rPr>
              <w:t>women entrepreneurs</w:t>
            </w:r>
          </w:p>
          <w:p w14:paraId="1881A209" w14:textId="707F5B30" w:rsidR="005E50F5" w:rsidRDefault="005E50F5" w:rsidP="006C0729">
            <w:pPr>
              <w:rPr>
                <w:rFonts w:cs="Times New Roman"/>
                <w:sz w:val="20"/>
                <w:szCs w:val="20"/>
              </w:rPr>
            </w:pPr>
            <w:r>
              <w:rPr>
                <w:rFonts w:cs="Times New Roman"/>
                <w:sz w:val="20"/>
                <w:szCs w:val="20"/>
              </w:rPr>
              <w:t>Support to ODIMM to improve women entrepreneurship program</w:t>
            </w:r>
          </w:p>
          <w:p w14:paraId="3AB9ADC2" w14:textId="609A5D82" w:rsidR="00794E72" w:rsidRPr="00794E72" w:rsidRDefault="00794E72" w:rsidP="006C0729">
            <w:pPr>
              <w:rPr>
                <w:rFonts w:cs="Times New Roman"/>
                <w:sz w:val="20"/>
                <w:szCs w:val="20"/>
              </w:rPr>
            </w:pPr>
            <w:r w:rsidRPr="00FD674F">
              <w:rPr>
                <w:sz w:val="20"/>
                <w:szCs w:val="20"/>
              </w:rPr>
              <w:t>% of Matching Grants beneficiaries that are woman-owned or have a female CEO</w:t>
            </w:r>
          </w:p>
        </w:tc>
        <w:tc>
          <w:tcPr>
            <w:tcW w:w="1795" w:type="dxa"/>
          </w:tcPr>
          <w:p w14:paraId="004BBE5A" w14:textId="77777777" w:rsidR="00737305" w:rsidRDefault="002A3899" w:rsidP="00D57BD0">
            <w:pPr>
              <w:rPr>
                <w:rFonts w:cs="Times New Roman"/>
                <w:sz w:val="20"/>
                <w:szCs w:val="20"/>
              </w:rPr>
            </w:pPr>
            <w:r>
              <w:rPr>
                <w:rFonts w:cs="Times New Roman"/>
                <w:sz w:val="20"/>
                <w:szCs w:val="20"/>
              </w:rPr>
              <w:t>AA</w:t>
            </w:r>
          </w:p>
          <w:p w14:paraId="60DA230B" w14:textId="2B7F3856" w:rsidR="005E50F5" w:rsidRDefault="005E50F5" w:rsidP="00D57BD0">
            <w:pPr>
              <w:rPr>
                <w:rFonts w:cs="Times New Roman"/>
                <w:sz w:val="20"/>
                <w:szCs w:val="20"/>
              </w:rPr>
            </w:pPr>
            <w:r>
              <w:rPr>
                <w:rFonts w:cs="Times New Roman"/>
                <w:sz w:val="20"/>
                <w:szCs w:val="20"/>
              </w:rPr>
              <w:t>OPN</w:t>
            </w:r>
          </w:p>
          <w:p w14:paraId="74D2321F" w14:textId="77777777" w:rsidR="002A3899" w:rsidRPr="00631665" w:rsidRDefault="002A3899" w:rsidP="00D57BD0">
            <w:pPr>
              <w:rPr>
                <w:rFonts w:cs="Times New Roman"/>
                <w:sz w:val="20"/>
                <w:szCs w:val="20"/>
              </w:rPr>
            </w:pPr>
            <w:r>
              <w:rPr>
                <w:rFonts w:cs="Times New Roman"/>
                <w:sz w:val="20"/>
                <w:szCs w:val="20"/>
              </w:rPr>
              <w:t>M&amp;E</w:t>
            </w:r>
          </w:p>
        </w:tc>
      </w:tr>
      <w:tr w:rsidR="00737305" w:rsidRPr="008428E7" w14:paraId="19379AAC" w14:textId="77777777" w:rsidTr="00FF6D11">
        <w:tc>
          <w:tcPr>
            <w:tcW w:w="2155" w:type="dxa"/>
          </w:tcPr>
          <w:p w14:paraId="44D949B6" w14:textId="77777777" w:rsidR="00737305" w:rsidRPr="00631665" w:rsidRDefault="007166A4" w:rsidP="00D57BD0">
            <w:pPr>
              <w:rPr>
                <w:rFonts w:cs="Times New Roman"/>
                <w:sz w:val="20"/>
                <w:szCs w:val="20"/>
              </w:rPr>
            </w:pPr>
            <w:r>
              <w:rPr>
                <w:rFonts w:cs="Times New Roman"/>
                <w:sz w:val="20"/>
                <w:szCs w:val="20"/>
              </w:rPr>
              <w:t>District Heating Efficiency Improvement (P132443)</w:t>
            </w:r>
          </w:p>
        </w:tc>
        <w:tc>
          <w:tcPr>
            <w:tcW w:w="5400" w:type="dxa"/>
          </w:tcPr>
          <w:p w14:paraId="5EEDA6AE" w14:textId="77777777" w:rsidR="001E673A" w:rsidRDefault="001E673A" w:rsidP="00D57BD0">
            <w:pPr>
              <w:rPr>
                <w:rFonts w:cs="Times New Roman"/>
                <w:sz w:val="20"/>
                <w:szCs w:val="20"/>
              </w:rPr>
            </w:pPr>
            <w:r>
              <w:rPr>
                <w:rFonts w:cs="Times New Roman"/>
                <w:sz w:val="20"/>
                <w:szCs w:val="20"/>
              </w:rPr>
              <w:t>Social Impact Mitigation plan for potential retrenchment to include gender-specific activities (support retraining)</w:t>
            </w:r>
          </w:p>
          <w:p w14:paraId="5E2039B3" w14:textId="06E1E757" w:rsidR="00737305" w:rsidRDefault="001E673A"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female beneficiaries </w:t>
            </w:r>
            <w:r w:rsidR="006C0729">
              <w:rPr>
                <w:rFonts w:cs="Times New Roman"/>
                <w:sz w:val="20"/>
                <w:szCs w:val="20"/>
              </w:rPr>
              <w:t xml:space="preserve">who </w:t>
            </w:r>
            <w:r>
              <w:rPr>
                <w:rFonts w:cs="Times New Roman"/>
                <w:sz w:val="20"/>
                <w:szCs w:val="20"/>
              </w:rPr>
              <w:t>gained access to more energy efficient cooking and/or heating generating facilities</w:t>
            </w:r>
          </w:p>
          <w:p w14:paraId="155275BA" w14:textId="4F244AFF" w:rsidR="001E673A" w:rsidRPr="00631665" w:rsidRDefault="001E673A"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female staff received re-training (target of 50%)</w:t>
            </w:r>
          </w:p>
        </w:tc>
        <w:tc>
          <w:tcPr>
            <w:tcW w:w="1795" w:type="dxa"/>
          </w:tcPr>
          <w:p w14:paraId="177B110D" w14:textId="77777777" w:rsidR="00737305" w:rsidRDefault="001E673A" w:rsidP="00D57BD0">
            <w:pPr>
              <w:rPr>
                <w:rFonts w:cs="Times New Roman"/>
                <w:sz w:val="20"/>
                <w:szCs w:val="20"/>
              </w:rPr>
            </w:pPr>
            <w:r>
              <w:rPr>
                <w:rFonts w:cs="Times New Roman"/>
                <w:sz w:val="20"/>
                <w:szCs w:val="20"/>
              </w:rPr>
              <w:t>OPN</w:t>
            </w:r>
          </w:p>
          <w:p w14:paraId="6749E734" w14:textId="77777777" w:rsidR="001E673A" w:rsidRPr="00631665" w:rsidRDefault="001E673A" w:rsidP="00D57BD0">
            <w:pPr>
              <w:rPr>
                <w:rFonts w:cs="Times New Roman"/>
                <w:sz w:val="20"/>
                <w:szCs w:val="20"/>
              </w:rPr>
            </w:pPr>
            <w:r>
              <w:rPr>
                <w:rFonts w:cs="Times New Roman"/>
                <w:sz w:val="20"/>
                <w:szCs w:val="20"/>
              </w:rPr>
              <w:t>M&amp;E</w:t>
            </w:r>
          </w:p>
        </w:tc>
      </w:tr>
      <w:tr w:rsidR="002412AF" w:rsidRPr="008428E7" w14:paraId="36E2EC00" w14:textId="77777777" w:rsidTr="00FF6D11">
        <w:tc>
          <w:tcPr>
            <w:tcW w:w="2155" w:type="dxa"/>
          </w:tcPr>
          <w:p w14:paraId="053577BA" w14:textId="77777777" w:rsidR="002412AF" w:rsidRDefault="002412AF" w:rsidP="00D57BD0">
            <w:pPr>
              <w:rPr>
                <w:rFonts w:cs="Times New Roman"/>
                <w:sz w:val="20"/>
                <w:szCs w:val="20"/>
              </w:rPr>
            </w:pPr>
            <w:r>
              <w:rPr>
                <w:rFonts w:cs="Times New Roman"/>
                <w:sz w:val="20"/>
                <w:szCs w:val="20"/>
              </w:rPr>
              <w:t>Tax Administration Modernization (P127734)</w:t>
            </w:r>
          </w:p>
        </w:tc>
        <w:tc>
          <w:tcPr>
            <w:tcW w:w="5400" w:type="dxa"/>
          </w:tcPr>
          <w:p w14:paraId="6F3ED9BB" w14:textId="77777777" w:rsidR="00E1301E" w:rsidRDefault="00E1301E" w:rsidP="00D57BD0">
            <w:pPr>
              <w:rPr>
                <w:rFonts w:cs="Times New Roman"/>
                <w:sz w:val="20"/>
                <w:szCs w:val="20"/>
              </w:rPr>
            </w:pPr>
            <w:r>
              <w:rPr>
                <w:rFonts w:cs="Times New Roman"/>
                <w:sz w:val="20"/>
                <w:szCs w:val="20"/>
              </w:rPr>
              <w:t>Conduct gender-disaggregated satisfaction survey to inform improvements in tax services</w:t>
            </w:r>
          </w:p>
          <w:p w14:paraId="5933DFDB" w14:textId="77777777" w:rsidR="00E1301E" w:rsidRDefault="00E1301E" w:rsidP="00D57BD0">
            <w:pPr>
              <w:rPr>
                <w:rFonts w:cs="Times New Roman"/>
                <w:sz w:val="20"/>
                <w:szCs w:val="20"/>
              </w:rPr>
            </w:pPr>
            <w:r>
              <w:rPr>
                <w:rFonts w:cs="Times New Roman"/>
                <w:sz w:val="20"/>
                <w:szCs w:val="20"/>
              </w:rPr>
              <w:t>100% of appropriate STI staff trained (by gender)</w:t>
            </w:r>
          </w:p>
          <w:p w14:paraId="361FB764" w14:textId="35E11BD8" w:rsidR="00E1301E" w:rsidRPr="00631665" w:rsidRDefault="00E1301E"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female STI staff trained</w:t>
            </w:r>
          </w:p>
        </w:tc>
        <w:tc>
          <w:tcPr>
            <w:tcW w:w="1795" w:type="dxa"/>
          </w:tcPr>
          <w:p w14:paraId="79CB4134" w14:textId="77777777" w:rsidR="002412AF" w:rsidRDefault="00E1301E" w:rsidP="00D57BD0">
            <w:pPr>
              <w:rPr>
                <w:rFonts w:cs="Times New Roman"/>
                <w:sz w:val="20"/>
                <w:szCs w:val="20"/>
              </w:rPr>
            </w:pPr>
            <w:r>
              <w:rPr>
                <w:rFonts w:cs="Times New Roman"/>
                <w:sz w:val="20"/>
                <w:szCs w:val="20"/>
              </w:rPr>
              <w:t xml:space="preserve">OPN </w:t>
            </w:r>
          </w:p>
          <w:p w14:paraId="05916BD8" w14:textId="77777777" w:rsidR="00E1301E" w:rsidRPr="00631665" w:rsidRDefault="00E1301E" w:rsidP="00D57BD0">
            <w:pPr>
              <w:rPr>
                <w:rFonts w:cs="Times New Roman"/>
                <w:sz w:val="20"/>
                <w:szCs w:val="20"/>
              </w:rPr>
            </w:pPr>
            <w:r>
              <w:rPr>
                <w:rFonts w:cs="Times New Roman"/>
                <w:sz w:val="20"/>
                <w:szCs w:val="20"/>
              </w:rPr>
              <w:t>M&amp;E</w:t>
            </w:r>
          </w:p>
        </w:tc>
      </w:tr>
    </w:tbl>
    <w:p w14:paraId="1634B61B" w14:textId="77777777" w:rsidR="00CD1C5C" w:rsidRPr="00B50FD1" w:rsidRDefault="00CD1C5C" w:rsidP="00D57BD0">
      <w:pPr>
        <w:spacing w:after="0" w:line="240" w:lineRule="auto"/>
        <w:rPr>
          <w:rFonts w:cs="Times New Roman"/>
          <w:b/>
        </w:rPr>
      </w:pPr>
    </w:p>
    <w:p w14:paraId="4AA252F2" w14:textId="77777777" w:rsidR="00B50FD1" w:rsidRPr="00B50FD1" w:rsidRDefault="00B50FD1" w:rsidP="00D57BD0">
      <w:pPr>
        <w:spacing w:after="0" w:line="240" w:lineRule="auto"/>
        <w:rPr>
          <w:rFonts w:cs="Times New Roman"/>
          <w:b/>
        </w:rPr>
      </w:pPr>
    </w:p>
    <w:p w14:paraId="5054DBEA" w14:textId="006FC61D" w:rsidR="00D57BD0" w:rsidRPr="00B50FD1" w:rsidRDefault="009366B8" w:rsidP="009366B8">
      <w:pPr>
        <w:pStyle w:val="Heading2"/>
      </w:pPr>
      <w:bookmarkStart w:id="6" w:name="_Toc476839792"/>
      <w:r>
        <w:t xml:space="preserve">VI. </w:t>
      </w:r>
      <w:r w:rsidR="00B50FD1" w:rsidRPr="00B50FD1">
        <w:t xml:space="preserve">Proposed Actions for </w:t>
      </w:r>
      <w:r w:rsidR="001C117C">
        <w:t xml:space="preserve">the </w:t>
      </w:r>
      <w:r w:rsidR="00B50FD1" w:rsidRPr="00B50FD1">
        <w:t xml:space="preserve">Moldova </w:t>
      </w:r>
      <w:r w:rsidR="007126D5" w:rsidRPr="00B50FD1">
        <w:t>CGAP</w:t>
      </w:r>
      <w:bookmarkEnd w:id="6"/>
      <w:r w:rsidR="007126D5" w:rsidRPr="00B50FD1">
        <w:t xml:space="preserve"> </w:t>
      </w:r>
    </w:p>
    <w:p w14:paraId="62857D38" w14:textId="77777777" w:rsidR="00D57BD0" w:rsidRDefault="00D57BD0" w:rsidP="00D57BD0">
      <w:pPr>
        <w:spacing w:after="0" w:line="240" w:lineRule="auto"/>
        <w:rPr>
          <w:rFonts w:cs="Times New Roman"/>
          <w:b/>
        </w:rPr>
      </w:pPr>
    </w:p>
    <w:p w14:paraId="3621A5AF" w14:textId="16CCC888" w:rsidR="00743E10" w:rsidRPr="003A7315" w:rsidRDefault="00D30BF1" w:rsidP="003A7315">
      <w:pPr>
        <w:spacing w:after="0" w:line="240" w:lineRule="auto"/>
        <w:jc w:val="both"/>
        <w:rPr>
          <w:rFonts w:cs="Times New Roman"/>
        </w:rPr>
      </w:pPr>
      <w:r>
        <w:rPr>
          <w:rFonts w:cs="Times New Roman"/>
        </w:rPr>
        <w:t xml:space="preserve">This CGAP is based on </w:t>
      </w:r>
      <w:r w:rsidR="004C5F79">
        <w:rPr>
          <w:rFonts w:cs="Times New Roman"/>
        </w:rPr>
        <w:t xml:space="preserve">a desk review of key gender issues in Moldova and of the current and upcoming </w:t>
      </w:r>
      <w:r w:rsidR="001C117C">
        <w:rPr>
          <w:rFonts w:cs="Times New Roman"/>
        </w:rPr>
        <w:t xml:space="preserve">WBG </w:t>
      </w:r>
      <w:r w:rsidR="004C5F79">
        <w:rPr>
          <w:rFonts w:cs="Times New Roman"/>
        </w:rPr>
        <w:t>country program in Moldova.</w:t>
      </w:r>
      <w:r>
        <w:rPr>
          <w:rFonts w:cs="Times New Roman"/>
        </w:rPr>
        <w:t xml:space="preserve"> </w:t>
      </w:r>
      <w:r w:rsidR="00743E10">
        <w:rPr>
          <w:rFonts w:cs="Times New Roman"/>
        </w:rPr>
        <w:t>Th</w:t>
      </w:r>
      <w:r w:rsidR="007B165C">
        <w:rPr>
          <w:rFonts w:cs="Times New Roman"/>
        </w:rPr>
        <w:t xml:space="preserve">is </w:t>
      </w:r>
      <w:r w:rsidR="00743E10">
        <w:rPr>
          <w:rFonts w:cs="Times New Roman"/>
        </w:rPr>
        <w:t xml:space="preserve">CGAP </w:t>
      </w:r>
      <w:r w:rsidR="007B165C">
        <w:rPr>
          <w:rFonts w:cs="Times New Roman"/>
        </w:rPr>
        <w:t>will</w:t>
      </w:r>
      <w:r w:rsidR="00743E10">
        <w:rPr>
          <w:rFonts w:cs="Times New Roman"/>
        </w:rPr>
        <w:t xml:space="preserve"> feed into Moldova’s Country Partnership Framework 2018-2022. Specifically, it seeks to: (i) identify entry points in</w:t>
      </w:r>
      <w:r w:rsidR="003A7315">
        <w:rPr>
          <w:rFonts w:cs="Times New Roman"/>
        </w:rPr>
        <w:t xml:space="preserve"> WBG’s</w:t>
      </w:r>
      <w:r w:rsidR="00743E10">
        <w:rPr>
          <w:rFonts w:cs="Times New Roman"/>
        </w:rPr>
        <w:t xml:space="preserve"> policy, oper</w:t>
      </w:r>
      <w:r w:rsidR="003A7315">
        <w:rPr>
          <w:rFonts w:cs="Times New Roman"/>
        </w:rPr>
        <w:t>ational</w:t>
      </w:r>
      <w:r w:rsidR="00743E10">
        <w:rPr>
          <w:rFonts w:cs="Times New Roman"/>
        </w:rPr>
        <w:t xml:space="preserve">, and/or analytic work that </w:t>
      </w:r>
      <w:r w:rsidR="003A7315">
        <w:rPr>
          <w:rFonts w:cs="Times New Roman"/>
        </w:rPr>
        <w:t xml:space="preserve">are aligned with WBG’s twin goals and </w:t>
      </w:r>
      <w:r w:rsidR="00743E10">
        <w:rPr>
          <w:rFonts w:cs="Times New Roman"/>
        </w:rPr>
        <w:t xml:space="preserve">can advance </w:t>
      </w:r>
      <w:r w:rsidR="003A7315">
        <w:rPr>
          <w:rFonts w:cs="Times New Roman"/>
        </w:rPr>
        <w:t>key gender equality outcomes in the country</w:t>
      </w:r>
      <w:r w:rsidR="007E27F6">
        <w:rPr>
          <w:rFonts w:cs="Times New Roman"/>
        </w:rPr>
        <w:t xml:space="preserve">; </w:t>
      </w:r>
      <w:r w:rsidR="001C117C">
        <w:rPr>
          <w:rFonts w:cs="Times New Roman"/>
        </w:rPr>
        <w:t xml:space="preserve">and </w:t>
      </w:r>
      <w:r w:rsidR="007E27F6">
        <w:rPr>
          <w:rFonts w:cs="Times New Roman"/>
        </w:rPr>
        <w:t>(ii) propose mechanisms</w:t>
      </w:r>
      <w:r w:rsidR="003A7315">
        <w:rPr>
          <w:rFonts w:cs="Times New Roman"/>
        </w:rPr>
        <w:t xml:space="preserve"> and indicators to ensure</w:t>
      </w:r>
      <w:r w:rsidR="00743E10">
        <w:rPr>
          <w:rFonts w:cs="Times New Roman"/>
        </w:rPr>
        <w:t xml:space="preserve"> </w:t>
      </w:r>
      <w:r w:rsidR="003A7315">
        <w:rPr>
          <w:rFonts w:cs="Times New Roman"/>
        </w:rPr>
        <w:t xml:space="preserve">that </w:t>
      </w:r>
      <w:r w:rsidR="005D4DED">
        <w:rPr>
          <w:rFonts w:cs="Times New Roman"/>
        </w:rPr>
        <w:t>g</w:t>
      </w:r>
      <w:r w:rsidR="003A7315">
        <w:rPr>
          <w:rFonts w:cs="Times New Roman"/>
        </w:rPr>
        <w:t>ender analysis, actions, and</w:t>
      </w:r>
      <w:r w:rsidR="005D4DED">
        <w:rPr>
          <w:rFonts w:cs="Times New Roman"/>
          <w:lang w:val="bg-BG"/>
        </w:rPr>
        <w:t xml:space="preserve"> </w:t>
      </w:r>
      <w:r w:rsidR="003A7315">
        <w:rPr>
          <w:rFonts w:cs="Times New Roman"/>
        </w:rPr>
        <w:t xml:space="preserve">monitoring are consistently incorporated, and progress on agreed gender targets is systematically recorded. </w:t>
      </w:r>
    </w:p>
    <w:p w14:paraId="43DE0A55" w14:textId="77777777" w:rsidR="00743E10" w:rsidRDefault="00743E10" w:rsidP="003A7315">
      <w:pPr>
        <w:spacing w:after="0" w:line="240" w:lineRule="auto"/>
        <w:jc w:val="both"/>
        <w:rPr>
          <w:rFonts w:cs="Times New Roman"/>
          <w:b/>
        </w:rPr>
      </w:pPr>
    </w:p>
    <w:p w14:paraId="383F3DF7" w14:textId="77777777" w:rsidR="002159CB" w:rsidRDefault="00EE48CF" w:rsidP="002159CB">
      <w:pPr>
        <w:spacing w:after="0" w:line="240" w:lineRule="auto"/>
        <w:jc w:val="both"/>
        <w:rPr>
          <w:rFonts w:cs="Times New Roman"/>
        </w:rPr>
      </w:pPr>
      <w:r>
        <w:rPr>
          <w:rFonts w:cs="Times New Roman"/>
        </w:rPr>
        <w:t>To achieve this objective, the CGAP is proposing a two track approach</w:t>
      </w:r>
      <w:r w:rsidR="002159CB">
        <w:rPr>
          <w:rFonts w:cs="Times New Roman"/>
        </w:rPr>
        <w:t>:</w:t>
      </w:r>
    </w:p>
    <w:p w14:paraId="6D38F376" w14:textId="77777777" w:rsidR="002159CB" w:rsidRDefault="002159CB" w:rsidP="000138D8">
      <w:pPr>
        <w:pStyle w:val="ListParagraph"/>
        <w:numPr>
          <w:ilvl w:val="0"/>
          <w:numId w:val="4"/>
        </w:numPr>
        <w:spacing w:after="0" w:line="240" w:lineRule="auto"/>
        <w:jc w:val="both"/>
        <w:rPr>
          <w:rFonts w:cs="Times New Roman"/>
        </w:rPr>
      </w:pPr>
      <w:r>
        <w:rPr>
          <w:rFonts w:cs="Times New Roman"/>
        </w:rPr>
        <w:t>M</w:t>
      </w:r>
      <w:r w:rsidR="00EE48CF" w:rsidRPr="002159CB">
        <w:rPr>
          <w:rFonts w:cs="Times New Roman"/>
        </w:rPr>
        <w:t xml:space="preserve">ainstreaming </w:t>
      </w:r>
      <w:r w:rsidRPr="002159CB">
        <w:rPr>
          <w:rFonts w:cs="Times New Roman"/>
        </w:rPr>
        <w:t>(</w:t>
      </w:r>
      <w:r w:rsidR="00EE48CF" w:rsidRPr="002159CB">
        <w:rPr>
          <w:rFonts w:cs="Times New Roman"/>
        </w:rPr>
        <w:t>or cross-cutting activities</w:t>
      </w:r>
      <w:r>
        <w:rPr>
          <w:rFonts w:cs="Times New Roman"/>
        </w:rPr>
        <w:t>):</w:t>
      </w:r>
      <w:r w:rsidR="00EE48CF" w:rsidRPr="002159CB">
        <w:rPr>
          <w:rFonts w:cs="Times New Roman"/>
        </w:rPr>
        <w:t xml:space="preserve"> ensure continuous attention to gender in the portfolio, </w:t>
      </w:r>
      <w:r>
        <w:rPr>
          <w:rFonts w:cs="Times New Roman"/>
        </w:rPr>
        <w:t>identify opportunities for deepening gender analysis, actions, and/or targets in projects;</w:t>
      </w:r>
    </w:p>
    <w:p w14:paraId="3CE0E1B1" w14:textId="5B938667" w:rsidR="00EE48CF" w:rsidRDefault="002159CB" w:rsidP="000138D8">
      <w:pPr>
        <w:pStyle w:val="ListParagraph"/>
        <w:numPr>
          <w:ilvl w:val="0"/>
          <w:numId w:val="4"/>
        </w:numPr>
        <w:spacing w:after="0" w:line="240" w:lineRule="auto"/>
        <w:jc w:val="both"/>
        <w:rPr>
          <w:rFonts w:cs="Times New Roman"/>
        </w:rPr>
      </w:pPr>
      <w:r>
        <w:rPr>
          <w:rFonts w:cs="Times New Roman"/>
        </w:rPr>
        <w:t xml:space="preserve">Country gender equality outcomes: </w:t>
      </w:r>
      <w:r w:rsidR="007B165C">
        <w:rPr>
          <w:rFonts w:cs="Times New Roman"/>
        </w:rPr>
        <w:t xml:space="preserve">selectively </w:t>
      </w:r>
      <w:r>
        <w:rPr>
          <w:rFonts w:cs="Times New Roman"/>
        </w:rPr>
        <w:t>pursue specific</w:t>
      </w:r>
      <w:r w:rsidR="00EE48CF" w:rsidRPr="002159CB">
        <w:rPr>
          <w:rFonts w:cs="Times New Roman"/>
        </w:rPr>
        <w:t xml:space="preserve"> </w:t>
      </w:r>
      <w:r>
        <w:rPr>
          <w:rFonts w:cs="Times New Roman"/>
        </w:rPr>
        <w:t>targets in the CPF period that are aligned with both the Bank portfolio as well as ke</w:t>
      </w:r>
      <w:r w:rsidR="00EE48CF" w:rsidRPr="002159CB">
        <w:rPr>
          <w:rFonts w:cs="Times New Roman"/>
        </w:rPr>
        <w:t xml:space="preserve">y gender issues </w:t>
      </w:r>
      <w:r>
        <w:rPr>
          <w:rFonts w:cs="Times New Roman"/>
        </w:rPr>
        <w:t>in the country.</w:t>
      </w:r>
    </w:p>
    <w:p w14:paraId="1A3F0577" w14:textId="77777777" w:rsidR="002159CB" w:rsidRPr="002159CB" w:rsidRDefault="002159CB" w:rsidP="002159CB">
      <w:pPr>
        <w:pStyle w:val="ListParagraph"/>
        <w:spacing w:after="0" w:line="240" w:lineRule="auto"/>
        <w:jc w:val="both"/>
        <w:rPr>
          <w:rFonts w:cs="Times New Roman"/>
        </w:rPr>
      </w:pPr>
    </w:p>
    <w:p w14:paraId="7EC1689D" w14:textId="72997DEF" w:rsidR="00EE48CF" w:rsidRPr="002159CB" w:rsidRDefault="00EE48CF" w:rsidP="003A7315">
      <w:pPr>
        <w:spacing w:after="0" w:line="240" w:lineRule="auto"/>
        <w:jc w:val="both"/>
        <w:rPr>
          <w:rFonts w:cs="Times New Roman"/>
          <w:i/>
          <w:color w:val="FF0000"/>
        </w:rPr>
      </w:pPr>
      <w:r>
        <w:rPr>
          <w:rFonts w:cs="Times New Roman"/>
        </w:rPr>
        <w:t xml:space="preserve">The proposed actions and metrics in these two areas are described </w:t>
      </w:r>
      <w:r w:rsidR="002159CB">
        <w:rPr>
          <w:rFonts w:cs="Times New Roman"/>
        </w:rPr>
        <w:t xml:space="preserve">in more detail below. </w:t>
      </w:r>
    </w:p>
    <w:p w14:paraId="5CD74CB0" w14:textId="77777777" w:rsidR="00EE48CF" w:rsidRPr="00EE48CF" w:rsidRDefault="00EE48CF" w:rsidP="003A7315">
      <w:pPr>
        <w:spacing w:after="0" w:line="240" w:lineRule="auto"/>
        <w:jc w:val="both"/>
        <w:rPr>
          <w:rFonts w:cs="Times New Roman"/>
        </w:rPr>
      </w:pPr>
    </w:p>
    <w:p w14:paraId="4AA5ED4E" w14:textId="4935BC22" w:rsidR="00D57BD0" w:rsidRDefault="009366B8" w:rsidP="009366B8">
      <w:pPr>
        <w:pStyle w:val="Heading3"/>
      </w:pPr>
      <w:bookmarkStart w:id="7" w:name="_Toc476839793"/>
      <w:r>
        <w:t xml:space="preserve">6.1. </w:t>
      </w:r>
      <w:r w:rsidR="007413A8">
        <w:t>Gender</w:t>
      </w:r>
      <w:r w:rsidR="007413A8" w:rsidRPr="00743E10">
        <w:t xml:space="preserve"> </w:t>
      </w:r>
      <w:r w:rsidR="007413A8">
        <w:t>m</w:t>
      </w:r>
      <w:r w:rsidR="00B50FD1" w:rsidRPr="00743E10">
        <w:t>ainstreaming (cross-cutting acti</w:t>
      </w:r>
      <w:r w:rsidR="00EE48CF">
        <w:t>vities</w:t>
      </w:r>
      <w:r w:rsidR="00B50FD1" w:rsidRPr="00743E10">
        <w:t>)</w:t>
      </w:r>
      <w:bookmarkEnd w:id="7"/>
      <w:r w:rsidR="007413A8">
        <w:t xml:space="preserve"> </w:t>
      </w:r>
    </w:p>
    <w:p w14:paraId="5A8D9C5B" w14:textId="09AF03D2" w:rsidR="001F3382" w:rsidRDefault="00C53A18" w:rsidP="001F3382">
      <w:pPr>
        <w:jc w:val="both"/>
        <w:rPr>
          <w:rFonts w:cs="Times New Roman"/>
        </w:rPr>
      </w:pPr>
      <w:r>
        <w:rPr>
          <w:rFonts w:cs="Times New Roman"/>
        </w:rPr>
        <w:t xml:space="preserve">Activities to support gender </w:t>
      </w:r>
      <w:r w:rsidR="000C5970">
        <w:rPr>
          <w:rFonts w:cs="Times New Roman"/>
        </w:rPr>
        <w:t>m</w:t>
      </w:r>
      <w:r w:rsidR="000B234D">
        <w:rPr>
          <w:rFonts w:cs="Times New Roman"/>
        </w:rPr>
        <w:t xml:space="preserve">ainstreaming would include </w:t>
      </w:r>
      <w:r w:rsidR="001F3382">
        <w:rPr>
          <w:rFonts w:cs="Times New Roman"/>
        </w:rPr>
        <w:t xml:space="preserve">providing </w:t>
      </w:r>
      <w:r w:rsidR="000B234D">
        <w:rPr>
          <w:rFonts w:cs="Times New Roman"/>
        </w:rPr>
        <w:t>technical support to task teams</w:t>
      </w:r>
      <w:r w:rsidR="001F3382">
        <w:rPr>
          <w:rFonts w:cs="Times New Roman"/>
        </w:rPr>
        <w:t>, bring</w:t>
      </w:r>
      <w:r w:rsidR="00EF3440">
        <w:rPr>
          <w:rFonts w:cs="Times New Roman"/>
        </w:rPr>
        <w:t>ing</w:t>
      </w:r>
      <w:r w:rsidR="001F3382">
        <w:rPr>
          <w:rFonts w:cs="Times New Roman"/>
        </w:rPr>
        <w:t xml:space="preserve"> up-to-date knowledge on gender to the country team, conducting periodic</w:t>
      </w:r>
      <w:r w:rsidR="000B234D">
        <w:rPr>
          <w:rFonts w:cs="Times New Roman"/>
        </w:rPr>
        <w:t xml:space="preserve"> supervision </w:t>
      </w:r>
      <w:r w:rsidR="001F3382">
        <w:rPr>
          <w:rFonts w:cs="Times New Roman"/>
        </w:rPr>
        <w:t xml:space="preserve">of gender in the portfolio, </w:t>
      </w:r>
      <w:r w:rsidR="00EF3440">
        <w:rPr>
          <w:rFonts w:cs="Times New Roman"/>
        </w:rPr>
        <w:t>and</w:t>
      </w:r>
      <w:r w:rsidR="001F3382">
        <w:rPr>
          <w:rFonts w:cs="Times New Roman"/>
        </w:rPr>
        <w:t xml:space="preserve"> communicati</w:t>
      </w:r>
      <w:r w:rsidR="00EF3440">
        <w:rPr>
          <w:rFonts w:cs="Times New Roman"/>
        </w:rPr>
        <w:t>ng</w:t>
      </w:r>
      <w:r w:rsidR="001F3382">
        <w:rPr>
          <w:rFonts w:cs="Times New Roman"/>
        </w:rPr>
        <w:t xml:space="preserve"> with external partners, such as Government counterparts and development partners</w:t>
      </w:r>
      <w:r w:rsidR="00EF3440">
        <w:rPr>
          <w:rFonts w:cs="Times New Roman"/>
        </w:rPr>
        <w:t>,</w:t>
      </w:r>
      <w:r w:rsidR="001F3382">
        <w:rPr>
          <w:rFonts w:cs="Times New Roman"/>
        </w:rPr>
        <w:t xml:space="preserve"> active on the gender equality agenda. </w:t>
      </w:r>
    </w:p>
    <w:p w14:paraId="05B432CB" w14:textId="1A3255CD" w:rsidR="001F3382" w:rsidRDefault="001F3382" w:rsidP="001F3382">
      <w:pPr>
        <w:jc w:val="both"/>
        <w:rPr>
          <w:rFonts w:cs="Times New Roman"/>
        </w:rPr>
      </w:pPr>
      <w:r>
        <w:rPr>
          <w:rFonts w:cs="Times New Roman"/>
        </w:rPr>
        <w:lastRenderedPageBreak/>
        <w:t>Mainstreaming activities will be advanced through a Country Gender Focal Point as well as dedicated communication efforts to disseminate successful practices in gender mainstreaming</w:t>
      </w:r>
      <w:r w:rsidR="00EF3440">
        <w:rPr>
          <w:rFonts w:cs="Times New Roman"/>
        </w:rPr>
        <w:t>.</w:t>
      </w:r>
      <w:r>
        <w:rPr>
          <w:rStyle w:val="FootnoteReference"/>
          <w:rFonts w:cs="Times New Roman"/>
        </w:rPr>
        <w:footnoteReference w:id="18"/>
      </w:r>
      <w:r w:rsidR="008852EC">
        <w:rPr>
          <w:rFonts w:cs="Times New Roman"/>
        </w:rPr>
        <w:t xml:space="preserve"> These activities will build on tasks performed by the country Gender Focal Point under the existing CPF and will aim to strengthen the technical assistance to teams, monitoring and recording of progress and achievements in project documents.  </w:t>
      </w:r>
      <w:r>
        <w:rPr>
          <w:rFonts w:cs="Times New Roman"/>
        </w:rPr>
        <w:t xml:space="preserve"> </w:t>
      </w:r>
    </w:p>
    <w:p w14:paraId="6D0D4027" w14:textId="7AA1F22D" w:rsidR="00E945D8" w:rsidRDefault="001F3382" w:rsidP="00E945D8">
      <w:pPr>
        <w:rPr>
          <w:rFonts w:cs="Times New Roman"/>
        </w:rPr>
      </w:pPr>
      <w:r>
        <w:rPr>
          <w:rFonts w:cs="Times New Roman"/>
        </w:rPr>
        <w:t>The CMU will d</w:t>
      </w:r>
      <w:r w:rsidR="00E945D8" w:rsidRPr="00E945D8">
        <w:rPr>
          <w:rFonts w:cs="Times New Roman"/>
        </w:rPr>
        <w:t xml:space="preserve">esignate </w:t>
      </w:r>
      <w:r w:rsidR="00EF3440">
        <w:rPr>
          <w:rFonts w:cs="Times New Roman"/>
        </w:rPr>
        <w:t xml:space="preserve">a </w:t>
      </w:r>
      <w:r w:rsidR="00E945D8" w:rsidRPr="00E945D8">
        <w:rPr>
          <w:rFonts w:cs="Times New Roman"/>
        </w:rPr>
        <w:t>country gender focal point</w:t>
      </w:r>
      <w:r w:rsidR="00E945D8">
        <w:rPr>
          <w:rFonts w:cs="Times New Roman"/>
        </w:rPr>
        <w:t xml:space="preserve"> to:</w:t>
      </w:r>
    </w:p>
    <w:p w14:paraId="24BA8520" w14:textId="77777777" w:rsidR="003B4235" w:rsidRDefault="003B4235" w:rsidP="003B4235">
      <w:pPr>
        <w:pStyle w:val="ListParagraph"/>
        <w:numPr>
          <w:ilvl w:val="0"/>
          <w:numId w:val="21"/>
        </w:numPr>
        <w:spacing w:line="252" w:lineRule="auto"/>
      </w:pPr>
      <w:r>
        <w:t>Monitor the execution of the Country Gender Action Plan, and recommend action to Task Teams and management to avoid slippages;</w:t>
      </w:r>
    </w:p>
    <w:p w14:paraId="2291DB0B" w14:textId="77777777" w:rsidR="003B4235" w:rsidRDefault="003B4235" w:rsidP="003B4235">
      <w:pPr>
        <w:pStyle w:val="ListParagraph"/>
        <w:numPr>
          <w:ilvl w:val="0"/>
          <w:numId w:val="21"/>
        </w:numPr>
        <w:spacing w:line="252" w:lineRule="auto"/>
      </w:pPr>
      <w:r>
        <w:t>Work with GPSURR on the updating of the CGAP at the time of the Performance and Learning Review;</w:t>
      </w:r>
    </w:p>
    <w:p w14:paraId="508CF43C" w14:textId="77777777" w:rsidR="003B4235" w:rsidRDefault="003B4235" w:rsidP="003B4235">
      <w:pPr>
        <w:pStyle w:val="ListParagraph"/>
        <w:numPr>
          <w:ilvl w:val="0"/>
          <w:numId w:val="21"/>
        </w:numPr>
        <w:spacing w:line="252" w:lineRule="auto"/>
      </w:pPr>
      <w:r>
        <w:t xml:space="preserve">Bring and share information internally and externally, particularly information from the Gender CCSA, and information on funding sources; </w:t>
      </w:r>
    </w:p>
    <w:p w14:paraId="4A828753" w14:textId="77777777" w:rsidR="003B4235" w:rsidRDefault="003B4235" w:rsidP="003B4235">
      <w:pPr>
        <w:pStyle w:val="ListParagraph"/>
        <w:numPr>
          <w:ilvl w:val="0"/>
          <w:numId w:val="22"/>
        </w:numPr>
        <w:spacing w:line="252" w:lineRule="auto"/>
      </w:pPr>
      <w:r>
        <w:t xml:space="preserve">Liaise with project task teams, respective GP gender focal points, and ECADE (OPCS Gender review) at project preparation to ensure that task teams are considering all options to incorporate gender analysis, actions, and monitoring in new operations; Refer teams to relevant GP focal points on gender for technical advice on integrating gender in their sector. </w:t>
      </w:r>
    </w:p>
    <w:p w14:paraId="0C8E59B7" w14:textId="77777777" w:rsidR="003B4235" w:rsidRDefault="003B4235" w:rsidP="003B4235">
      <w:pPr>
        <w:pStyle w:val="ListParagraph"/>
        <w:numPr>
          <w:ilvl w:val="0"/>
          <w:numId w:val="22"/>
        </w:numPr>
        <w:spacing w:line="252" w:lineRule="auto"/>
      </w:pPr>
      <w:r>
        <w:t>Represent the World Bank in gender donor coordination meetings and provide relevant inputs to country strategic documents, as relevant;</w:t>
      </w:r>
    </w:p>
    <w:p w14:paraId="4C147DCC" w14:textId="77777777" w:rsidR="003B4235" w:rsidRDefault="003B4235" w:rsidP="003B4235">
      <w:pPr>
        <w:pStyle w:val="ListParagraph"/>
        <w:numPr>
          <w:ilvl w:val="0"/>
          <w:numId w:val="22"/>
        </w:numPr>
        <w:spacing w:line="252" w:lineRule="auto"/>
      </w:pPr>
      <w:r>
        <w:t>Ensure that GPSURR and/or the Gender CCSA provide upstream inputs on gender to WBG strategic country documents, e.g., CPIA, PLR, CLR, etc.</w:t>
      </w:r>
    </w:p>
    <w:p w14:paraId="492ADD6A" w14:textId="77777777" w:rsidR="003B4235" w:rsidRDefault="003B4235" w:rsidP="003B4235">
      <w:pPr>
        <w:pStyle w:val="ListParagraph"/>
        <w:numPr>
          <w:ilvl w:val="0"/>
          <w:numId w:val="22"/>
        </w:numPr>
        <w:spacing w:line="252" w:lineRule="auto"/>
      </w:pPr>
      <w:r>
        <w:t xml:space="preserve">Collaborate with selected task teams and the communications team in the dissemination of stories about successful gender work emerging in the country program. </w:t>
      </w:r>
    </w:p>
    <w:p w14:paraId="0868D59E" w14:textId="21BC1404" w:rsidR="00C270E1" w:rsidRPr="00C270E1" w:rsidRDefault="00311BCC" w:rsidP="00200C3D">
      <w:pPr>
        <w:jc w:val="both"/>
        <w:rPr>
          <w:rFonts w:cs="Times New Roman"/>
        </w:rPr>
      </w:pPr>
      <w:r>
        <w:rPr>
          <w:rFonts w:cs="Times New Roman"/>
        </w:rPr>
        <w:t>T</w:t>
      </w:r>
      <w:r w:rsidR="00C270E1">
        <w:rPr>
          <w:rFonts w:cs="Times New Roman"/>
        </w:rPr>
        <w:t xml:space="preserve">able </w:t>
      </w:r>
      <w:r>
        <w:rPr>
          <w:rFonts w:cs="Times New Roman"/>
        </w:rPr>
        <w:t xml:space="preserve">4 </w:t>
      </w:r>
      <w:r w:rsidR="00C270E1">
        <w:rPr>
          <w:rFonts w:cs="Times New Roman"/>
        </w:rPr>
        <w:t xml:space="preserve">below </w:t>
      </w:r>
      <w:r>
        <w:rPr>
          <w:rFonts w:cs="Times New Roman"/>
        </w:rPr>
        <w:t xml:space="preserve">outlines specific commitments to be considered in Moldova’s CPF with regard to mainstreaming gender in the country program for FY18-21. It I worth noting that already 80% of the portfolio of projects are fully gender informed, and 100% of projects include gender analysis and gender-sensitive monitoring. </w:t>
      </w:r>
      <w:r w:rsidR="00052B02">
        <w:rPr>
          <w:rFonts w:cs="Times New Roman"/>
        </w:rPr>
        <w:t xml:space="preserve">The results listed below would aim to improve </w:t>
      </w:r>
      <w:r w:rsidR="00AB7353">
        <w:rPr>
          <w:rFonts w:cs="Times New Roman"/>
        </w:rPr>
        <w:t xml:space="preserve">the rate of reporting and recording of gender monitoring in project documents, and encourage teams to pursue specific gender targets, where relevant. </w:t>
      </w:r>
      <w:r w:rsidR="00052B02">
        <w:rPr>
          <w:rFonts w:cs="Times New Roman"/>
        </w:rPr>
        <w:t xml:space="preserve">  </w:t>
      </w:r>
    </w:p>
    <w:p w14:paraId="0C2B0BE5" w14:textId="2AD34A83" w:rsidR="006C5697" w:rsidRPr="006C5697" w:rsidRDefault="00383B3F" w:rsidP="006C5697">
      <w:pPr>
        <w:rPr>
          <w:rFonts w:cs="Times New Roman"/>
          <w:b/>
          <w:i/>
          <w:sz w:val="20"/>
          <w:szCs w:val="20"/>
        </w:rPr>
      </w:pPr>
      <w:r>
        <w:rPr>
          <w:rFonts w:cs="Times New Roman"/>
          <w:b/>
          <w:i/>
          <w:sz w:val="20"/>
          <w:szCs w:val="20"/>
        </w:rPr>
        <w:t xml:space="preserve">Table </w:t>
      </w:r>
      <w:r w:rsidR="00571B33">
        <w:rPr>
          <w:rFonts w:cs="Times New Roman"/>
          <w:b/>
          <w:i/>
          <w:sz w:val="20"/>
          <w:szCs w:val="20"/>
        </w:rPr>
        <w:t>4</w:t>
      </w:r>
      <w:r w:rsidR="006C5697" w:rsidRPr="006C5697">
        <w:rPr>
          <w:rFonts w:cs="Times New Roman"/>
          <w:b/>
          <w:i/>
          <w:sz w:val="20"/>
          <w:szCs w:val="20"/>
        </w:rPr>
        <w:t>: Moldova CGAP Gender Mainstreaming Targets</w:t>
      </w:r>
    </w:p>
    <w:tbl>
      <w:tblPr>
        <w:tblStyle w:val="TableGrid"/>
        <w:tblW w:w="0" w:type="auto"/>
        <w:tblLook w:val="04A0" w:firstRow="1" w:lastRow="0" w:firstColumn="1" w:lastColumn="0" w:noHBand="0" w:noVBand="1"/>
      </w:tblPr>
      <w:tblGrid>
        <w:gridCol w:w="2785"/>
        <w:gridCol w:w="3150"/>
        <w:gridCol w:w="1077"/>
        <w:gridCol w:w="2338"/>
      </w:tblGrid>
      <w:tr w:rsidR="001F3382" w:rsidRPr="006C5697" w14:paraId="764315D9" w14:textId="77777777" w:rsidTr="006C5697">
        <w:trPr>
          <w:trHeight w:val="215"/>
        </w:trPr>
        <w:tc>
          <w:tcPr>
            <w:tcW w:w="2785" w:type="dxa"/>
          </w:tcPr>
          <w:p w14:paraId="6A73F4FB" w14:textId="77777777" w:rsidR="001F3382" w:rsidRPr="006C5697" w:rsidRDefault="001F3382" w:rsidP="00D57BD0">
            <w:pPr>
              <w:rPr>
                <w:rFonts w:cs="Times New Roman"/>
                <w:b/>
                <w:sz w:val="20"/>
                <w:szCs w:val="20"/>
              </w:rPr>
            </w:pPr>
            <w:r w:rsidRPr="006C5697">
              <w:rPr>
                <w:rFonts w:cs="Times New Roman"/>
                <w:b/>
                <w:sz w:val="20"/>
                <w:szCs w:val="20"/>
              </w:rPr>
              <w:t>Result</w:t>
            </w:r>
          </w:p>
        </w:tc>
        <w:tc>
          <w:tcPr>
            <w:tcW w:w="3150" w:type="dxa"/>
          </w:tcPr>
          <w:p w14:paraId="7D8A2223" w14:textId="77777777" w:rsidR="001F3382" w:rsidRPr="006C5697" w:rsidRDefault="001F3382" w:rsidP="00D57BD0">
            <w:pPr>
              <w:rPr>
                <w:rFonts w:cs="Times New Roman"/>
                <w:b/>
                <w:sz w:val="20"/>
                <w:szCs w:val="20"/>
              </w:rPr>
            </w:pPr>
            <w:r w:rsidRPr="006C5697">
              <w:rPr>
                <w:rFonts w:cs="Times New Roman"/>
                <w:b/>
                <w:sz w:val="20"/>
                <w:szCs w:val="20"/>
              </w:rPr>
              <w:t>Indicator</w:t>
            </w:r>
          </w:p>
        </w:tc>
        <w:tc>
          <w:tcPr>
            <w:tcW w:w="1077" w:type="dxa"/>
          </w:tcPr>
          <w:p w14:paraId="374C9A91" w14:textId="77777777" w:rsidR="001F3382" w:rsidRPr="006C5697" w:rsidRDefault="001F3382" w:rsidP="00D57BD0">
            <w:pPr>
              <w:rPr>
                <w:rFonts w:cs="Times New Roman"/>
                <w:b/>
                <w:sz w:val="20"/>
                <w:szCs w:val="20"/>
              </w:rPr>
            </w:pPr>
            <w:r w:rsidRPr="006C5697">
              <w:rPr>
                <w:rFonts w:cs="Times New Roman"/>
                <w:b/>
                <w:sz w:val="20"/>
                <w:szCs w:val="20"/>
              </w:rPr>
              <w:t>Target</w:t>
            </w:r>
          </w:p>
        </w:tc>
        <w:tc>
          <w:tcPr>
            <w:tcW w:w="2338" w:type="dxa"/>
          </w:tcPr>
          <w:p w14:paraId="10D27E47" w14:textId="77777777" w:rsidR="001F3382" w:rsidRPr="006C5697" w:rsidRDefault="001F3382" w:rsidP="00D57BD0">
            <w:pPr>
              <w:rPr>
                <w:rFonts w:cs="Times New Roman"/>
                <w:b/>
                <w:sz w:val="20"/>
                <w:szCs w:val="20"/>
              </w:rPr>
            </w:pPr>
            <w:r w:rsidRPr="006C5697">
              <w:rPr>
                <w:rFonts w:cs="Times New Roman"/>
                <w:b/>
                <w:sz w:val="20"/>
                <w:szCs w:val="20"/>
              </w:rPr>
              <w:t>Responsible party</w:t>
            </w:r>
          </w:p>
        </w:tc>
      </w:tr>
      <w:tr w:rsidR="001F3382" w:rsidRPr="006C5697" w14:paraId="366C4554" w14:textId="77777777" w:rsidTr="006C5697">
        <w:tc>
          <w:tcPr>
            <w:tcW w:w="2785" w:type="dxa"/>
          </w:tcPr>
          <w:p w14:paraId="5E9C7C0F" w14:textId="77777777" w:rsidR="001F3382" w:rsidRPr="006C5697" w:rsidRDefault="006C5697" w:rsidP="00D57BD0">
            <w:pPr>
              <w:rPr>
                <w:rFonts w:cs="Times New Roman"/>
                <w:sz w:val="20"/>
                <w:szCs w:val="20"/>
              </w:rPr>
            </w:pPr>
            <w:r>
              <w:rPr>
                <w:rFonts w:cs="Times New Roman"/>
                <w:sz w:val="20"/>
                <w:szCs w:val="20"/>
              </w:rPr>
              <w:t>Projects aim at transformational gender impacts</w:t>
            </w:r>
          </w:p>
        </w:tc>
        <w:tc>
          <w:tcPr>
            <w:tcW w:w="3150" w:type="dxa"/>
          </w:tcPr>
          <w:p w14:paraId="199D3C49" w14:textId="39465A13" w:rsidR="009D2BB6" w:rsidRDefault="009D2BB6" w:rsidP="00547AF2">
            <w:pPr>
              <w:rPr>
                <w:rFonts w:cs="Times New Roman"/>
                <w:sz w:val="20"/>
                <w:szCs w:val="20"/>
              </w:rPr>
            </w:pPr>
          </w:p>
          <w:p w14:paraId="06DDD3B2" w14:textId="1C05B448" w:rsidR="001F3382" w:rsidRDefault="009D2BB6" w:rsidP="00547AF2">
            <w:pPr>
              <w:rPr>
                <w:rFonts w:cs="Times New Roman"/>
                <w:sz w:val="20"/>
                <w:szCs w:val="20"/>
              </w:rPr>
            </w:pPr>
            <w:r>
              <w:rPr>
                <w:rFonts w:cs="Times New Roman"/>
                <w:sz w:val="20"/>
                <w:szCs w:val="20"/>
              </w:rPr>
              <w:t>Pipeline projects incorporate gender activities and targets aiming to close a priority gender equality gap:</w:t>
            </w:r>
          </w:p>
          <w:p w14:paraId="070F09D7" w14:textId="77777777" w:rsidR="009D2BB6" w:rsidRDefault="009D2BB6" w:rsidP="00547AF2">
            <w:pPr>
              <w:rPr>
                <w:rFonts w:cs="Times New Roman"/>
                <w:sz w:val="20"/>
                <w:szCs w:val="20"/>
              </w:rPr>
            </w:pPr>
          </w:p>
          <w:p w14:paraId="2A81D191" w14:textId="77777777" w:rsidR="009D2BB6" w:rsidRDefault="009D2BB6" w:rsidP="00FD674F">
            <w:pPr>
              <w:pStyle w:val="ListParagraph"/>
              <w:numPr>
                <w:ilvl w:val="0"/>
                <w:numId w:val="20"/>
              </w:numPr>
              <w:rPr>
                <w:rFonts w:cs="Times New Roman"/>
                <w:sz w:val="20"/>
                <w:szCs w:val="20"/>
              </w:rPr>
            </w:pPr>
            <w:r>
              <w:rPr>
                <w:rFonts w:cs="Times New Roman"/>
                <w:sz w:val="20"/>
                <w:szCs w:val="20"/>
              </w:rPr>
              <w:t>Education Reform AF</w:t>
            </w:r>
          </w:p>
          <w:p w14:paraId="0AB8DAD0" w14:textId="77777777" w:rsidR="009D2BB6" w:rsidRDefault="009D2BB6" w:rsidP="00FD674F">
            <w:pPr>
              <w:pStyle w:val="ListParagraph"/>
              <w:numPr>
                <w:ilvl w:val="0"/>
                <w:numId w:val="20"/>
              </w:numPr>
              <w:rPr>
                <w:rFonts w:cs="Times New Roman"/>
                <w:sz w:val="20"/>
                <w:szCs w:val="20"/>
              </w:rPr>
            </w:pPr>
            <w:r>
              <w:rPr>
                <w:rFonts w:cs="Times New Roman"/>
                <w:sz w:val="20"/>
                <w:szCs w:val="20"/>
              </w:rPr>
              <w:t xml:space="preserve">Skills for Jobs Project </w:t>
            </w:r>
          </w:p>
          <w:p w14:paraId="525B2B6A" w14:textId="77777777" w:rsidR="009D2BB6" w:rsidRDefault="009D2BB6" w:rsidP="00FD674F">
            <w:pPr>
              <w:pStyle w:val="ListParagraph"/>
              <w:numPr>
                <w:ilvl w:val="0"/>
                <w:numId w:val="20"/>
              </w:numPr>
              <w:rPr>
                <w:rFonts w:cs="Times New Roman"/>
                <w:sz w:val="20"/>
                <w:szCs w:val="20"/>
              </w:rPr>
            </w:pPr>
            <w:r>
              <w:rPr>
                <w:rFonts w:cs="Times New Roman"/>
                <w:sz w:val="20"/>
                <w:szCs w:val="20"/>
              </w:rPr>
              <w:t>[Land Registration, Valuation, Taxation Project]</w:t>
            </w:r>
          </w:p>
          <w:p w14:paraId="34504296" w14:textId="368E13C0" w:rsidR="009D2BB6" w:rsidRPr="00FD674F" w:rsidRDefault="009D2BB6" w:rsidP="00FD674F">
            <w:pPr>
              <w:pStyle w:val="ListParagraph"/>
              <w:numPr>
                <w:ilvl w:val="0"/>
                <w:numId w:val="20"/>
              </w:numPr>
              <w:rPr>
                <w:rFonts w:cs="Times New Roman"/>
                <w:sz w:val="20"/>
                <w:szCs w:val="20"/>
              </w:rPr>
            </w:pPr>
            <w:r>
              <w:rPr>
                <w:rFonts w:cs="Times New Roman"/>
                <w:sz w:val="20"/>
                <w:szCs w:val="20"/>
              </w:rPr>
              <w:lastRenderedPageBreak/>
              <w:t>[Improving Access to Justice for the Vulnerable, JSDF proposal]</w:t>
            </w:r>
          </w:p>
        </w:tc>
        <w:tc>
          <w:tcPr>
            <w:tcW w:w="1077" w:type="dxa"/>
          </w:tcPr>
          <w:p w14:paraId="061746FE" w14:textId="502EBEC4" w:rsidR="001F3382" w:rsidRPr="006C5697" w:rsidRDefault="006C5697" w:rsidP="00D57BD0">
            <w:pPr>
              <w:rPr>
                <w:rFonts w:cs="Times New Roman"/>
                <w:sz w:val="20"/>
                <w:szCs w:val="20"/>
              </w:rPr>
            </w:pPr>
            <w:r>
              <w:rPr>
                <w:rFonts w:cs="Times New Roman"/>
                <w:sz w:val="20"/>
                <w:szCs w:val="20"/>
              </w:rPr>
              <w:lastRenderedPageBreak/>
              <w:t xml:space="preserve">At least </w:t>
            </w:r>
            <w:r w:rsidR="009D2BB6">
              <w:rPr>
                <w:rFonts w:cs="Times New Roman"/>
                <w:sz w:val="20"/>
                <w:szCs w:val="20"/>
              </w:rPr>
              <w:t>2 Projects</w:t>
            </w:r>
            <w:r>
              <w:rPr>
                <w:rFonts w:cs="Times New Roman"/>
                <w:sz w:val="20"/>
                <w:szCs w:val="20"/>
              </w:rPr>
              <w:t xml:space="preserve"> by 2022</w:t>
            </w:r>
          </w:p>
        </w:tc>
        <w:tc>
          <w:tcPr>
            <w:tcW w:w="2338" w:type="dxa"/>
          </w:tcPr>
          <w:p w14:paraId="460B313A" w14:textId="77777777" w:rsidR="001F3382" w:rsidRPr="006C5697" w:rsidRDefault="006C5697" w:rsidP="00D57BD0">
            <w:pPr>
              <w:rPr>
                <w:rFonts w:cs="Times New Roman"/>
                <w:sz w:val="20"/>
                <w:szCs w:val="20"/>
              </w:rPr>
            </w:pPr>
            <w:r>
              <w:rPr>
                <w:rFonts w:cs="Times New Roman"/>
                <w:sz w:val="20"/>
                <w:szCs w:val="20"/>
              </w:rPr>
              <w:t>TTLs and Country Gender Focal Point</w:t>
            </w:r>
          </w:p>
        </w:tc>
      </w:tr>
      <w:tr w:rsidR="001F3382" w:rsidRPr="006C5697" w14:paraId="192EF7CE" w14:textId="77777777" w:rsidTr="006C5697">
        <w:tc>
          <w:tcPr>
            <w:tcW w:w="2785" w:type="dxa"/>
          </w:tcPr>
          <w:p w14:paraId="231417E6" w14:textId="77777777" w:rsidR="001F3382" w:rsidRPr="006C5697" w:rsidRDefault="005B0423" w:rsidP="00D57BD0">
            <w:pPr>
              <w:rPr>
                <w:rFonts w:cs="Times New Roman"/>
                <w:sz w:val="20"/>
                <w:szCs w:val="20"/>
              </w:rPr>
            </w:pPr>
            <w:r>
              <w:rPr>
                <w:rFonts w:cs="Times New Roman"/>
                <w:sz w:val="20"/>
                <w:szCs w:val="20"/>
              </w:rPr>
              <w:t>Success stories on gender outcomes produced and disseminated</w:t>
            </w:r>
          </w:p>
        </w:tc>
        <w:tc>
          <w:tcPr>
            <w:tcW w:w="3150" w:type="dxa"/>
          </w:tcPr>
          <w:p w14:paraId="54E59CF5" w14:textId="128B4422" w:rsidR="001F3382" w:rsidRPr="006C5697" w:rsidRDefault="005B0423" w:rsidP="00D57BD0">
            <w:pPr>
              <w:rPr>
                <w:rFonts w:cs="Times New Roman"/>
                <w:sz w:val="20"/>
                <w:szCs w:val="20"/>
              </w:rPr>
            </w:pPr>
            <w:r>
              <w:rPr>
                <w:rFonts w:cs="Times New Roman"/>
                <w:sz w:val="20"/>
                <w:szCs w:val="20"/>
              </w:rPr>
              <w:t>#</w:t>
            </w:r>
            <w:r w:rsidR="00547AF2">
              <w:rPr>
                <w:rFonts w:cs="Times New Roman"/>
                <w:sz w:val="20"/>
                <w:szCs w:val="20"/>
              </w:rPr>
              <w:t xml:space="preserve"> of</w:t>
            </w:r>
            <w:r>
              <w:rPr>
                <w:rFonts w:cs="Times New Roman"/>
                <w:sz w:val="20"/>
                <w:szCs w:val="20"/>
              </w:rPr>
              <w:t xml:space="preserve"> stories disseminated internally and externally</w:t>
            </w:r>
          </w:p>
        </w:tc>
        <w:tc>
          <w:tcPr>
            <w:tcW w:w="1077" w:type="dxa"/>
          </w:tcPr>
          <w:p w14:paraId="07C34B02" w14:textId="0BF838D1" w:rsidR="001F3382" w:rsidRPr="006C5697" w:rsidRDefault="005B0423" w:rsidP="00D57BD0">
            <w:pPr>
              <w:rPr>
                <w:rFonts w:cs="Times New Roman"/>
                <w:sz w:val="20"/>
                <w:szCs w:val="20"/>
              </w:rPr>
            </w:pPr>
            <w:r>
              <w:rPr>
                <w:rFonts w:cs="Times New Roman"/>
                <w:sz w:val="20"/>
                <w:szCs w:val="20"/>
              </w:rPr>
              <w:t xml:space="preserve">At least </w:t>
            </w:r>
            <w:r w:rsidR="00F00F63">
              <w:rPr>
                <w:rFonts w:cs="Times New Roman"/>
                <w:sz w:val="20"/>
                <w:szCs w:val="20"/>
              </w:rPr>
              <w:t>1</w:t>
            </w:r>
            <w:r>
              <w:rPr>
                <w:rFonts w:cs="Times New Roman"/>
                <w:sz w:val="20"/>
                <w:szCs w:val="20"/>
              </w:rPr>
              <w:t xml:space="preserve"> by 2022</w:t>
            </w:r>
          </w:p>
        </w:tc>
        <w:tc>
          <w:tcPr>
            <w:tcW w:w="2338" w:type="dxa"/>
          </w:tcPr>
          <w:p w14:paraId="6A2143B2" w14:textId="77777777" w:rsidR="001F3382" w:rsidRPr="006C5697" w:rsidRDefault="005B0423" w:rsidP="00D57BD0">
            <w:pPr>
              <w:rPr>
                <w:rFonts w:cs="Times New Roman"/>
                <w:sz w:val="20"/>
                <w:szCs w:val="20"/>
              </w:rPr>
            </w:pPr>
            <w:r>
              <w:rPr>
                <w:rFonts w:cs="Times New Roman"/>
                <w:sz w:val="20"/>
                <w:szCs w:val="20"/>
              </w:rPr>
              <w:t>TTLs, Communications officer, Country Gender Focal Point</w:t>
            </w:r>
          </w:p>
        </w:tc>
      </w:tr>
    </w:tbl>
    <w:p w14:paraId="2FF2E3C8" w14:textId="77777777" w:rsidR="008E2F8E" w:rsidRDefault="008E2F8E" w:rsidP="00D57BD0">
      <w:pPr>
        <w:rPr>
          <w:rFonts w:cs="Times New Roman"/>
        </w:rPr>
      </w:pPr>
    </w:p>
    <w:p w14:paraId="14194E4B" w14:textId="1F0795CE" w:rsidR="00546933" w:rsidRDefault="009366B8" w:rsidP="00371E4D">
      <w:pPr>
        <w:pStyle w:val="Heading3"/>
      </w:pPr>
      <w:bookmarkStart w:id="8" w:name="_Toc476839794"/>
      <w:r>
        <w:t xml:space="preserve">6.2. </w:t>
      </w:r>
      <w:r w:rsidR="00E945D8" w:rsidRPr="00743E10">
        <w:t xml:space="preserve">Country gender </w:t>
      </w:r>
      <w:r w:rsidR="004A2F0F">
        <w:t xml:space="preserve">equality </w:t>
      </w:r>
      <w:r w:rsidR="00E945D8" w:rsidRPr="00743E10">
        <w:t>outcomes</w:t>
      </w:r>
      <w:bookmarkEnd w:id="8"/>
    </w:p>
    <w:p w14:paraId="29DD5689" w14:textId="77777777" w:rsidR="00E56C86" w:rsidRDefault="00E56C86" w:rsidP="00E56C86"/>
    <w:p w14:paraId="49AAD093" w14:textId="1955D337" w:rsidR="00F9122F" w:rsidRDefault="00E56C86" w:rsidP="008F0091">
      <w:pPr>
        <w:jc w:val="both"/>
      </w:pPr>
      <w:r>
        <w:t xml:space="preserve">The matrix below summarizes </w:t>
      </w:r>
      <w:r w:rsidR="00315FB7">
        <w:t xml:space="preserve">a range of proposed </w:t>
      </w:r>
      <w:r>
        <w:t>sectors, actions, and outcome</w:t>
      </w:r>
      <w:r w:rsidR="00315FB7">
        <w:t>s that can be pursued in the framework of the Bank’s CPF</w:t>
      </w:r>
      <w:r>
        <w:t xml:space="preserve"> FY18-22.  </w:t>
      </w:r>
      <w:r w:rsidR="00315FB7">
        <w:t>These  are formulated to address key gender issues in the country</w:t>
      </w:r>
      <w:r w:rsidR="000B0DC7">
        <w:t>—</w:t>
      </w:r>
      <w:r w:rsidR="00315FB7">
        <w:t>recognized in research and  in the National Gender Equality Strategy</w:t>
      </w:r>
      <w:r w:rsidR="000B0DC7">
        <w:t>—</w:t>
      </w:r>
      <w:r w:rsidR="00315FB7">
        <w:t xml:space="preserve">that are also  aligned with  existing and planned WBG program. </w:t>
      </w:r>
    </w:p>
    <w:p w14:paraId="2B4D7D98" w14:textId="3C110D85" w:rsidR="00E56C86" w:rsidRPr="00E56C86" w:rsidRDefault="00F9122F" w:rsidP="008F0091">
      <w:pPr>
        <w:jc w:val="both"/>
        <w:sectPr w:rsidR="00E56C86" w:rsidRPr="00E56C86" w:rsidSect="00B17E47">
          <w:footerReference w:type="default" r:id="rId13"/>
          <w:pgSz w:w="12240" w:h="15840"/>
          <w:pgMar w:top="1440" w:right="1440" w:bottom="1440" w:left="1440" w:header="720" w:footer="720" w:gutter="0"/>
          <w:cols w:space="720"/>
          <w:docGrid w:linePitch="360"/>
        </w:sectPr>
      </w:pPr>
      <w:r>
        <w:t xml:space="preserve">The Action Matrix proposed </w:t>
      </w:r>
      <w:r w:rsidR="000B0DC7">
        <w:t xml:space="preserve">in </w:t>
      </w:r>
      <w:r>
        <w:t xml:space="preserve">this CGAP includes a range of options to pursue gender equality goals through the World Bank’s program in Moldova. </w:t>
      </w:r>
      <w:r w:rsidR="00315FB7">
        <w:t xml:space="preserve">The </w:t>
      </w:r>
      <w:r w:rsidR="00692F8F">
        <w:t>specific</w:t>
      </w:r>
      <w:r w:rsidR="00315FB7">
        <w:t xml:space="preserve"> </w:t>
      </w:r>
      <w:r>
        <w:t xml:space="preserve">activities, </w:t>
      </w:r>
      <w:r w:rsidR="00315FB7">
        <w:t xml:space="preserve">outcomes </w:t>
      </w:r>
      <w:r w:rsidR="00692F8F">
        <w:t xml:space="preserve">and targets to be adopted by the Moldova CPF </w:t>
      </w:r>
      <w:r>
        <w:t>can</w:t>
      </w:r>
      <w:r w:rsidR="00315FB7">
        <w:t xml:space="preserve"> be </w:t>
      </w:r>
      <w:r>
        <w:t xml:space="preserve">adapted </w:t>
      </w:r>
      <w:r w:rsidR="00315FB7">
        <w:t xml:space="preserve">further </w:t>
      </w:r>
      <w:r>
        <w:t xml:space="preserve">by the respective GPs/task teams and CMU. </w:t>
      </w:r>
    </w:p>
    <w:p w14:paraId="56D7F00E" w14:textId="77777777" w:rsidR="00546933" w:rsidRDefault="00546933" w:rsidP="00D57BD0">
      <w:pPr>
        <w:rPr>
          <w:rFonts w:cs="Times New Roman"/>
        </w:rPr>
      </w:pPr>
    </w:p>
    <w:p w14:paraId="35214000" w14:textId="06DE46F4" w:rsidR="00B50FD1" w:rsidRDefault="00383B3F" w:rsidP="00D57BD0">
      <w:pPr>
        <w:rPr>
          <w:rFonts w:cs="Times New Roman"/>
          <w:b/>
          <w:i/>
          <w:sz w:val="20"/>
          <w:szCs w:val="20"/>
        </w:rPr>
      </w:pPr>
      <w:r>
        <w:rPr>
          <w:rFonts w:cs="Times New Roman"/>
          <w:b/>
          <w:i/>
          <w:sz w:val="20"/>
          <w:szCs w:val="20"/>
        </w:rPr>
        <w:t xml:space="preserve">Table </w:t>
      </w:r>
      <w:r w:rsidR="00571B33">
        <w:rPr>
          <w:rFonts w:cs="Times New Roman"/>
          <w:b/>
          <w:i/>
          <w:sz w:val="20"/>
          <w:szCs w:val="20"/>
        </w:rPr>
        <w:t>5</w:t>
      </w:r>
      <w:r w:rsidR="00546933" w:rsidRPr="00546933">
        <w:rPr>
          <w:rFonts w:cs="Times New Roman"/>
          <w:b/>
          <w:i/>
          <w:sz w:val="20"/>
          <w:szCs w:val="20"/>
        </w:rPr>
        <w:t xml:space="preserve">: </w:t>
      </w:r>
      <w:r w:rsidR="00E945D8">
        <w:rPr>
          <w:rFonts w:cs="Times New Roman"/>
          <w:b/>
          <w:i/>
          <w:sz w:val="20"/>
          <w:szCs w:val="20"/>
        </w:rPr>
        <w:t xml:space="preserve">Moldova </w:t>
      </w:r>
      <w:r w:rsidR="00546933" w:rsidRPr="00546933">
        <w:rPr>
          <w:rFonts w:cs="Times New Roman"/>
          <w:b/>
          <w:i/>
          <w:sz w:val="20"/>
          <w:szCs w:val="20"/>
        </w:rPr>
        <w:t xml:space="preserve">CGAP </w:t>
      </w:r>
      <w:r w:rsidR="006C5697">
        <w:rPr>
          <w:rFonts w:cs="Times New Roman"/>
          <w:b/>
          <w:i/>
          <w:sz w:val="20"/>
          <w:szCs w:val="20"/>
        </w:rPr>
        <w:t xml:space="preserve">Country Goals </w:t>
      </w:r>
      <w:r w:rsidR="00546933" w:rsidRPr="00546933">
        <w:rPr>
          <w:rFonts w:cs="Times New Roman"/>
          <w:b/>
          <w:i/>
          <w:sz w:val="20"/>
          <w:szCs w:val="20"/>
        </w:rPr>
        <w:t>Action and Results Matrix</w:t>
      </w:r>
    </w:p>
    <w:p w14:paraId="30E0B55F" w14:textId="25CA6DF4" w:rsidR="005D56DD" w:rsidRDefault="0039001D" w:rsidP="005B5CEC">
      <w:pPr>
        <w:jc w:val="both"/>
        <w:rPr>
          <w:rFonts w:cs="Times New Roman"/>
        </w:rPr>
      </w:pPr>
      <w:r w:rsidRPr="00200C3D">
        <w:rPr>
          <w:rFonts w:cs="Times New Roman"/>
        </w:rPr>
        <w:t>Th</w:t>
      </w:r>
      <w:r>
        <w:rPr>
          <w:rFonts w:cs="Times New Roman"/>
        </w:rPr>
        <w:t>is</w:t>
      </w:r>
      <w:r w:rsidRPr="00200C3D">
        <w:rPr>
          <w:rFonts w:cs="Times New Roman"/>
        </w:rPr>
        <w:t xml:space="preserve"> table</w:t>
      </w:r>
      <w:r>
        <w:rPr>
          <w:rFonts w:cs="Times New Roman"/>
          <w:b/>
          <w:i/>
          <w:sz w:val="20"/>
          <w:szCs w:val="20"/>
        </w:rPr>
        <w:t xml:space="preserve"> </w:t>
      </w:r>
      <w:r w:rsidRPr="00200C3D">
        <w:rPr>
          <w:rFonts w:cs="Times New Roman"/>
        </w:rPr>
        <w:t>includes a list of key gender challenges</w:t>
      </w:r>
      <w:r>
        <w:rPr>
          <w:rFonts w:cs="Times New Roman"/>
        </w:rPr>
        <w:t>, linkages to the WBG program and proposed interventions and results. It should be noted that all activities and results are pending further discussion with national counterparts and may be adapted further by task teams.</w:t>
      </w:r>
    </w:p>
    <w:p w14:paraId="17903E9A" w14:textId="07A31B99" w:rsidR="005B5CEC" w:rsidRPr="005B5CEC" w:rsidRDefault="005B5CEC" w:rsidP="005B5CEC">
      <w:pPr>
        <w:jc w:val="both"/>
        <w:rPr>
          <w:rFonts w:cs="Times New Roman"/>
        </w:rPr>
      </w:pPr>
      <w:r>
        <w:rPr>
          <w:rFonts w:cs="Times New Roman"/>
        </w:rPr>
        <w:t>In addition to actions related to the five identified gender issues, this matrix includes activities on road safety and mobility proposed by Transport GP.</w:t>
      </w:r>
    </w:p>
    <w:tbl>
      <w:tblPr>
        <w:tblStyle w:val="TableGrid"/>
        <w:tblW w:w="13585" w:type="dxa"/>
        <w:tblLayout w:type="fixed"/>
        <w:tblLook w:val="04A0" w:firstRow="1" w:lastRow="0" w:firstColumn="1" w:lastColumn="0" w:noHBand="0" w:noVBand="1"/>
      </w:tblPr>
      <w:tblGrid>
        <w:gridCol w:w="2155"/>
        <w:gridCol w:w="2250"/>
        <w:gridCol w:w="4140"/>
        <w:gridCol w:w="1710"/>
        <w:gridCol w:w="3330"/>
      </w:tblGrid>
      <w:tr w:rsidR="001F2EE4" w:rsidRPr="00200C3D" w14:paraId="55043D78" w14:textId="77777777" w:rsidTr="000C618B">
        <w:tc>
          <w:tcPr>
            <w:tcW w:w="2155" w:type="dxa"/>
          </w:tcPr>
          <w:p w14:paraId="57A0FD97" w14:textId="77777777" w:rsidR="00546933" w:rsidRPr="0039001D" w:rsidRDefault="00546933" w:rsidP="00D57BD0">
            <w:pPr>
              <w:rPr>
                <w:rFonts w:cs="Times New Roman"/>
                <w:b/>
                <w:sz w:val="20"/>
                <w:szCs w:val="20"/>
              </w:rPr>
            </w:pPr>
            <w:r w:rsidRPr="0039001D">
              <w:rPr>
                <w:rFonts w:cs="Times New Roman"/>
                <w:b/>
                <w:sz w:val="20"/>
                <w:szCs w:val="20"/>
              </w:rPr>
              <w:t>Key Gender Issue</w:t>
            </w:r>
          </w:p>
        </w:tc>
        <w:tc>
          <w:tcPr>
            <w:tcW w:w="2250" w:type="dxa"/>
          </w:tcPr>
          <w:p w14:paraId="562D6F88" w14:textId="77777777" w:rsidR="00546933" w:rsidRPr="005543A5" w:rsidRDefault="00546933" w:rsidP="00D57BD0">
            <w:pPr>
              <w:rPr>
                <w:rFonts w:cs="Times New Roman"/>
                <w:b/>
                <w:sz w:val="20"/>
                <w:szCs w:val="20"/>
              </w:rPr>
            </w:pPr>
            <w:r w:rsidRPr="005543A5">
              <w:rPr>
                <w:rFonts w:cs="Times New Roman"/>
                <w:b/>
                <w:sz w:val="20"/>
                <w:szCs w:val="20"/>
              </w:rPr>
              <w:t>Causes</w:t>
            </w:r>
          </w:p>
        </w:tc>
        <w:tc>
          <w:tcPr>
            <w:tcW w:w="4140" w:type="dxa"/>
          </w:tcPr>
          <w:p w14:paraId="281CA0E7" w14:textId="77777777" w:rsidR="00546933" w:rsidRPr="00620081" w:rsidRDefault="00546933" w:rsidP="00D57BD0">
            <w:pPr>
              <w:rPr>
                <w:rFonts w:cs="Times New Roman"/>
                <w:b/>
                <w:sz w:val="20"/>
                <w:szCs w:val="20"/>
              </w:rPr>
            </w:pPr>
            <w:r w:rsidRPr="00620081">
              <w:rPr>
                <w:rFonts w:cs="Times New Roman"/>
                <w:b/>
                <w:sz w:val="20"/>
                <w:szCs w:val="20"/>
              </w:rPr>
              <w:t>Interventions</w:t>
            </w:r>
          </w:p>
        </w:tc>
        <w:tc>
          <w:tcPr>
            <w:tcW w:w="1710" w:type="dxa"/>
          </w:tcPr>
          <w:p w14:paraId="6D55985B" w14:textId="77777777" w:rsidR="00546933" w:rsidRPr="00200C3D" w:rsidRDefault="00546933" w:rsidP="00D57BD0">
            <w:pPr>
              <w:rPr>
                <w:rFonts w:cs="Times New Roman"/>
                <w:b/>
                <w:sz w:val="20"/>
                <w:szCs w:val="20"/>
              </w:rPr>
            </w:pPr>
            <w:r w:rsidRPr="00200C3D">
              <w:rPr>
                <w:rFonts w:cs="Times New Roman"/>
                <w:b/>
                <w:sz w:val="20"/>
                <w:szCs w:val="20"/>
              </w:rPr>
              <w:t>Bank Program</w:t>
            </w:r>
          </w:p>
        </w:tc>
        <w:tc>
          <w:tcPr>
            <w:tcW w:w="3330" w:type="dxa"/>
          </w:tcPr>
          <w:p w14:paraId="07C2BE1E" w14:textId="00045D29" w:rsidR="00546933" w:rsidRPr="00200C3D" w:rsidRDefault="0039001D" w:rsidP="00D57BD0">
            <w:pPr>
              <w:rPr>
                <w:rFonts w:cs="Times New Roman"/>
                <w:b/>
                <w:sz w:val="20"/>
                <w:szCs w:val="20"/>
              </w:rPr>
            </w:pPr>
            <w:r w:rsidRPr="00200C3D">
              <w:rPr>
                <w:rFonts w:cs="Times New Roman"/>
                <w:b/>
                <w:sz w:val="20"/>
                <w:szCs w:val="20"/>
              </w:rPr>
              <w:t xml:space="preserve">Proposed </w:t>
            </w:r>
            <w:r w:rsidR="00546933" w:rsidRPr="00200C3D">
              <w:rPr>
                <w:rFonts w:cs="Times New Roman"/>
                <w:b/>
                <w:sz w:val="20"/>
                <w:szCs w:val="20"/>
              </w:rPr>
              <w:t>Results / Indicators</w:t>
            </w:r>
          </w:p>
        </w:tc>
      </w:tr>
      <w:tr w:rsidR="00A9430F" w:rsidRPr="00200C3D" w14:paraId="36890714" w14:textId="77777777" w:rsidTr="001A399B">
        <w:trPr>
          <w:trHeight w:val="2930"/>
        </w:trPr>
        <w:tc>
          <w:tcPr>
            <w:tcW w:w="2155" w:type="dxa"/>
            <w:vMerge w:val="restart"/>
          </w:tcPr>
          <w:p w14:paraId="6EABB8D7" w14:textId="77777777" w:rsidR="00A9430F" w:rsidRPr="00200C3D" w:rsidRDefault="00A9430F" w:rsidP="00D57BD0">
            <w:pPr>
              <w:rPr>
                <w:rFonts w:cs="Times New Roman"/>
                <w:sz w:val="20"/>
                <w:szCs w:val="20"/>
              </w:rPr>
            </w:pPr>
            <w:r w:rsidRPr="00200C3D">
              <w:rPr>
                <w:rFonts w:cs="Times New Roman"/>
                <w:sz w:val="20"/>
                <w:szCs w:val="20"/>
              </w:rPr>
              <w:t>Occupational segregation</w:t>
            </w:r>
          </w:p>
          <w:p w14:paraId="7B5C0E0F" w14:textId="4CDF0824" w:rsidR="00A9430F" w:rsidRPr="00200C3D" w:rsidRDefault="00A9430F" w:rsidP="000138D8">
            <w:pPr>
              <w:pStyle w:val="ListParagraph"/>
              <w:numPr>
                <w:ilvl w:val="0"/>
                <w:numId w:val="5"/>
              </w:numPr>
              <w:rPr>
                <w:rFonts w:cs="Times New Roman"/>
                <w:sz w:val="20"/>
                <w:szCs w:val="20"/>
              </w:rPr>
            </w:pPr>
            <w:r w:rsidRPr="00200C3D">
              <w:rPr>
                <w:rFonts w:cs="Times New Roman"/>
                <w:sz w:val="20"/>
                <w:szCs w:val="20"/>
              </w:rPr>
              <w:t xml:space="preserve">Women under-represented in high-paying, high-skill jobs </w:t>
            </w:r>
          </w:p>
        </w:tc>
        <w:tc>
          <w:tcPr>
            <w:tcW w:w="2250" w:type="dxa"/>
            <w:vMerge w:val="restart"/>
          </w:tcPr>
          <w:p w14:paraId="18267DAD" w14:textId="77777777" w:rsidR="00A9430F" w:rsidRPr="00200C3D" w:rsidRDefault="00A9430F" w:rsidP="00D57BD0">
            <w:pPr>
              <w:rPr>
                <w:rFonts w:cs="Times New Roman"/>
                <w:sz w:val="20"/>
                <w:szCs w:val="20"/>
              </w:rPr>
            </w:pPr>
            <w:r w:rsidRPr="00200C3D">
              <w:rPr>
                <w:rFonts w:cs="Times New Roman"/>
                <w:sz w:val="20"/>
                <w:szCs w:val="20"/>
              </w:rPr>
              <w:t>Gender norms and stereotypes reinforced by education system, media, labor market.</w:t>
            </w:r>
          </w:p>
          <w:p w14:paraId="17B022D7" w14:textId="77777777" w:rsidR="00A9430F" w:rsidRPr="00200C3D" w:rsidRDefault="00A9430F" w:rsidP="00D57BD0">
            <w:pPr>
              <w:rPr>
                <w:rFonts w:cs="Times New Roman"/>
                <w:sz w:val="20"/>
                <w:szCs w:val="20"/>
              </w:rPr>
            </w:pPr>
          </w:p>
          <w:p w14:paraId="5B354ACA" w14:textId="77777777" w:rsidR="00A9430F" w:rsidRPr="00200C3D" w:rsidRDefault="00A9430F" w:rsidP="00D57BD0">
            <w:pPr>
              <w:rPr>
                <w:rFonts w:cs="Times New Roman"/>
                <w:sz w:val="20"/>
                <w:szCs w:val="20"/>
              </w:rPr>
            </w:pPr>
            <w:r w:rsidRPr="00200C3D">
              <w:rPr>
                <w:rFonts w:cs="Times New Roman"/>
                <w:sz w:val="20"/>
                <w:szCs w:val="20"/>
              </w:rPr>
              <w:t xml:space="preserve">‘Feminization’ of education and social service sectors </w:t>
            </w:r>
          </w:p>
          <w:p w14:paraId="2682FDD1" w14:textId="77777777" w:rsidR="00A9430F" w:rsidRPr="00200C3D" w:rsidRDefault="00A9430F" w:rsidP="00D57BD0">
            <w:pPr>
              <w:rPr>
                <w:rFonts w:cs="Times New Roman"/>
                <w:sz w:val="20"/>
                <w:szCs w:val="20"/>
              </w:rPr>
            </w:pPr>
          </w:p>
          <w:p w14:paraId="15945475" w14:textId="77777777" w:rsidR="00A9430F" w:rsidRPr="00200C3D" w:rsidRDefault="00A9430F" w:rsidP="00D57BD0">
            <w:pPr>
              <w:rPr>
                <w:rFonts w:cs="Times New Roman"/>
                <w:sz w:val="20"/>
                <w:szCs w:val="20"/>
              </w:rPr>
            </w:pPr>
          </w:p>
        </w:tc>
        <w:tc>
          <w:tcPr>
            <w:tcW w:w="4140" w:type="dxa"/>
          </w:tcPr>
          <w:p w14:paraId="248FADA1" w14:textId="77777777" w:rsidR="00A9430F" w:rsidRPr="00200C3D" w:rsidRDefault="00A9430F" w:rsidP="00D57BD0">
            <w:pPr>
              <w:rPr>
                <w:rFonts w:cs="Times New Roman"/>
                <w:sz w:val="20"/>
                <w:szCs w:val="20"/>
              </w:rPr>
            </w:pPr>
            <w:r w:rsidRPr="00200C3D">
              <w:rPr>
                <w:rFonts w:cs="Times New Roman"/>
                <w:sz w:val="20"/>
                <w:szCs w:val="20"/>
              </w:rPr>
              <w:t xml:space="preserve">Conduct review / diagnostic of curriculum to assess gender stereotypes/norms </w:t>
            </w:r>
          </w:p>
          <w:p w14:paraId="3704BDE6" w14:textId="77777777" w:rsidR="00A9430F" w:rsidRPr="00200C3D" w:rsidRDefault="00A9430F" w:rsidP="00D57BD0">
            <w:pPr>
              <w:rPr>
                <w:rFonts w:cs="Times New Roman"/>
                <w:sz w:val="20"/>
                <w:szCs w:val="20"/>
              </w:rPr>
            </w:pPr>
          </w:p>
          <w:p w14:paraId="4BF5F42D" w14:textId="77777777" w:rsidR="00A9430F" w:rsidRPr="00200C3D" w:rsidRDefault="00A9430F" w:rsidP="00D57BD0">
            <w:pPr>
              <w:rPr>
                <w:rFonts w:cs="Times New Roman"/>
                <w:sz w:val="20"/>
                <w:szCs w:val="20"/>
              </w:rPr>
            </w:pPr>
            <w:r w:rsidRPr="00200C3D">
              <w:rPr>
                <w:rFonts w:cs="Times New Roman"/>
                <w:sz w:val="20"/>
                <w:szCs w:val="20"/>
              </w:rPr>
              <w:t>Integrate gender diversity module in teacher/ education policy-maker training</w:t>
            </w:r>
          </w:p>
          <w:p w14:paraId="35A53119" w14:textId="77777777" w:rsidR="00A9430F" w:rsidRPr="00200C3D" w:rsidRDefault="00A9430F" w:rsidP="00D57BD0">
            <w:pPr>
              <w:rPr>
                <w:rFonts w:cs="Times New Roman"/>
                <w:sz w:val="20"/>
                <w:szCs w:val="20"/>
              </w:rPr>
            </w:pPr>
          </w:p>
          <w:p w14:paraId="1D596241" w14:textId="02BFF85F" w:rsidR="00A9430F" w:rsidRDefault="00FA23E1" w:rsidP="00D57BD0">
            <w:pPr>
              <w:rPr>
                <w:rFonts w:cs="Times New Roman"/>
                <w:sz w:val="20"/>
                <w:szCs w:val="20"/>
              </w:rPr>
            </w:pPr>
            <w:r>
              <w:rPr>
                <w:rFonts w:cs="Times New Roman"/>
                <w:sz w:val="20"/>
                <w:szCs w:val="20"/>
              </w:rPr>
              <w:t>Initiate d</w:t>
            </w:r>
            <w:r w:rsidR="00A9430F" w:rsidRPr="00200C3D">
              <w:rPr>
                <w:rFonts w:cs="Times New Roman"/>
                <w:sz w:val="20"/>
                <w:szCs w:val="20"/>
              </w:rPr>
              <w:t>ialogue with Min of Education on integrating</w:t>
            </w:r>
            <w:r w:rsidR="00A9430F" w:rsidRPr="00200C3D" w:rsidDel="00AB7353">
              <w:rPr>
                <w:rFonts w:cs="Times New Roman"/>
                <w:sz w:val="20"/>
                <w:szCs w:val="20"/>
              </w:rPr>
              <w:t xml:space="preserve"> </w:t>
            </w:r>
            <w:r w:rsidR="00A9430F" w:rsidRPr="00200C3D">
              <w:rPr>
                <w:rFonts w:cs="Times New Roman"/>
                <w:sz w:val="20"/>
                <w:szCs w:val="20"/>
              </w:rPr>
              <w:t xml:space="preserve">training on social issues such as bullying, GBV, safety/cyber-safety in school program </w:t>
            </w:r>
            <w:r>
              <w:rPr>
                <w:rFonts w:cs="Times New Roman"/>
                <w:sz w:val="20"/>
                <w:szCs w:val="20"/>
              </w:rPr>
              <w:t>as well as</w:t>
            </w:r>
            <w:r w:rsidR="00A9430F" w:rsidRPr="00200C3D">
              <w:rPr>
                <w:rFonts w:cs="Times New Roman"/>
                <w:sz w:val="20"/>
                <w:szCs w:val="20"/>
              </w:rPr>
              <w:t xml:space="preserve"> in teacher </w:t>
            </w:r>
            <w:r>
              <w:rPr>
                <w:rFonts w:cs="Times New Roman"/>
                <w:sz w:val="20"/>
                <w:szCs w:val="20"/>
              </w:rPr>
              <w:t xml:space="preserve">curriculum and/or </w:t>
            </w:r>
            <w:r w:rsidR="00A9430F" w:rsidRPr="00200C3D">
              <w:rPr>
                <w:rFonts w:cs="Times New Roman"/>
                <w:sz w:val="20"/>
                <w:szCs w:val="20"/>
              </w:rPr>
              <w:t>training courses</w:t>
            </w:r>
          </w:p>
          <w:p w14:paraId="1162F96F" w14:textId="19A80655" w:rsidR="00A9430F" w:rsidRPr="00200C3D" w:rsidRDefault="00A9430F" w:rsidP="00D57BD0">
            <w:pPr>
              <w:rPr>
                <w:rFonts w:cs="Times New Roman"/>
                <w:sz w:val="20"/>
                <w:szCs w:val="20"/>
              </w:rPr>
            </w:pPr>
          </w:p>
        </w:tc>
        <w:tc>
          <w:tcPr>
            <w:tcW w:w="1710" w:type="dxa"/>
          </w:tcPr>
          <w:p w14:paraId="6E5210B1" w14:textId="5E07AD72" w:rsidR="00A9430F" w:rsidRDefault="00A9430F" w:rsidP="00D57BD0">
            <w:pPr>
              <w:rPr>
                <w:rFonts w:cs="Times New Roman"/>
                <w:sz w:val="20"/>
                <w:szCs w:val="20"/>
              </w:rPr>
            </w:pPr>
            <w:r w:rsidRPr="00200C3D">
              <w:rPr>
                <w:rFonts w:cs="Times New Roman"/>
                <w:sz w:val="20"/>
                <w:szCs w:val="20"/>
              </w:rPr>
              <w:t xml:space="preserve">Education Reform </w:t>
            </w:r>
            <w:r>
              <w:rPr>
                <w:rFonts w:cs="Times New Roman"/>
                <w:sz w:val="20"/>
                <w:szCs w:val="20"/>
              </w:rPr>
              <w:t>AF</w:t>
            </w:r>
          </w:p>
          <w:p w14:paraId="5D57548E" w14:textId="77777777" w:rsidR="00A9430F" w:rsidRDefault="00A9430F" w:rsidP="00D57BD0">
            <w:pPr>
              <w:rPr>
                <w:rFonts w:cs="Times New Roman"/>
                <w:sz w:val="20"/>
                <w:szCs w:val="20"/>
              </w:rPr>
            </w:pPr>
          </w:p>
          <w:p w14:paraId="7A53A7F8" w14:textId="77777777" w:rsidR="00A9430F" w:rsidRDefault="00A9430F" w:rsidP="00D57BD0">
            <w:pPr>
              <w:rPr>
                <w:rFonts w:cs="Times New Roman"/>
                <w:sz w:val="20"/>
                <w:szCs w:val="20"/>
              </w:rPr>
            </w:pPr>
            <w:r>
              <w:rPr>
                <w:rFonts w:cs="Times New Roman"/>
                <w:sz w:val="20"/>
                <w:szCs w:val="20"/>
              </w:rPr>
              <w:t>Pending resources and agreement of counterparts</w:t>
            </w:r>
          </w:p>
          <w:p w14:paraId="765FD3DF" w14:textId="77777777" w:rsidR="00A9430F" w:rsidRDefault="00A9430F" w:rsidP="00D57BD0">
            <w:pPr>
              <w:rPr>
                <w:rFonts w:cs="Times New Roman"/>
                <w:sz w:val="20"/>
                <w:szCs w:val="20"/>
              </w:rPr>
            </w:pPr>
          </w:p>
          <w:p w14:paraId="780645B2" w14:textId="77777777" w:rsidR="00A9430F" w:rsidRPr="00200C3D" w:rsidRDefault="00A9430F" w:rsidP="00D57BD0">
            <w:pPr>
              <w:rPr>
                <w:rFonts w:cs="Times New Roman"/>
                <w:sz w:val="20"/>
                <w:szCs w:val="20"/>
              </w:rPr>
            </w:pPr>
          </w:p>
          <w:p w14:paraId="1D07CC73" w14:textId="77777777" w:rsidR="00A9430F" w:rsidRPr="00200C3D" w:rsidRDefault="00A9430F" w:rsidP="00CC0A65">
            <w:pPr>
              <w:rPr>
                <w:rFonts w:cs="Times New Roman"/>
                <w:sz w:val="20"/>
                <w:szCs w:val="20"/>
              </w:rPr>
            </w:pPr>
          </w:p>
        </w:tc>
        <w:tc>
          <w:tcPr>
            <w:tcW w:w="3330" w:type="dxa"/>
          </w:tcPr>
          <w:p w14:paraId="2735E8A1" w14:textId="77777777" w:rsidR="00A9430F" w:rsidRPr="00200C3D" w:rsidRDefault="00A9430F" w:rsidP="00D57BD0">
            <w:pPr>
              <w:rPr>
                <w:rFonts w:cs="Times New Roman"/>
                <w:sz w:val="20"/>
                <w:szCs w:val="20"/>
              </w:rPr>
            </w:pPr>
            <w:r w:rsidRPr="00200C3D">
              <w:rPr>
                <w:rFonts w:cs="Times New Roman"/>
                <w:sz w:val="20"/>
                <w:szCs w:val="20"/>
              </w:rPr>
              <w:t xml:space="preserve">Curriculum assessment conducted and informed teacher training </w:t>
            </w:r>
          </w:p>
          <w:p w14:paraId="5A2A3F08" w14:textId="77777777" w:rsidR="00A9430F" w:rsidRPr="00200C3D" w:rsidRDefault="00A9430F" w:rsidP="00D57BD0">
            <w:pPr>
              <w:rPr>
                <w:rFonts w:cs="Times New Roman"/>
                <w:sz w:val="20"/>
                <w:szCs w:val="20"/>
              </w:rPr>
            </w:pPr>
          </w:p>
          <w:p w14:paraId="4B23C6A8" w14:textId="21C0F644" w:rsidR="00A9430F" w:rsidRPr="00200C3D" w:rsidRDefault="00A9430F" w:rsidP="00D57BD0">
            <w:pPr>
              <w:rPr>
                <w:rFonts w:cs="Times New Roman"/>
                <w:sz w:val="20"/>
                <w:szCs w:val="20"/>
              </w:rPr>
            </w:pPr>
            <w:r w:rsidRPr="00200C3D">
              <w:rPr>
                <w:rFonts w:cs="Times New Roman"/>
                <w:sz w:val="20"/>
                <w:szCs w:val="20"/>
              </w:rPr>
              <w:t># of teachers trained in gender module</w:t>
            </w:r>
          </w:p>
        </w:tc>
      </w:tr>
      <w:tr w:rsidR="00DE34C3" w:rsidRPr="00200C3D" w14:paraId="12D2CF40" w14:textId="77777777" w:rsidTr="000C618B">
        <w:trPr>
          <w:trHeight w:val="895"/>
        </w:trPr>
        <w:tc>
          <w:tcPr>
            <w:tcW w:w="2155" w:type="dxa"/>
            <w:vMerge/>
          </w:tcPr>
          <w:p w14:paraId="462E1675" w14:textId="72900FCE" w:rsidR="00DE34C3" w:rsidRPr="00200C3D" w:rsidRDefault="00DE34C3" w:rsidP="00D57BD0">
            <w:pPr>
              <w:rPr>
                <w:rFonts w:cs="Times New Roman"/>
                <w:sz w:val="20"/>
                <w:szCs w:val="20"/>
              </w:rPr>
            </w:pPr>
          </w:p>
        </w:tc>
        <w:tc>
          <w:tcPr>
            <w:tcW w:w="2250" w:type="dxa"/>
            <w:vMerge/>
          </w:tcPr>
          <w:p w14:paraId="71206536" w14:textId="77777777" w:rsidR="00DE34C3" w:rsidRPr="00200C3D" w:rsidRDefault="00DE34C3" w:rsidP="00D57BD0">
            <w:pPr>
              <w:rPr>
                <w:rFonts w:cs="Times New Roman"/>
                <w:sz w:val="20"/>
                <w:szCs w:val="20"/>
              </w:rPr>
            </w:pPr>
          </w:p>
        </w:tc>
        <w:tc>
          <w:tcPr>
            <w:tcW w:w="4140" w:type="dxa"/>
          </w:tcPr>
          <w:p w14:paraId="77CF79A3" w14:textId="77777777" w:rsidR="00DE34C3" w:rsidRPr="00200C3D" w:rsidRDefault="004C10B9" w:rsidP="001F2AC4">
            <w:pPr>
              <w:rPr>
                <w:rFonts w:cs="Times New Roman"/>
                <w:sz w:val="20"/>
                <w:szCs w:val="20"/>
              </w:rPr>
            </w:pPr>
            <w:r w:rsidRPr="00200C3D">
              <w:rPr>
                <w:rFonts w:cs="Times New Roman"/>
                <w:sz w:val="20"/>
                <w:szCs w:val="20"/>
              </w:rPr>
              <w:t>Improve information for women on skills demand and education opportunities in STEM fields</w:t>
            </w:r>
          </w:p>
          <w:p w14:paraId="4DB7B50C" w14:textId="77777777" w:rsidR="004C10B9" w:rsidRPr="00200C3D" w:rsidRDefault="004C10B9" w:rsidP="001F2AC4">
            <w:pPr>
              <w:rPr>
                <w:rFonts w:cs="Times New Roman"/>
                <w:sz w:val="20"/>
                <w:szCs w:val="20"/>
              </w:rPr>
            </w:pPr>
          </w:p>
          <w:p w14:paraId="3EB2D818" w14:textId="6795CBAE" w:rsidR="008B0057" w:rsidRPr="00200C3D" w:rsidRDefault="004C10B9" w:rsidP="008B0057">
            <w:pPr>
              <w:rPr>
                <w:rFonts w:cs="Times New Roman"/>
                <w:sz w:val="20"/>
                <w:szCs w:val="20"/>
              </w:rPr>
            </w:pPr>
            <w:r w:rsidRPr="00200C3D">
              <w:rPr>
                <w:rFonts w:cs="Times New Roman"/>
                <w:sz w:val="20"/>
                <w:szCs w:val="20"/>
              </w:rPr>
              <w:t>Improve gender-disaggregated data collection in STEM fields</w:t>
            </w:r>
            <w:r w:rsidR="008B0057">
              <w:rPr>
                <w:rFonts w:cs="Times New Roman"/>
                <w:sz w:val="20"/>
                <w:szCs w:val="20"/>
              </w:rPr>
              <w:t xml:space="preserve"> / </w:t>
            </w:r>
            <w:r w:rsidR="00FA23E1">
              <w:rPr>
                <w:rFonts w:cs="Times New Roman"/>
                <w:sz w:val="20"/>
                <w:szCs w:val="20"/>
              </w:rPr>
              <w:t>Assess barriers for women to</w:t>
            </w:r>
            <w:r w:rsidR="008B0057" w:rsidRPr="00200C3D">
              <w:rPr>
                <w:rFonts w:cs="Times New Roman"/>
                <w:sz w:val="20"/>
                <w:szCs w:val="20"/>
              </w:rPr>
              <w:t xml:space="preserve"> entering STEM occupations</w:t>
            </w:r>
          </w:p>
          <w:p w14:paraId="7E7709FE" w14:textId="1AA17283" w:rsidR="004C10B9" w:rsidRPr="00200C3D" w:rsidRDefault="004C10B9" w:rsidP="004C10B9">
            <w:pPr>
              <w:rPr>
                <w:rFonts w:cs="Times New Roman"/>
                <w:sz w:val="20"/>
                <w:szCs w:val="20"/>
              </w:rPr>
            </w:pPr>
          </w:p>
          <w:p w14:paraId="6D7A4D6F" w14:textId="77777777" w:rsidR="00DE34C3" w:rsidRPr="00200C3D" w:rsidRDefault="00DE34C3" w:rsidP="001F2AC4">
            <w:pPr>
              <w:rPr>
                <w:rFonts w:cs="Times New Roman"/>
                <w:sz w:val="20"/>
                <w:szCs w:val="20"/>
              </w:rPr>
            </w:pPr>
          </w:p>
          <w:p w14:paraId="39528EAF" w14:textId="694A23FD" w:rsidR="00DE34C3" w:rsidRPr="00200C3D" w:rsidRDefault="00DE34C3" w:rsidP="001F2AC4">
            <w:pPr>
              <w:rPr>
                <w:rFonts w:cs="Times New Roman"/>
                <w:sz w:val="20"/>
                <w:szCs w:val="20"/>
              </w:rPr>
            </w:pPr>
          </w:p>
        </w:tc>
        <w:tc>
          <w:tcPr>
            <w:tcW w:w="1710" w:type="dxa"/>
          </w:tcPr>
          <w:p w14:paraId="2F3895C9" w14:textId="5C539F8A" w:rsidR="00DE34C3" w:rsidRPr="00200C3D" w:rsidRDefault="00DE34C3" w:rsidP="00CC0A65">
            <w:pPr>
              <w:rPr>
                <w:rFonts w:cs="Times New Roman"/>
                <w:sz w:val="20"/>
                <w:szCs w:val="20"/>
              </w:rPr>
            </w:pPr>
            <w:r w:rsidRPr="00200C3D">
              <w:rPr>
                <w:rFonts w:cs="Times New Roman"/>
                <w:sz w:val="20"/>
                <w:szCs w:val="20"/>
              </w:rPr>
              <w:t>Skills and Jobs Project (pipeline) and/or related TA</w:t>
            </w:r>
          </w:p>
          <w:p w14:paraId="28D6FB11" w14:textId="77777777" w:rsidR="00DE34C3" w:rsidRPr="00200C3D" w:rsidRDefault="00DE34C3" w:rsidP="00D57BD0">
            <w:pPr>
              <w:rPr>
                <w:rFonts w:cs="Times New Roman"/>
                <w:sz w:val="20"/>
                <w:szCs w:val="20"/>
              </w:rPr>
            </w:pPr>
          </w:p>
          <w:p w14:paraId="40E7458C" w14:textId="78B3B962" w:rsidR="00DE34C3" w:rsidRPr="00200C3D" w:rsidRDefault="008B0057" w:rsidP="009D60F6">
            <w:pPr>
              <w:rPr>
                <w:rFonts w:cs="Times New Roman"/>
                <w:sz w:val="20"/>
                <w:szCs w:val="20"/>
              </w:rPr>
            </w:pPr>
            <w:r>
              <w:rPr>
                <w:rFonts w:cs="Times New Roman"/>
                <w:sz w:val="20"/>
                <w:szCs w:val="20"/>
              </w:rPr>
              <w:t>Pending resources and agreement of counterparts</w:t>
            </w:r>
          </w:p>
        </w:tc>
        <w:tc>
          <w:tcPr>
            <w:tcW w:w="3330" w:type="dxa"/>
          </w:tcPr>
          <w:p w14:paraId="0363D990" w14:textId="77330F41" w:rsidR="00DE34C3" w:rsidRPr="00200C3D" w:rsidRDefault="00DE34C3" w:rsidP="00D57BD0">
            <w:pPr>
              <w:rPr>
                <w:rFonts w:cs="Times New Roman"/>
                <w:sz w:val="20"/>
                <w:szCs w:val="20"/>
              </w:rPr>
            </w:pPr>
            <w:r w:rsidRPr="00200C3D">
              <w:rPr>
                <w:rFonts w:cs="Times New Roman"/>
                <w:sz w:val="20"/>
                <w:szCs w:val="20"/>
              </w:rPr>
              <w:t>Recommendations presented to Min of Education to increase incentives for women in STEM</w:t>
            </w:r>
          </w:p>
          <w:p w14:paraId="289E2AA7" w14:textId="77777777" w:rsidR="00DE34C3" w:rsidRPr="00200C3D" w:rsidRDefault="00DE34C3" w:rsidP="00D57BD0">
            <w:pPr>
              <w:rPr>
                <w:rFonts w:cs="Times New Roman"/>
                <w:sz w:val="20"/>
                <w:szCs w:val="20"/>
              </w:rPr>
            </w:pPr>
          </w:p>
          <w:p w14:paraId="56D70B21" w14:textId="77777777" w:rsidR="00DE34C3" w:rsidRPr="00200C3D" w:rsidRDefault="00DE34C3" w:rsidP="00D57BD0">
            <w:pPr>
              <w:rPr>
                <w:rFonts w:cs="Times New Roman"/>
                <w:sz w:val="20"/>
                <w:szCs w:val="20"/>
              </w:rPr>
            </w:pPr>
            <w:r w:rsidRPr="00200C3D">
              <w:rPr>
                <w:rFonts w:cs="Times New Roman"/>
                <w:sz w:val="20"/>
                <w:szCs w:val="20"/>
              </w:rPr>
              <w:t xml:space="preserve">Gender-disaggregated statistics on youth entering STEM professional education/jobs conducted annually </w:t>
            </w:r>
          </w:p>
        </w:tc>
      </w:tr>
      <w:tr w:rsidR="009730F0" w:rsidRPr="00200C3D" w14:paraId="00AF7DDF" w14:textId="77777777" w:rsidTr="008E6B71">
        <w:trPr>
          <w:trHeight w:val="2819"/>
        </w:trPr>
        <w:tc>
          <w:tcPr>
            <w:tcW w:w="2155" w:type="dxa"/>
            <w:vMerge/>
          </w:tcPr>
          <w:p w14:paraId="1D1821A5" w14:textId="1BA97969" w:rsidR="009730F0" w:rsidRPr="00200C3D" w:rsidRDefault="009730F0" w:rsidP="00D57BD0">
            <w:pPr>
              <w:rPr>
                <w:rFonts w:cs="Times New Roman"/>
                <w:sz w:val="20"/>
                <w:szCs w:val="20"/>
              </w:rPr>
            </w:pPr>
          </w:p>
        </w:tc>
        <w:tc>
          <w:tcPr>
            <w:tcW w:w="2250" w:type="dxa"/>
            <w:vMerge/>
          </w:tcPr>
          <w:p w14:paraId="41CF6685" w14:textId="77777777" w:rsidR="009730F0" w:rsidRPr="00200C3D" w:rsidRDefault="009730F0" w:rsidP="00D57BD0">
            <w:pPr>
              <w:rPr>
                <w:rFonts w:cs="Times New Roman"/>
                <w:sz w:val="20"/>
                <w:szCs w:val="20"/>
              </w:rPr>
            </w:pPr>
          </w:p>
        </w:tc>
        <w:tc>
          <w:tcPr>
            <w:tcW w:w="4140" w:type="dxa"/>
          </w:tcPr>
          <w:p w14:paraId="00E32F99" w14:textId="0C94DC9F" w:rsidR="009730F0" w:rsidRPr="00200C3D" w:rsidRDefault="00FA23E1" w:rsidP="00D57BD0">
            <w:pPr>
              <w:rPr>
                <w:rFonts w:cs="Times New Roman"/>
                <w:sz w:val="20"/>
                <w:szCs w:val="20"/>
              </w:rPr>
            </w:pPr>
            <w:r>
              <w:rPr>
                <w:rFonts w:cs="Times New Roman"/>
                <w:sz w:val="20"/>
                <w:szCs w:val="20"/>
              </w:rPr>
              <w:t>Assess</w:t>
            </w:r>
            <w:r w:rsidR="009730F0" w:rsidRPr="00200C3D">
              <w:rPr>
                <w:rFonts w:cs="Times New Roman"/>
                <w:sz w:val="20"/>
                <w:szCs w:val="20"/>
              </w:rPr>
              <w:t xml:space="preserve"> norms and behaviors that drive hiring decisions in selected sectors</w:t>
            </w:r>
          </w:p>
          <w:p w14:paraId="400D3D33" w14:textId="77777777" w:rsidR="009730F0" w:rsidRPr="00200C3D" w:rsidRDefault="009730F0" w:rsidP="00D57BD0">
            <w:pPr>
              <w:rPr>
                <w:rFonts w:cs="Times New Roman"/>
                <w:sz w:val="20"/>
                <w:szCs w:val="20"/>
              </w:rPr>
            </w:pPr>
          </w:p>
          <w:p w14:paraId="5B35E6C3" w14:textId="77777777" w:rsidR="009730F0" w:rsidRPr="00200C3D" w:rsidRDefault="009730F0" w:rsidP="00DE34C3">
            <w:pPr>
              <w:rPr>
                <w:rFonts w:cs="Times New Roman"/>
                <w:sz w:val="20"/>
                <w:szCs w:val="20"/>
              </w:rPr>
            </w:pPr>
          </w:p>
          <w:p w14:paraId="596FE23A" w14:textId="3DE2A553" w:rsidR="009730F0" w:rsidRPr="00200C3D" w:rsidRDefault="009730F0" w:rsidP="00AB7353">
            <w:pPr>
              <w:rPr>
                <w:rFonts w:cs="Times New Roman"/>
                <w:sz w:val="20"/>
                <w:szCs w:val="20"/>
              </w:rPr>
            </w:pPr>
            <w:r w:rsidRPr="00200C3D">
              <w:rPr>
                <w:rFonts w:cs="Times New Roman"/>
                <w:sz w:val="20"/>
                <w:szCs w:val="20"/>
              </w:rPr>
              <w:t xml:space="preserve">Soft skills training for women incorporated in vocational / active labor market </w:t>
            </w:r>
            <w:r w:rsidRPr="0039001D">
              <w:rPr>
                <w:rFonts w:cs="Times New Roman"/>
                <w:sz w:val="20"/>
                <w:szCs w:val="20"/>
              </w:rPr>
              <w:t>programs</w:t>
            </w:r>
          </w:p>
        </w:tc>
        <w:tc>
          <w:tcPr>
            <w:tcW w:w="1710" w:type="dxa"/>
          </w:tcPr>
          <w:p w14:paraId="345E0B5A" w14:textId="44580102" w:rsidR="009730F0" w:rsidRDefault="009730F0" w:rsidP="00D57BD0">
            <w:pPr>
              <w:rPr>
                <w:rFonts w:cs="Times New Roman"/>
                <w:sz w:val="20"/>
                <w:szCs w:val="20"/>
              </w:rPr>
            </w:pPr>
            <w:r>
              <w:rPr>
                <w:rFonts w:cs="Times New Roman"/>
                <w:sz w:val="20"/>
                <w:szCs w:val="20"/>
              </w:rPr>
              <w:t>SP&amp;L ASA FY18</w:t>
            </w:r>
          </w:p>
          <w:p w14:paraId="16E658D6" w14:textId="77777777" w:rsidR="009730F0" w:rsidRDefault="009730F0" w:rsidP="00D57BD0">
            <w:pPr>
              <w:rPr>
                <w:rFonts w:cs="Times New Roman"/>
                <w:sz w:val="20"/>
                <w:szCs w:val="20"/>
              </w:rPr>
            </w:pPr>
          </w:p>
          <w:p w14:paraId="1DEAB4C1" w14:textId="77777777" w:rsidR="009730F0" w:rsidRDefault="009730F0" w:rsidP="00D57BD0">
            <w:pPr>
              <w:rPr>
                <w:rFonts w:cs="Times New Roman"/>
                <w:sz w:val="20"/>
                <w:szCs w:val="20"/>
              </w:rPr>
            </w:pPr>
          </w:p>
          <w:p w14:paraId="50250DA1" w14:textId="77777777" w:rsidR="009730F0" w:rsidRDefault="009730F0" w:rsidP="00D57BD0">
            <w:pPr>
              <w:rPr>
                <w:rFonts w:cs="Times New Roman"/>
                <w:sz w:val="20"/>
                <w:szCs w:val="20"/>
              </w:rPr>
            </w:pPr>
            <w:r>
              <w:rPr>
                <w:rFonts w:cs="Times New Roman"/>
                <w:sz w:val="20"/>
                <w:szCs w:val="20"/>
              </w:rPr>
              <w:t>Pending  resources</w:t>
            </w:r>
          </w:p>
          <w:p w14:paraId="3888B833" w14:textId="77777777" w:rsidR="009730F0" w:rsidRDefault="009730F0" w:rsidP="00D57BD0">
            <w:pPr>
              <w:rPr>
                <w:rFonts w:cs="Times New Roman"/>
                <w:sz w:val="20"/>
                <w:szCs w:val="20"/>
              </w:rPr>
            </w:pPr>
          </w:p>
          <w:p w14:paraId="3446B099" w14:textId="77777777" w:rsidR="009730F0" w:rsidRPr="00200C3D" w:rsidRDefault="009730F0" w:rsidP="00794E72">
            <w:pPr>
              <w:rPr>
                <w:rFonts w:cs="Times New Roman"/>
                <w:sz w:val="20"/>
                <w:szCs w:val="20"/>
              </w:rPr>
            </w:pPr>
          </w:p>
        </w:tc>
        <w:tc>
          <w:tcPr>
            <w:tcW w:w="3330" w:type="dxa"/>
          </w:tcPr>
          <w:p w14:paraId="68AC499F" w14:textId="115C2122" w:rsidR="009730F0" w:rsidRDefault="009730F0" w:rsidP="0099735B">
            <w:pPr>
              <w:rPr>
                <w:rFonts w:cs="Times New Roman"/>
                <w:sz w:val="20"/>
                <w:szCs w:val="20"/>
              </w:rPr>
            </w:pPr>
            <w:r>
              <w:rPr>
                <w:rFonts w:cs="Times New Roman"/>
                <w:sz w:val="20"/>
                <w:szCs w:val="20"/>
              </w:rPr>
              <w:t>Research results on roots of occupational segregation presented to Government</w:t>
            </w:r>
          </w:p>
          <w:p w14:paraId="34914A34" w14:textId="77777777" w:rsidR="009730F0" w:rsidRDefault="009730F0" w:rsidP="0099735B">
            <w:pPr>
              <w:rPr>
                <w:rFonts w:cs="Times New Roman"/>
                <w:sz w:val="20"/>
                <w:szCs w:val="20"/>
              </w:rPr>
            </w:pPr>
          </w:p>
          <w:p w14:paraId="41BB4559" w14:textId="77777777" w:rsidR="009730F0" w:rsidRPr="00200C3D" w:rsidRDefault="009730F0" w:rsidP="0099735B">
            <w:pPr>
              <w:rPr>
                <w:rFonts w:cs="Times New Roman"/>
                <w:sz w:val="20"/>
                <w:szCs w:val="20"/>
              </w:rPr>
            </w:pPr>
          </w:p>
          <w:p w14:paraId="390E9D26" w14:textId="0E243BBA" w:rsidR="009730F0" w:rsidRPr="00200C3D" w:rsidRDefault="009730F0" w:rsidP="0099735B">
            <w:pPr>
              <w:rPr>
                <w:rFonts w:cs="Times New Roman"/>
                <w:sz w:val="20"/>
                <w:szCs w:val="20"/>
              </w:rPr>
            </w:pPr>
          </w:p>
        </w:tc>
      </w:tr>
      <w:tr w:rsidR="00A043D6" w:rsidRPr="00200C3D" w14:paraId="2E7B8A02" w14:textId="77777777" w:rsidTr="00E53A9A">
        <w:trPr>
          <w:trHeight w:val="1475"/>
        </w:trPr>
        <w:tc>
          <w:tcPr>
            <w:tcW w:w="2155" w:type="dxa"/>
            <w:vMerge w:val="restart"/>
          </w:tcPr>
          <w:p w14:paraId="45B07B8E" w14:textId="77777777" w:rsidR="00A043D6" w:rsidRPr="00200C3D" w:rsidRDefault="00A043D6" w:rsidP="00D57BD0">
            <w:pPr>
              <w:rPr>
                <w:rFonts w:cs="Times New Roman"/>
                <w:sz w:val="20"/>
                <w:szCs w:val="20"/>
              </w:rPr>
            </w:pPr>
            <w:r w:rsidRPr="00200C3D">
              <w:rPr>
                <w:rFonts w:cs="Times New Roman"/>
                <w:sz w:val="20"/>
                <w:szCs w:val="20"/>
              </w:rPr>
              <w:t>Discrepancies in labor force participation</w:t>
            </w:r>
          </w:p>
          <w:p w14:paraId="1E80D4A0" w14:textId="48874085" w:rsidR="00A043D6" w:rsidRPr="00200C3D" w:rsidRDefault="00A043D6" w:rsidP="00443854">
            <w:pPr>
              <w:pStyle w:val="ListParagraph"/>
              <w:numPr>
                <w:ilvl w:val="0"/>
                <w:numId w:val="5"/>
              </w:numPr>
              <w:rPr>
                <w:rFonts w:cs="Times New Roman"/>
                <w:sz w:val="20"/>
                <w:szCs w:val="20"/>
              </w:rPr>
            </w:pPr>
            <w:r w:rsidRPr="00200C3D">
              <w:rPr>
                <w:rFonts w:cs="Times New Roman"/>
                <w:sz w:val="20"/>
                <w:szCs w:val="20"/>
              </w:rPr>
              <w:t>Women delay longer their entry into LF and take longer breaks from LF</w:t>
            </w:r>
          </w:p>
          <w:p w14:paraId="4F69B007" w14:textId="77777777" w:rsidR="00A043D6" w:rsidRPr="00200C3D" w:rsidRDefault="00A043D6" w:rsidP="00443854">
            <w:pPr>
              <w:pStyle w:val="ListParagraph"/>
              <w:numPr>
                <w:ilvl w:val="0"/>
                <w:numId w:val="5"/>
              </w:numPr>
              <w:rPr>
                <w:rFonts w:cs="Times New Roman"/>
                <w:sz w:val="20"/>
                <w:szCs w:val="20"/>
              </w:rPr>
            </w:pPr>
            <w:r w:rsidRPr="00200C3D">
              <w:rPr>
                <w:rFonts w:cs="Times New Roman"/>
                <w:sz w:val="20"/>
                <w:szCs w:val="20"/>
              </w:rPr>
              <w:t>Significant difference in occupation rates between women with and without children</w:t>
            </w:r>
          </w:p>
          <w:p w14:paraId="2492D556" w14:textId="77777777" w:rsidR="00A043D6" w:rsidRPr="00200C3D" w:rsidRDefault="00A043D6" w:rsidP="00D57BD0">
            <w:pPr>
              <w:rPr>
                <w:rFonts w:cs="Times New Roman"/>
                <w:sz w:val="20"/>
                <w:szCs w:val="20"/>
              </w:rPr>
            </w:pPr>
          </w:p>
          <w:p w14:paraId="78E87B50" w14:textId="77777777" w:rsidR="00A043D6" w:rsidRPr="00200C3D" w:rsidRDefault="00A043D6" w:rsidP="00D57BD0">
            <w:pPr>
              <w:rPr>
                <w:rFonts w:cs="Times New Roman"/>
                <w:sz w:val="20"/>
                <w:szCs w:val="20"/>
              </w:rPr>
            </w:pPr>
          </w:p>
        </w:tc>
        <w:tc>
          <w:tcPr>
            <w:tcW w:w="2250" w:type="dxa"/>
            <w:vMerge w:val="restart"/>
          </w:tcPr>
          <w:p w14:paraId="07F80DE2" w14:textId="77777777" w:rsidR="00A043D6" w:rsidRPr="00200C3D" w:rsidRDefault="00A043D6" w:rsidP="00D57BD0">
            <w:pPr>
              <w:rPr>
                <w:rFonts w:cs="Times New Roman"/>
                <w:sz w:val="20"/>
                <w:szCs w:val="20"/>
              </w:rPr>
            </w:pPr>
            <w:r w:rsidRPr="00200C3D">
              <w:rPr>
                <w:rFonts w:cs="Times New Roman"/>
                <w:sz w:val="20"/>
                <w:szCs w:val="20"/>
              </w:rPr>
              <w:t xml:space="preserve">Employer bias (‘hidden discrimination’) in hiring young women due to restrictive maternity leave policies </w:t>
            </w:r>
          </w:p>
          <w:p w14:paraId="18B3FF9C" w14:textId="77777777" w:rsidR="00A043D6" w:rsidRPr="00200C3D" w:rsidRDefault="00A043D6" w:rsidP="00D57BD0">
            <w:pPr>
              <w:rPr>
                <w:rFonts w:cs="Times New Roman"/>
                <w:sz w:val="20"/>
                <w:szCs w:val="20"/>
              </w:rPr>
            </w:pPr>
          </w:p>
          <w:p w14:paraId="09CFB7A8" w14:textId="4C61CB01" w:rsidR="00A043D6" w:rsidRPr="00200C3D" w:rsidRDefault="00A043D6" w:rsidP="00D57BD0">
            <w:pPr>
              <w:rPr>
                <w:rFonts w:cs="Times New Roman"/>
                <w:sz w:val="20"/>
                <w:szCs w:val="20"/>
              </w:rPr>
            </w:pPr>
            <w:r w:rsidRPr="00200C3D">
              <w:rPr>
                <w:rFonts w:cs="Times New Roman"/>
                <w:sz w:val="20"/>
                <w:szCs w:val="20"/>
              </w:rPr>
              <w:t xml:space="preserve">Restricted childcare options until age of 3 partly due to obsolete and restrictive regulations </w:t>
            </w:r>
          </w:p>
        </w:tc>
        <w:tc>
          <w:tcPr>
            <w:tcW w:w="4140" w:type="dxa"/>
          </w:tcPr>
          <w:p w14:paraId="13932628" w14:textId="46A8D598" w:rsidR="00A043D6" w:rsidRDefault="00A043D6" w:rsidP="00D57BD0">
            <w:pPr>
              <w:rPr>
                <w:rFonts w:cs="Times New Roman"/>
                <w:sz w:val="20"/>
                <w:szCs w:val="20"/>
              </w:rPr>
            </w:pPr>
            <w:r w:rsidRPr="00200C3D">
              <w:rPr>
                <w:rFonts w:cs="Times New Roman"/>
                <w:sz w:val="20"/>
                <w:szCs w:val="20"/>
              </w:rPr>
              <w:t xml:space="preserve">Design and deliver training module for </w:t>
            </w:r>
            <w:r w:rsidR="00FA23E1">
              <w:rPr>
                <w:rFonts w:cs="Times New Roman"/>
                <w:sz w:val="20"/>
                <w:szCs w:val="20"/>
              </w:rPr>
              <w:t>National E</w:t>
            </w:r>
            <w:r w:rsidRPr="00200C3D">
              <w:rPr>
                <w:rFonts w:cs="Times New Roman"/>
                <w:sz w:val="20"/>
                <w:szCs w:val="20"/>
              </w:rPr>
              <w:t xml:space="preserve">mployment </w:t>
            </w:r>
            <w:r w:rsidR="00FA23E1">
              <w:rPr>
                <w:rFonts w:cs="Times New Roman"/>
                <w:sz w:val="20"/>
                <w:szCs w:val="20"/>
              </w:rPr>
              <w:t>A</w:t>
            </w:r>
            <w:r w:rsidRPr="00200C3D">
              <w:rPr>
                <w:rFonts w:cs="Times New Roman"/>
                <w:sz w:val="20"/>
                <w:szCs w:val="20"/>
              </w:rPr>
              <w:t xml:space="preserve">gency </w:t>
            </w:r>
            <w:r w:rsidR="00FA23E1">
              <w:rPr>
                <w:rFonts w:cs="Times New Roman"/>
                <w:sz w:val="20"/>
                <w:szCs w:val="20"/>
              </w:rPr>
              <w:t>/</w:t>
            </w:r>
            <w:r w:rsidRPr="00200C3D">
              <w:rPr>
                <w:rFonts w:cs="Times New Roman"/>
                <w:sz w:val="20"/>
                <w:szCs w:val="20"/>
              </w:rPr>
              <w:t>HR professionals to strengthen implementation of Labor Code provisions on reducing gender bias</w:t>
            </w:r>
          </w:p>
          <w:p w14:paraId="7F0DCDC8" w14:textId="77777777" w:rsidR="00FA23E1" w:rsidRDefault="00FA23E1" w:rsidP="00D57BD0">
            <w:pPr>
              <w:rPr>
                <w:rFonts w:cs="Times New Roman"/>
                <w:sz w:val="20"/>
                <w:szCs w:val="20"/>
              </w:rPr>
            </w:pPr>
          </w:p>
          <w:p w14:paraId="3F79B343" w14:textId="77777777" w:rsidR="00FA23E1" w:rsidRPr="00200C3D" w:rsidRDefault="00FA23E1" w:rsidP="00FA23E1">
            <w:pPr>
              <w:rPr>
                <w:rFonts w:cs="Times New Roman"/>
                <w:sz w:val="20"/>
                <w:szCs w:val="20"/>
              </w:rPr>
            </w:pPr>
            <w:r w:rsidRPr="00200C3D">
              <w:rPr>
                <w:rFonts w:cs="Times New Roman"/>
                <w:sz w:val="20"/>
                <w:szCs w:val="20"/>
              </w:rPr>
              <w:t>Introduce guidelines / pilot training for removing gender bias in hiring processes</w:t>
            </w:r>
          </w:p>
          <w:p w14:paraId="4F9C6FCC" w14:textId="77777777" w:rsidR="00FA23E1" w:rsidRPr="00200C3D" w:rsidRDefault="00FA23E1" w:rsidP="00D57BD0">
            <w:pPr>
              <w:rPr>
                <w:rFonts w:cs="Times New Roman"/>
                <w:sz w:val="20"/>
                <w:szCs w:val="20"/>
              </w:rPr>
            </w:pPr>
          </w:p>
          <w:p w14:paraId="0F2B851B" w14:textId="77777777" w:rsidR="00A043D6" w:rsidRPr="00200C3D" w:rsidRDefault="00A043D6" w:rsidP="00D57BD0">
            <w:pPr>
              <w:rPr>
                <w:rFonts w:cs="Times New Roman"/>
                <w:sz w:val="20"/>
                <w:szCs w:val="20"/>
              </w:rPr>
            </w:pPr>
          </w:p>
          <w:p w14:paraId="692826E2" w14:textId="77777777" w:rsidR="00A043D6" w:rsidRPr="00200C3D" w:rsidRDefault="00A043D6" w:rsidP="00D57BD0">
            <w:pPr>
              <w:rPr>
                <w:rFonts w:cs="Times New Roman"/>
                <w:sz w:val="20"/>
                <w:szCs w:val="20"/>
              </w:rPr>
            </w:pPr>
          </w:p>
        </w:tc>
        <w:tc>
          <w:tcPr>
            <w:tcW w:w="1710" w:type="dxa"/>
          </w:tcPr>
          <w:p w14:paraId="4053D3B7" w14:textId="77777777" w:rsidR="00A043D6" w:rsidRPr="00200C3D" w:rsidRDefault="00A043D6" w:rsidP="00D57BD0">
            <w:pPr>
              <w:rPr>
                <w:rFonts w:cs="Times New Roman"/>
                <w:sz w:val="20"/>
                <w:szCs w:val="20"/>
              </w:rPr>
            </w:pPr>
            <w:r w:rsidRPr="00200C3D">
              <w:rPr>
                <w:rFonts w:cs="Times New Roman"/>
                <w:sz w:val="20"/>
                <w:szCs w:val="20"/>
              </w:rPr>
              <w:t>Skills and Jobs Project (pipeline)</w:t>
            </w:r>
          </w:p>
          <w:p w14:paraId="6AEDF662" w14:textId="77777777" w:rsidR="00A043D6" w:rsidRPr="00200C3D" w:rsidRDefault="00A043D6" w:rsidP="00D57BD0">
            <w:pPr>
              <w:rPr>
                <w:rFonts w:cs="Times New Roman"/>
                <w:sz w:val="20"/>
                <w:szCs w:val="20"/>
              </w:rPr>
            </w:pPr>
          </w:p>
          <w:p w14:paraId="10A01A93" w14:textId="77777777" w:rsidR="00A043D6" w:rsidRPr="00200C3D" w:rsidRDefault="00A043D6" w:rsidP="00D57BD0">
            <w:pPr>
              <w:rPr>
                <w:rFonts w:cs="Times New Roman"/>
                <w:sz w:val="20"/>
                <w:szCs w:val="20"/>
              </w:rPr>
            </w:pPr>
          </w:p>
        </w:tc>
        <w:tc>
          <w:tcPr>
            <w:tcW w:w="3330" w:type="dxa"/>
          </w:tcPr>
          <w:p w14:paraId="197FF1D0" w14:textId="77777777" w:rsidR="00A043D6" w:rsidRPr="00200C3D" w:rsidRDefault="00A043D6" w:rsidP="00D57BD0">
            <w:pPr>
              <w:rPr>
                <w:rFonts w:cs="Times New Roman"/>
                <w:sz w:val="20"/>
                <w:szCs w:val="20"/>
              </w:rPr>
            </w:pPr>
            <w:r w:rsidRPr="00200C3D">
              <w:rPr>
                <w:rFonts w:cs="Times New Roman"/>
                <w:sz w:val="20"/>
                <w:szCs w:val="20"/>
              </w:rPr>
              <w:t>Training module designed and delivered on inclusive labor/HR practices</w:t>
            </w:r>
          </w:p>
          <w:p w14:paraId="5C6C728E" w14:textId="77777777" w:rsidR="00A043D6" w:rsidRPr="00200C3D" w:rsidRDefault="00A043D6" w:rsidP="00D57BD0">
            <w:pPr>
              <w:rPr>
                <w:rFonts w:cs="Times New Roman"/>
                <w:sz w:val="20"/>
                <w:szCs w:val="20"/>
              </w:rPr>
            </w:pPr>
          </w:p>
          <w:p w14:paraId="7483EEB6" w14:textId="77777777" w:rsidR="00FA23E1" w:rsidRPr="00200C3D" w:rsidRDefault="00FA23E1" w:rsidP="00FA23E1">
            <w:pPr>
              <w:rPr>
                <w:rFonts w:cs="Times New Roman"/>
                <w:sz w:val="20"/>
                <w:szCs w:val="20"/>
              </w:rPr>
            </w:pPr>
            <w:r w:rsidRPr="00200C3D">
              <w:rPr>
                <w:rFonts w:cs="Times New Roman"/>
                <w:sz w:val="20"/>
                <w:szCs w:val="20"/>
              </w:rPr>
              <w:t>Guidelines prepared and presented</w:t>
            </w:r>
          </w:p>
          <w:p w14:paraId="5572C1A4" w14:textId="25E9AD0A" w:rsidR="00A043D6" w:rsidRPr="00200C3D" w:rsidRDefault="00A043D6" w:rsidP="00D57BD0">
            <w:pPr>
              <w:rPr>
                <w:rFonts w:cs="Times New Roman"/>
                <w:sz w:val="20"/>
                <w:szCs w:val="20"/>
              </w:rPr>
            </w:pPr>
          </w:p>
        </w:tc>
      </w:tr>
      <w:tr w:rsidR="000E4D21" w:rsidRPr="00200C3D" w14:paraId="3C880751" w14:textId="77777777" w:rsidTr="006D248B">
        <w:trPr>
          <w:trHeight w:val="2930"/>
        </w:trPr>
        <w:tc>
          <w:tcPr>
            <w:tcW w:w="2155" w:type="dxa"/>
            <w:vMerge/>
          </w:tcPr>
          <w:p w14:paraId="1825C64C" w14:textId="77777777" w:rsidR="000E4D21" w:rsidRPr="00200C3D" w:rsidRDefault="000E4D21" w:rsidP="00D57BD0">
            <w:pPr>
              <w:rPr>
                <w:rFonts w:cs="Times New Roman"/>
                <w:sz w:val="20"/>
                <w:szCs w:val="20"/>
              </w:rPr>
            </w:pPr>
          </w:p>
        </w:tc>
        <w:tc>
          <w:tcPr>
            <w:tcW w:w="2250" w:type="dxa"/>
            <w:vMerge/>
          </w:tcPr>
          <w:p w14:paraId="7C350FCC" w14:textId="77777777" w:rsidR="000E4D21" w:rsidRPr="00200C3D" w:rsidRDefault="000E4D21" w:rsidP="00D57BD0">
            <w:pPr>
              <w:rPr>
                <w:rFonts w:cs="Times New Roman"/>
                <w:sz w:val="20"/>
                <w:szCs w:val="20"/>
              </w:rPr>
            </w:pPr>
          </w:p>
        </w:tc>
        <w:tc>
          <w:tcPr>
            <w:tcW w:w="4140" w:type="dxa"/>
          </w:tcPr>
          <w:p w14:paraId="4FE3795A" w14:textId="77777777" w:rsidR="000E4D21" w:rsidRPr="00200C3D" w:rsidRDefault="000E4D21" w:rsidP="00827369">
            <w:pPr>
              <w:rPr>
                <w:rFonts w:cs="Times New Roman"/>
                <w:sz w:val="20"/>
                <w:szCs w:val="20"/>
              </w:rPr>
            </w:pPr>
            <w:r w:rsidRPr="00200C3D">
              <w:rPr>
                <w:rFonts w:cs="Times New Roman"/>
                <w:sz w:val="20"/>
                <w:szCs w:val="20"/>
              </w:rPr>
              <w:t>Propose secondary legislation to implement gender equality provisions as per the Labor Code (equal pay standards, gender equality standards in job advertising, hiring, promotion, etc.)</w:t>
            </w:r>
          </w:p>
          <w:p w14:paraId="64B34DC8" w14:textId="77777777" w:rsidR="000E4D21" w:rsidRPr="00200C3D" w:rsidRDefault="000E4D21" w:rsidP="00827369">
            <w:pPr>
              <w:rPr>
                <w:rFonts w:cs="Times New Roman"/>
                <w:sz w:val="20"/>
                <w:szCs w:val="20"/>
              </w:rPr>
            </w:pPr>
          </w:p>
          <w:p w14:paraId="3E1C74B7" w14:textId="4DBBD490" w:rsidR="000E4D21" w:rsidRPr="00200C3D" w:rsidRDefault="000E4D21" w:rsidP="00827369">
            <w:pPr>
              <w:rPr>
                <w:rFonts w:cs="Times New Roman"/>
                <w:sz w:val="20"/>
                <w:szCs w:val="20"/>
              </w:rPr>
            </w:pPr>
            <w:r w:rsidRPr="00200C3D">
              <w:rPr>
                <w:rFonts w:cs="Times New Roman"/>
                <w:sz w:val="20"/>
                <w:szCs w:val="20"/>
              </w:rPr>
              <w:t>Reform childcare policies to introduce more flexible options for childcare services (can boost women’s employment as potential workers/entrepreneurs in childcare services, and their flexibility to take employment)</w:t>
            </w:r>
          </w:p>
        </w:tc>
        <w:tc>
          <w:tcPr>
            <w:tcW w:w="1710" w:type="dxa"/>
          </w:tcPr>
          <w:p w14:paraId="6F895C33" w14:textId="77777777" w:rsidR="000E4D21" w:rsidRDefault="000E4D21" w:rsidP="00D57BD0">
            <w:pPr>
              <w:rPr>
                <w:rFonts w:cs="Times New Roman"/>
                <w:sz w:val="20"/>
                <w:szCs w:val="20"/>
              </w:rPr>
            </w:pPr>
            <w:r w:rsidRPr="00200C3D">
              <w:rPr>
                <w:rFonts w:cs="Times New Roman"/>
                <w:sz w:val="20"/>
                <w:szCs w:val="20"/>
              </w:rPr>
              <w:t>AA, DPO</w:t>
            </w:r>
          </w:p>
          <w:p w14:paraId="03A3021F" w14:textId="77777777" w:rsidR="000E4D21" w:rsidRDefault="000E4D21" w:rsidP="00D57BD0">
            <w:pPr>
              <w:rPr>
                <w:rFonts w:cs="Times New Roman"/>
                <w:sz w:val="20"/>
                <w:szCs w:val="20"/>
              </w:rPr>
            </w:pPr>
          </w:p>
          <w:p w14:paraId="54AB4001" w14:textId="77777777" w:rsidR="000E4D21" w:rsidRDefault="000E4D21" w:rsidP="00D57BD0">
            <w:pPr>
              <w:rPr>
                <w:rFonts w:cs="Times New Roman"/>
                <w:sz w:val="20"/>
                <w:szCs w:val="20"/>
              </w:rPr>
            </w:pPr>
            <w:r>
              <w:rPr>
                <w:rFonts w:cs="Times New Roman"/>
                <w:sz w:val="20"/>
                <w:szCs w:val="20"/>
              </w:rPr>
              <w:t>Pending resources and counterpart agreement</w:t>
            </w:r>
          </w:p>
          <w:p w14:paraId="043B2B4F" w14:textId="77777777" w:rsidR="000E4D21" w:rsidRDefault="000E4D21" w:rsidP="00D57BD0">
            <w:pPr>
              <w:rPr>
                <w:rFonts w:cs="Times New Roman"/>
                <w:sz w:val="20"/>
                <w:szCs w:val="20"/>
              </w:rPr>
            </w:pPr>
          </w:p>
          <w:p w14:paraId="64B65CFB" w14:textId="1A621CD9" w:rsidR="000E4D21" w:rsidRPr="00200C3D" w:rsidRDefault="000E4D21" w:rsidP="00D57BD0">
            <w:pPr>
              <w:rPr>
                <w:rFonts w:cs="Times New Roman"/>
                <w:sz w:val="20"/>
                <w:szCs w:val="20"/>
              </w:rPr>
            </w:pPr>
            <w:r>
              <w:rPr>
                <w:rFonts w:cs="Times New Roman"/>
                <w:sz w:val="20"/>
                <w:szCs w:val="20"/>
              </w:rPr>
              <w:t>OR ‘advocacy’</w:t>
            </w:r>
          </w:p>
        </w:tc>
        <w:tc>
          <w:tcPr>
            <w:tcW w:w="3330" w:type="dxa"/>
          </w:tcPr>
          <w:p w14:paraId="5198463A" w14:textId="77777777" w:rsidR="000E4D21" w:rsidRPr="00200C3D" w:rsidRDefault="000E4D21" w:rsidP="002B795E">
            <w:pPr>
              <w:rPr>
                <w:rFonts w:cs="Times New Roman"/>
                <w:sz w:val="20"/>
                <w:szCs w:val="20"/>
              </w:rPr>
            </w:pPr>
            <w:r w:rsidRPr="00200C3D">
              <w:rPr>
                <w:rFonts w:cs="Times New Roman"/>
                <w:sz w:val="20"/>
                <w:szCs w:val="20"/>
              </w:rPr>
              <w:t xml:space="preserve">Draft regulations prepared  </w:t>
            </w:r>
          </w:p>
          <w:p w14:paraId="59CB0EB6" w14:textId="77777777" w:rsidR="000E4D21" w:rsidRPr="00200C3D" w:rsidRDefault="000E4D21" w:rsidP="002B795E">
            <w:pPr>
              <w:rPr>
                <w:rFonts w:cs="Times New Roman"/>
                <w:sz w:val="20"/>
                <w:szCs w:val="20"/>
              </w:rPr>
            </w:pPr>
          </w:p>
          <w:p w14:paraId="5E004EAE" w14:textId="77777777" w:rsidR="000E4D21" w:rsidRPr="00200C3D" w:rsidRDefault="000E4D21" w:rsidP="002B795E">
            <w:pPr>
              <w:rPr>
                <w:rFonts w:cs="Times New Roman"/>
                <w:sz w:val="20"/>
                <w:szCs w:val="20"/>
              </w:rPr>
            </w:pPr>
            <w:r w:rsidRPr="00200C3D">
              <w:rPr>
                <w:rFonts w:cs="Times New Roman"/>
                <w:sz w:val="20"/>
                <w:szCs w:val="20"/>
              </w:rPr>
              <w:t>Policy options for childcare reform presented to Government</w:t>
            </w:r>
          </w:p>
          <w:p w14:paraId="3FF531E5" w14:textId="4CD75EFF" w:rsidR="000E4D21" w:rsidRPr="00200C3D" w:rsidRDefault="000E4D21" w:rsidP="002B795E">
            <w:pPr>
              <w:rPr>
                <w:rFonts w:cs="Times New Roman"/>
                <w:sz w:val="20"/>
                <w:szCs w:val="20"/>
              </w:rPr>
            </w:pPr>
            <w:r w:rsidRPr="00200C3D">
              <w:rPr>
                <w:rFonts w:cs="Times New Roman"/>
                <w:sz w:val="20"/>
                <w:szCs w:val="20"/>
              </w:rPr>
              <w:t>Draft regulation prepared/ Consultations concluded / Secondary legislation enacted to introduce more flexible options for childcare services</w:t>
            </w:r>
          </w:p>
        </w:tc>
      </w:tr>
      <w:tr w:rsidR="00CF72CE" w:rsidRPr="00200C3D" w14:paraId="40C209CC" w14:textId="77777777" w:rsidTr="00FD674F">
        <w:trPr>
          <w:trHeight w:val="2960"/>
        </w:trPr>
        <w:tc>
          <w:tcPr>
            <w:tcW w:w="2155" w:type="dxa"/>
            <w:vMerge w:val="restart"/>
          </w:tcPr>
          <w:p w14:paraId="275F3705" w14:textId="48C337A9" w:rsidR="00CF72CE" w:rsidRPr="00200C3D" w:rsidRDefault="00CF72CE" w:rsidP="00D57BD0">
            <w:pPr>
              <w:rPr>
                <w:rFonts w:cs="Times New Roman"/>
                <w:sz w:val="20"/>
                <w:szCs w:val="20"/>
              </w:rPr>
            </w:pPr>
            <w:r w:rsidRPr="00200C3D">
              <w:rPr>
                <w:rFonts w:cs="Times New Roman"/>
                <w:sz w:val="20"/>
                <w:szCs w:val="20"/>
              </w:rPr>
              <w:lastRenderedPageBreak/>
              <w:t>Entrepreneurship</w:t>
            </w:r>
          </w:p>
          <w:p w14:paraId="768CBD6F" w14:textId="0ACE8AC5" w:rsidR="00CF72CE" w:rsidRPr="00200C3D" w:rsidRDefault="00CF72CE" w:rsidP="000138D8">
            <w:pPr>
              <w:pStyle w:val="ListParagraph"/>
              <w:numPr>
                <w:ilvl w:val="0"/>
                <w:numId w:val="5"/>
              </w:numPr>
              <w:rPr>
                <w:rFonts w:cs="Times New Roman"/>
                <w:sz w:val="20"/>
                <w:szCs w:val="20"/>
              </w:rPr>
            </w:pPr>
            <w:r w:rsidRPr="00200C3D">
              <w:rPr>
                <w:rFonts w:cs="Times New Roman"/>
                <w:sz w:val="20"/>
                <w:szCs w:val="20"/>
              </w:rPr>
              <w:t>Women less likely to own a business and to be employers</w:t>
            </w:r>
          </w:p>
        </w:tc>
        <w:tc>
          <w:tcPr>
            <w:tcW w:w="2250" w:type="dxa"/>
            <w:vMerge w:val="restart"/>
          </w:tcPr>
          <w:p w14:paraId="33790E07" w14:textId="77777777" w:rsidR="00CF72CE" w:rsidRPr="00200C3D" w:rsidRDefault="00CF72CE" w:rsidP="00D57BD0">
            <w:pPr>
              <w:rPr>
                <w:rFonts w:cs="Times New Roman"/>
                <w:sz w:val="20"/>
                <w:szCs w:val="20"/>
              </w:rPr>
            </w:pPr>
            <w:r w:rsidRPr="00200C3D">
              <w:rPr>
                <w:rFonts w:cs="Times New Roman"/>
                <w:sz w:val="20"/>
                <w:szCs w:val="20"/>
              </w:rPr>
              <w:t>Traditional gender norms affecting perceptions of women as employers and managers</w:t>
            </w:r>
          </w:p>
          <w:p w14:paraId="3A691061" w14:textId="77777777" w:rsidR="00CF72CE" w:rsidRPr="00200C3D" w:rsidRDefault="00CF72CE" w:rsidP="00D57BD0">
            <w:pPr>
              <w:rPr>
                <w:rFonts w:cs="Times New Roman"/>
                <w:sz w:val="20"/>
                <w:szCs w:val="20"/>
              </w:rPr>
            </w:pPr>
          </w:p>
          <w:p w14:paraId="104C368D" w14:textId="758A9AB7" w:rsidR="00CF72CE" w:rsidRPr="00200C3D" w:rsidRDefault="00CF72CE" w:rsidP="00D57BD0">
            <w:pPr>
              <w:rPr>
                <w:rFonts w:cs="Times New Roman"/>
                <w:sz w:val="20"/>
                <w:szCs w:val="20"/>
              </w:rPr>
            </w:pPr>
            <w:r w:rsidRPr="00200C3D">
              <w:rPr>
                <w:rFonts w:cs="Times New Roman"/>
                <w:sz w:val="20"/>
                <w:szCs w:val="20"/>
              </w:rPr>
              <w:t>Lack of training opportunities to strengthen financial literacy, management, leadership skills among women.</w:t>
            </w:r>
          </w:p>
        </w:tc>
        <w:tc>
          <w:tcPr>
            <w:tcW w:w="4140" w:type="dxa"/>
          </w:tcPr>
          <w:p w14:paraId="6121FA64" w14:textId="77777777" w:rsidR="00CF72CE" w:rsidRPr="00200C3D" w:rsidRDefault="00CF72CE" w:rsidP="00D57BD0">
            <w:pPr>
              <w:rPr>
                <w:rFonts w:cs="Times New Roman"/>
                <w:sz w:val="20"/>
                <w:szCs w:val="20"/>
              </w:rPr>
            </w:pPr>
            <w:r w:rsidRPr="00200C3D">
              <w:rPr>
                <w:rFonts w:cs="Times New Roman"/>
                <w:sz w:val="20"/>
                <w:szCs w:val="20"/>
              </w:rPr>
              <w:t>Conduct national survey to inform the Government’s beginning Women in Business Program</w:t>
            </w:r>
          </w:p>
          <w:p w14:paraId="6F8FC29D" w14:textId="77777777" w:rsidR="00CF72CE" w:rsidRPr="00200C3D" w:rsidRDefault="00CF72CE" w:rsidP="00D57BD0">
            <w:pPr>
              <w:rPr>
                <w:rFonts w:cs="Times New Roman"/>
                <w:sz w:val="20"/>
                <w:szCs w:val="20"/>
              </w:rPr>
            </w:pPr>
          </w:p>
          <w:p w14:paraId="0492F74A" w14:textId="63D3741D" w:rsidR="00CF72CE" w:rsidRDefault="00CF72CE" w:rsidP="00D57BD0">
            <w:pPr>
              <w:rPr>
                <w:rFonts w:cs="Times New Roman"/>
                <w:sz w:val="20"/>
                <w:szCs w:val="20"/>
              </w:rPr>
            </w:pPr>
          </w:p>
          <w:p w14:paraId="3E5C9BD9" w14:textId="0C053DC9" w:rsidR="00CF72CE" w:rsidRPr="00200C3D" w:rsidRDefault="00CF72CE" w:rsidP="00D57BD0">
            <w:pPr>
              <w:rPr>
                <w:rFonts w:cs="Times New Roman"/>
                <w:sz w:val="20"/>
                <w:szCs w:val="20"/>
              </w:rPr>
            </w:pPr>
            <w:r>
              <w:rPr>
                <w:rFonts w:cs="Times New Roman"/>
                <w:sz w:val="20"/>
                <w:szCs w:val="20"/>
              </w:rPr>
              <w:t>Promote participation of women-owned businesses as beneficiaries of the Government’s Matching Grant Facility</w:t>
            </w:r>
          </w:p>
        </w:tc>
        <w:tc>
          <w:tcPr>
            <w:tcW w:w="1710" w:type="dxa"/>
          </w:tcPr>
          <w:p w14:paraId="229DF845" w14:textId="26EBBE35" w:rsidR="00CF72CE" w:rsidRPr="00200C3D" w:rsidRDefault="00CF72CE" w:rsidP="00D57BD0">
            <w:pPr>
              <w:rPr>
                <w:rFonts w:cs="Times New Roman"/>
                <w:sz w:val="20"/>
                <w:szCs w:val="20"/>
              </w:rPr>
            </w:pPr>
            <w:r w:rsidRPr="00200C3D">
              <w:rPr>
                <w:rFonts w:cs="Times New Roman"/>
                <w:sz w:val="20"/>
                <w:szCs w:val="20"/>
              </w:rPr>
              <w:t>Second Competitiveness Enhancement Project (T&amp;C)</w:t>
            </w:r>
          </w:p>
          <w:p w14:paraId="214A25D7" w14:textId="77777777" w:rsidR="00CF72CE" w:rsidRPr="00200C3D" w:rsidRDefault="00CF72CE" w:rsidP="00D57BD0">
            <w:pPr>
              <w:rPr>
                <w:rFonts w:cs="Times New Roman"/>
                <w:sz w:val="20"/>
                <w:szCs w:val="20"/>
              </w:rPr>
            </w:pPr>
          </w:p>
          <w:p w14:paraId="349A7A7B" w14:textId="081070DD" w:rsidR="00CF72CE" w:rsidRPr="00200C3D" w:rsidRDefault="00CF72CE" w:rsidP="00D57BD0">
            <w:pPr>
              <w:rPr>
                <w:rFonts w:cs="Times New Roman"/>
                <w:sz w:val="20"/>
                <w:szCs w:val="20"/>
              </w:rPr>
            </w:pPr>
            <w:r>
              <w:rPr>
                <w:rFonts w:cs="Times New Roman"/>
                <w:sz w:val="20"/>
                <w:szCs w:val="20"/>
              </w:rPr>
              <w:t>Committed</w:t>
            </w:r>
          </w:p>
          <w:p w14:paraId="25597E34" w14:textId="77777777" w:rsidR="00CF72CE" w:rsidRPr="00200C3D" w:rsidRDefault="00CF72CE" w:rsidP="00D57BD0">
            <w:pPr>
              <w:rPr>
                <w:rFonts w:cs="Times New Roman"/>
                <w:sz w:val="20"/>
                <w:szCs w:val="20"/>
              </w:rPr>
            </w:pPr>
          </w:p>
          <w:p w14:paraId="754B493C" w14:textId="77777777" w:rsidR="00CF72CE" w:rsidRPr="00200C3D" w:rsidRDefault="00CF72CE" w:rsidP="00D57BD0">
            <w:pPr>
              <w:rPr>
                <w:rFonts w:cs="Times New Roman"/>
                <w:sz w:val="20"/>
                <w:szCs w:val="20"/>
              </w:rPr>
            </w:pPr>
          </w:p>
          <w:p w14:paraId="79C68AAD" w14:textId="77777777" w:rsidR="00CF72CE" w:rsidRDefault="00CF72CE" w:rsidP="00D57BD0">
            <w:pPr>
              <w:rPr>
                <w:rFonts w:cs="Times New Roman"/>
                <w:sz w:val="20"/>
                <w:szCs w:val="20"/>
              </w:rPr>
            </w:pPr>
          </w:p>
          <w:p w14:paraId="50C2F81F" w14:textId="77777777" w:rsidR="00CF72CE" w:rsidRDefault="00CF72CE" w:rsidP="00D57BD0">
            <w:pPr>
              <w:rPr>
                <w:rFonts w:cs="Times New Roman"/>
                <w:sz w:val="20"/>
                <w:szCs w:val="20"/>
              </w:rPr>
            </w:pPr>
          </w:p>
          <w:p w14:paraId="01D3A3C9" w14:textId="023CD5E3" w:rsidR="00CF72CE" w:rsidRPr="00200C3D" w:rsidRDefault="00CF72CE" w:rsidP="00D57BD0">
            <w:pPr>
              <w:rPr>
                <w:rFonts w:cs="Times New Roman"/>
                <w:sz w:val="20"/>
                <w:szCs w:val="20"/>
              </w:rPr>
            </w:pPr>
          </w:p>
        </w:tc>
        <w:tc>
          <w:tcPr>
            <w:tcW w:w="3330" w:type="dxa"/>
          </w:tcPr>
          <w:p w14:paraId="3230C8AF" w14:textId="77777777" w:rsidR="00CF72CE" w:rsidRPr="00200C3D" w:rsidRDefault="00CF72CE" w:rsidP="00D57BD0">
            <w:pPr>
              <w:rPr>
                <w:rFonts w:cs="Times New Roman"/>
                <w:sz w:val="20"/>
                <w:szCs w:val="20"/>
              </w:rPr>
            </w:pPr>
            <w:r w:rsidRPr="00200C3D">
              <w:rPr>
                <w:rFonts w:cs="Times New Roman"/>
                <w:sz w:val="20"/>
                <w:szCs w:val="20"/>
              </w:rPr>
              <w:t xml:space="preserve">ODIMM Women in Business Program informed by results of national survey </w:t>
            </w:r>
          </w:p>
          <w:p w14:paraId="148FA89C" w14:textId="77777777" w:rsidR="00CF72CE" w:rsidRPr="00200C3D" w:rsidRDefault="00CF72CE" w:rsidP="00D57BD0">
            <w:pPr>
              <w:rPr>
                <w:rFonts w:cs="Times New Roman"/>
                <w:sz w:val="20"/>
                <w:szCs w:val="20"/>
              </w:rPr>
            </w:pPr>
          </w:p>
          <w:p w14:paraId="5F18228B" w14:textId="77777777" w:rsidR="00CF72CE" w:rsidRPr="00200C3D" w:rsidRDefault="00CF72CE" w:rsidP="00D57BD0">
            <w:pPr>
              <w:rPr>
                <w:rFonts w:cs="Times New Roman"/>
                <w:sz w:val="20"/>
                <w:szCs w:val="20"/>
              </w:rPr>
            </w:pPr>
          </w:p>
          <w:p w14:paraId="3BF211C7" w14:textId="77777777" w:rsidR="00CF72CE" w:rsidRPr="00200C3D" w:rsidRDefault="00CF72CE" w:rsidP="00D57BD0">
            <w:pPr>
              <w:rPr>
                <w:rFonts w:cs="Times New Roman"/>
                <w:sz w:val="20"/>
                <w:szCs w:val="20"/>
              </w:rPr>
            </w:pPr>
            <w:r w:rsidRPr="00200C3D">
              <w:rPr>
                <w:rFonts w:cs="Times New Roman"/>
                <w:sz w:val="20"/>
                <w:szCs w:val="20"/>
              </w:rPr>
              <w:t xml:space="preserve">increased participation of women-owned businesses in Government support schemes </w:t>
            </w:r>
            <w:r>
              <w:rPr>
                <w:rFonts w:cs="Times New Roman"/>
                <w:sz w:val="20"/>
                <w:szCs w:val="20"/>
              </w:rPr>
              <w:t>(e.g., Matching Grant Facility)</w:t>
            </w:r>
          </w:p>
          <w:p w14:paraId="29BFDE5B" w14:textId="26CDC072" w:rsidR="00CF72CE" w:rsidRPr="00200C3D" w:rsidRDefault="00CF72CE" w:rsidP="00CF72CE">
            <w:pPr>
              <w:rPr>
                <w:rFonts w:cs="Times New Roman"/>
                <w:sz w:val="20"/>
                <w:szCs w:val="20"/>
              </w:rPr>
            </w:pPr>
          </w:p>
        </w:tc>
      </w:tr>
      <w:tr w:rsidR="00CF72CE" w:rsidRPr="00200C3D" w14:paraId="3CF5D04A" w14:textId="77777777" w:rsidTr="008B1D54">
        <w:trPr>
          <w:trHeight w:val="2317"/>
        </w:trPr>
        <w:tc>
          <w:tcPr>
            <w:tcW w:w="2155" w:type="dxa"/>
            <w:vMerge/>
          </w:tcPr>
          <w:p w14:paraId="2235F6EC" w14:textId="77777777" w:rsidR="00CF72CE" w:rsidRPr="00200C3D" w:rsidRDefault="00CF72CE" w:rsidP="00D57BD0">
            <w:pPr>
              <w:rPr>
                <w:rFonts w:cs="Times New Roman"/>
                <w:sz w:val="20"/>
                <w:szCs w:val="20"/>
              </w:rPr>
            </w:pPr>
          </w:p>
        </w:tc>
        <w:tc>
          <w:tcPr>
            <w:tcW w:w="2250" w:type="dxa"/>
            <w:vMerge/>
          </w:tcPr>
          <w:p w14:paraId="0B4E7A14" w14:textId="77777777" w:rsidR="00CF72CE" w:rsidRPr="00200C3D" w:rsidRDefault="00CF72CE" w:rsidP="00D57BD0">
            <w:pPr>
              <w:rPr>
                <w:rFonts w:cs="Times New Roman"/>
                <w:sz w:val="20"/>
                <w:szCs w:val="20"/>
              </w:rPr>
            </w:pPr>
          </w:p>
        </w:tc>
        <w:tc>
          <w:tcPr>
            <w:tcW w:w="4140" w:type="dxa"/>
          </w:tcPr>
          <w:p w14:paraId="4968DA2B" w14:textId="77777777" w:rsidR="00CF72CE" w:rsidRDefault="00CF72CE" w:rsidP="00CF72CE">
            <w:pPr>
              <w:rPr>
                <w:rFonts w:cs="Times New Roman"/>
                <w:sz w:val="20"/>
                <w:szCs w:val="20"/>
              </w:rPr>
            </w:pPr>
            <w:r w:rsidRPr="00200C3D">
              <w:rPr>
                <w:rFonts w:cs="Times New Roman"/>
                <w:sz w:val="20"/>
                <w:szCs w:val="20"/>
              </w:rPr>
              <w:t>Design business training/exchange program/ grant program to promote women entrepreneurship</w:t>
            </w:r>
          </w:p>
          <w:p w14:paraId="5CAE0989" w14:textId="77777777" w:rsidR="00CF72CE" w:rsidRPr="00200C3D" w:rsidDel="008B1D54" w:rsidRDefault="00CF72CE" w:rsidP="00D57BD0">
            <w:pPr>
              <w:rPr>
                <w:rFonts w:cs="Times New Roman"/>
                <w:sz w:val="20"/>
                <w:szCs w:val="20"/>
              </w:rPr>
            </w:pPr>
          </w:p>
        </w:tc>
        <w:tc>
          <w:tcPr>
            <w:tcW w:w="1710" w:type="dxa"/>
          </w:tcPr>
          <w:p w14:paraId="6219648E" w14:textId="708ED206" w:rsidR="00CF72CE" w:rsidRDefault="00CF72CE" w:rsidP="00D57BD0">
            <w:pPr>
              <w:rPr>
                <w:rFonts w:cs="Times New Roman"/>
                <w:sz w:val="20"/>
                <w:szCs w:val="20"/>
              </w:rPr>
            </w:pPr>
            <w:r w:rsidRPr="00200C3D">
              <w:rPr>
                <w:rFonts w:cs="Times New Roman"/>
                <w:sz w:val="20"/>
                <w:szCs w:val="20"/>
              </w:rPr>
              <w:t>Second Competitiveness Enhancement Project (T&amp;C)</w:t>
            </w:r>
          </w:p>
          <w:p w14:paraId="03337F52" w14:textId="77777777" w:rsidR="00CF72CE" w:rsidRDefault="00CF72CE" w:rsidP="00D57BD0">
            <w:pPr>
              <w:rPr>
                <w:rFonts w:cs="Times New Roman"/>
                <w:sz w:val="20"/>
                <w:szCs w:val="20"/>
              </w:rPr>
            </w:pPr>
          </w:p>
          <w:p w14:paraId="1BB0B66C" w14:textId="0260BC93" w:rsidR="00CF72CE" w:rsidRPr="00200C3D" w:rsidRDefault="00CF72CE" w:rsidP="00D57BD0">
            <w:pPr>
              <w:rPr>
                <w:rFonts w:cs="Times New Roman"/>
                <w:sz w:val="20"/>
                <w:szCs w:val="20"/>
              </w:rPr>
            </w:pPr>
            <w:r>
              <w:rPr>
                <w:rFonts w:cs="Times New Roman"/>
                <w:sz w:val="20"/>
                <w:szCs w:val="20"/>
              </w:rPr>
              <w:t xml:space="preserve">Pending agreement with counterparts </w:t>
            </w:r>
          </w:p>
        </w:tc>
        <w:tc>
          <w:tcPr>
            <w:tcW w:w="3330" w:type="dxa"/>
          </w:tcPr>
          <w:p w14:paraId="5C3F8671" w14:textId="77777777" w:rsidR="00CF72CE" w:rsidRPr="00200C3D" w:rsidRDefault="00CF72CE" w:rsidP="00CF72CE">
            <w:pPr>
              <w:rPr>
                <w:rFonts w:cs="Times New Roman"/>
                <w:sz w:val="20"/>
                <w:szCs w:val="20"/>
              </w:rPr>
            </w:pPr>
            <w:r w:rsidRPr="00200C3D">
              <w:rPr>
                <w:rFonts w:cs="Times New Roman"/>
                <w:sz w:val="20"/>
                <w:szCs w:val="20"/>
              </w:rPr>
              <w:t>Increased participation of women in business training workshops</w:t>
            </w:r>
          </w:p>
          <w:p w14:paraId="6553050E" w14:textId="77777777" w:rsidR="00CF72CE" w:rsidRPr="00200C3D" w:rsidRDefault="00CF72CE" w:rsidP="00D57BD0">
            <w:pPr>
              <w:rPr>
                <w:rFonts w:cs="Times New Roman"/>
                <w:sz w:val="20"/>
                <w:szCs w:val="20"/>
              </w:rPr>
            </w:pPr>
          </w:p>
        </w:tc>
      </w:tr>
      <w:tr w:rsidR="000E4D21" w:rsidRPr="00200C3D" w14:paraId="741132CD" w14:textId="77777777" w:rsidTr="00FD674F">
        <w:trPr>
          <w:trHeight w:val="1880"/>
        </w:trPr>
        <w:tc>
          <w:tcPr>
            <w:tcW w:w="2155" w:type="dxa"/>
            <w:vMerge w:val="restart"/>
          </w:tcPr>
          <w:p w14:paraId="0F4FDCA5" w14:textId="77777777" w:rsidR="000E4D21" w:rsidRPr="00200C3D" w:rsidRDefault="000E4D21" w:rsidP="00D57BD0">
            <w:pPr>
              <w:rPr>
                <w:rFonts w:cs="Times New Roman"/>
                <w:sz w:val="20"/>
                <w:szCs w:val="20"/>
              </w:rPr>
            </w:pPr>
            <w:r w:rsidRPr="00200C3D">
              <w:rPr>
                <w:rFonts w:cs="Times New Roman"/>
                <w:sz w:val="20"/>
                <w:szCs w:val="20"/>
              </w:rPr>
              <w:t>Health</w:t>
            </w:r>
          </w:p>
          <w:p w14:paraId="31C95350" w14:textId="05D05A05" w:rsidR="000E4D21" w:rsidRPr="00200C3D" w:rsidRDefault="000E4D21" w:rsidP="00770C32">
            <w:pPr>
              <w:pStyle w:val="ListParagraph"/>
              <w:numPr>
                <w:ilvl w:val="0"/>
                <w:numId w:val="10"/>
              </w:numPr>
              <w:rPr>
                <w:rFonts w:cs="Times New Roman"/>
                <w:sz w:val="20"/>
                <w:szCs w:val="20"/>
              </w:rPr>
            </w:pPr>
            <w:r w:rsidRPr="00200C3D">
              <w:rPr>
                <w:rFonts w:cs="Times New Roman"/>
                <w:sz w:val="20"/>
                <w:szCs w:val="20"/>
              </w:rPr>
              <w:t>Higher mortality, lower life expectancy among men</w:t>
            </w:r>
          </w:p>
        </w:tc>
        <w:tc>
          <w:tcPr>
            <w:tcW w:w="2250" w:type="dxa"/>
            <w:vMerge w:val="restart"/>
          </w:tcPr>
          <w:p w14:paraId="5567A0F9" w14:textId="77777777" w:rsidR="000E4D21" w:rsidRPr="00200C3D" w:rsidRDefault="000E4D21" w:rsidP="00D57BD0">
            <w:pPr>
              <w:rPr>
                <w:rFonts w:cs="Times New Roman"/>
                <w:sz w:val="20"/>
                <w:szCs w:val="20"/>
              </w:rPr>
            </w:pPr>
            <w:r w:rsidRPr="00200C3D">
              <w:rPr>
                <w:rFonts w:cs="Times New Roman"/>
                <w:sz w:val="20"/>
                <w:szCs w:val="20"/>
              </w:rPr>
              <w:t xml:space="preserve">Social norms (women responsible for health in the household) resulting in men having less information of available health services </w:t>
            </w:r>
          </w:p>
          <w:p w14:paraId="039762BB" w14:textId="77777777" w:rsidR="000E4D21" w:rsidRPr="00200C3D" w:rsidRDefault="000E4D21" w:rsidP="00D57BD0">
            <w:pPr>
              <w:rPr>
                <w:rFonts w:cs="Times New Roman"/>
                <w:sz w:val="20"/>
                <w:szCs w:val="20"/>
              </w:rPr>
            </w:pPr>
          </w:p>
          <w:p w14:paraId="61B3441F" w14:textId="77777777" w:rsidR="000E4D21" w:rsidRPr="00200C3D" w:rsidRDefault="000E4D21" w:rsidP="00D57BD0">
            <w:pPr>
              <w:rPr>
                <w:rFonts w:cs="Times New Roman"/>
                <w:sz w:val="20"/>
                <w:szCs w:val="20"/>
              </w:rPr>
            </w:pPr>
            <w:r w:rsidRPr="00200C3D">
              <w:rPr>
                <w:rFonts w:cs="Times New Roman"/>
                <w:sz w:val="20"/>
                <w:szCs w:val="20"/>
              </w:rPr>
              <w:t>Less healthy lifestyles of men and at young age (tobacco/alcohol) though trends may be slowly changing</w:t>
            </w:r>
          </w:p>
          <w:p w14:paraId="138DE7E0" w14:textId="77777777" w:rsidR="000E4D21" w:rsidRPr="00200C3D" w:rsidRDefault="000E4D21" w:rsidP="00D57BD0">
            <w:pPr>
              <w:rPr>
                <w:rFonts w:cs="Times New Roman"/>
                <w:sz w:val="20"/>
                <w:szCs w:val="20"/>
              </w:rPr>
            </w:pPr>
          </w:p>
        </w:tc>
        <w:tc>
          <w:tcPr>
            <w:tcW w:w="4140" w:type="dxa"/>
          </w:tcPr>
          <w:p w14:paraId="43536B1A" w14:textId="77777777" w:rsidR="000E4D21" w:rsidRPr="00200C3D" w:rsidRDefault="000E4D21" w:rsidP="00D57BD0">
            <w:pPr>
              <w:rPr>
                <w:rFonts w:cs="Times New Roman"/>
                <w:sz w:val="20"/>
                <w:szCs w:val="20"/>
              </w:rPr>
            </w:pPr>
            <w:r w:rsidRPr="00200C3D">
              <w:rPr>
                <w:rFonts w:cs="Times New Roman"/>
                <w:sz w:val="20"/>
                <w:szCs w:val="20"/>
              </w:rPr>
              <w:t>Targeted health screening services extended to men</w:t>
            </w:r>
          </w:p>
          <w:p w14:paraId="4D68E712" w14:textId="77777777" w:rsidR="000E4D21" w:rsidRDefault="000E4D21" w:rsidP="00D57BD0">
            <w:pPr>
              <w:rPr>
                <w:rFonts w:cs="Times New Roman"/>
                <w:sz w:val="20"/>
                <w:szCs w:val="20"/>
              </w:rPr>
            </w:pPr>
          </w:p>
          <w:p w14:paraId="1B519DCE" w14:textId="4C756FF6" w:rsidR="000E4D21" w:rsidRPr="00200C3D" w:rsidRDefault="000E4D21" w:rsidP="00D57BD0">
            <w:pPr>
              <w:rPr>
                <w:rFonts w:cs="Times New Roman"/>
                <w:sz w:val="20"/>
                <w:szCs w:val="20"/>
              </w:rPr>
            </w:pPr>
            <w:r w:rsidRPr="00200C3D">
              <w:rPr>
                <w:rFonts w:cs="Times New Roman"/>
                <w:sz w:val="20"/>
                <w:szCs w:val="20"/>
              </w:rPr>
              <w:t>Awareness campaigns targeted at men and boys for preventative health care services</w:t>
            </w:r>
          </w:p>
        </w:tc>
        <w:tc>
          <w:tcPr>
            <w:tcW w:w="1710" w:type="dxa"/>
          </w:tcPr>
          <w:p w14:paraId="1562DE87" w14:textId="77777777" w:rsidR="000E4D21" w:rsidRPr="00200C3D" w:rsidRDefault="000E4D21" w:rsidP="00D57BD0">
            <w:pPr>
              <w:rPr>
                <w:rFonts w:cs="Times New Roman"/>
                <w:sz w:val="20"/>
                <w:szCs w:val="20"/>
              </w:rPr>
            </w:pPr>
            <w:r w:rsidRPr="00200C3D">
              <w:rPr>
                <w:rFonts w:cs="Times New Roman"/>
                <w:sz w:val="20"/>
                <w:szCs w:val="20"/>
              </w:rPr>
              <w:t>Health Transformation Project</w:t>
            </w:r>
          </w:p>
          <w:p w14:paraId="7A1BE5F3" w14:textId="34EA5450" w:rsidR="000E4D21" w:rsidRPr="00200C3D" w:rsidRDefault="000E4D21" w:rsidP="00D57BD0">
            <w:pPr>
              <w:rPr>
                <w:rFonts w:cs="Times New Roman"/>
                <w:sz w:val="20"/>
                <w:szCs w:val="20"/>
              </w:rPr>
            </w:pPr>
          </w:p>
        </w:tc>
        <w:tc>
          <w:tcPr>
            <w:tcW w:w="3330" w:type="dxa"/>
          </w:tcPr>
          <w:p w14:paraId="0C39D985" w14:textId="2F28D612" w:rsidR="000E4D21" w:rsidRDefault="000E4D21" w:rsidP="00D57BD0">
            <w:pPr>
              <w:rPr>
                <w:rFonts w:cs="Times New Roman"/>
                <w:sz w:val="20"/>
                <w:szCs w:val="20"/>
              </w:rPr>
            </w:pPr>
            <w:r w:rsidRPr="00200C3D">
              <w:rPr>
                <w:rFonts w:cs="Times New Roman"/>
                <w:sz w:val="20"/>
                <w:szCs w:val="20"/>
              </w:rPr>
              <w:t>Increase in # of male beneficiaries reached by improved screening for select conditions.</w:t>
            </w:r>
          </w:p>
          <w:p w14:paraId="4CA93180" w14:textId="77777777" w:rsidR="000E4D21" w:rsidRPr="00200C3D" w:rsidRDefault="000E4D21" w:rsidP="00D57BD0">
            <w:pPr>
              <w:rPr>
                <w:rFonts w:cs="Times New Roman"/>
                <w:sz w:val="20"/>
                <w:szCs w:val="20"/>
              </w:rPr>
            </w:pPr>
          </w:p>
          <w:p w14:paraId="76108D7F" w14:textId="225A785E" w:rsidR="000E4D21" w:rsidRPr="00200C3D" w:rsidRDefault="000E4D21" w:rsidP="00D57BD0">
            <w:pPr>
              <w:rPr>
                <w:rFonts w:cs="Times New Roman"/>
                <w:sz w:val="20"/>
                <w:szCs w:val="20"/>
              </w:rPr>
            </w:pPr>
            <w:r w:rsidRPr="00200C3D">
              <w:rPr>
                <w:rFonts w:cs="Times New Roman"/>
                <w:sz w:val="20"/>
                <w:szCs w:val="20"/>
              </w:rPr>
              <w:t>Increase in # of persons (% male/female) reached by public awareness campaign</w:t>
            </w:r>
          </w:p>
        </w:tc>
      </w:tr>
      <w:tr w:rsidR="000E4D21" w:rsidRPr="00200C3D" w14:paraId="79184E0B" w14:textId="77777777" w:rsidTr="00FD674F">
        <w:trPr>
          <w:trHeight w:val="575"/>
        </w:trPr>
        <w:tc>
          <w:tcPr>
            <w:tcW w:w="2155" w:type="dxa"/>
            <w:vMerge/>
          </w:tcPr>
          <w:p w14:paraId="47FFDC8F" w14:textId="77777777" w:rsidR="000E4D21" w:rsidRPr="00200C3D" w:rsidRDefault="000E4D21" w:rsidP="00D57BD0">
            <w:pPr>
              <w:rPr>
                <w:rFonts w:cs="Times New Roman"/>
                <w:sz w:val="20"/>
                <w:szCs w:val="20"/>
              </w:rPr>
            </w:pPr>
          </w:p>
        </w:tc>
        <w:tc>
          <w:tcPr>
            <w:tcW w:w="2250" w:type="dxa"/>
            <w:vMerge/>
          </w:tcPr>
          <w:p w14:paraId="3DBD2660" w14:textId="77777777" w:rsidR="000E4D21" w:rsidRPr="00200C3D" w:rsidRDefault="000E4D21" w:rsidP="00D57BD0">
            <w:pPr>
              <w:rPr>
                <w:rFonts w:cs="Times New Roman"/>
                <w:sz w:val="20"/>
                <w:szCs w:val="20"/>
              </w:rPr>
            </w:pPr>
          </w:p>
        </w:tc>
        <w:tc>
          <w:tcPr>
            <w:tcW w:w="4140" w:type="dxa"/>
          </w:tcPr>
          <w:p w14:paraId="2F785C37" w14:textId="77777777" w:rsidR="000E4D21" w:rsidRDefault="000E4D21" w:rsidP="00D57BD0">
            <w:pPr>
              <w:rPr>
                <w:rFonts w:cs="Times New Roman"/>
                <w:sz w:val="20"/>
                <w:szCs w:val="20"/>
              </w:rPr>
            </w:pPr>
            <w:r>
              <w:rPr>
                <w:rFonts w:cs="Times New Roman"/>
                <w:sz w:val="20"/>
                <w:szCs w:val="20"/>
              </w:rPr>
              <w:t>Increase in tobacco tax, resulting increased price for consumers</w:t>
            </w:r>
          </w:p>
          <w:p w14:paraId="235458D4" w14:textId="1A447563" w:rsidR="000E4D21" w:rsidRPr="00200C3D" w:rsidDel="008B1D54" w:rsidRDefault="000E4D21" w:rsidP="00D57BD0">
            <w:pPr>
              <w:rPr>
                <w:rFonts w:cs="Times New Roman"/>
                <w:sz w:val="20"/>
                <w:szCs w:val="20"/>
              </w:rPr>
            </w:pPr>
          </w:p>
        </w:tc>
        <w:tc>
          <w:tcPr>
            <w:tcW w:w="1710" w:type="dxa"/>
          </w:tcPr>
          <w:p w14:paraId="75E0707D" w14:textId="3E611CE8" w:rsidR="000E4D21" w:rsidRPr="00200C3D" w:rsidDel="008B1D54" w:rsidRDefault="000E4D21" w:rsidP="00D57BD0">
            <w:pPr>
              <w:rPr>
                <w:rFonts w:cs="Times New Roman"/>
                <w:sz w:val="20"/>
                <w:szCs w:val="20"/>
              </w:rPr>
            </w:pPr>
            <w:r>
              <w:rPr>
                <w:rFonts w:cs="Times New Roman"/>
                <w:sz w:val="20"/>
                <w:szCs w:val="20"/>
              </w:rPr>
              <w:t>DPO</w:t>
            </w:r>
          </w:p>
        </w:tc>
        <w:tc>
          <w:tcPr>
            <w:tcW w:w="3330" w:type="dxa"/>
          </w:tcPr>
          <w:p w14:paraId="1C761535" w14:textId="2E9EB9A3" w:rsidR="000E4D21" w:rsidRPr="00200C3D" w:rsidDel="008B1D54" w:rsidRDefault="000E4D21" w:rsidP="00D57BD0">
            <w:pPr>
              <w:rPr>
                <w:rFonts w:cs="Times New Roman"/>
                <w:sz w:val="20"/>
                <w:szCs w:val="20"/>
              </w:rPr>
            </w:pPr>
            <w:r>
              <w:rPr>
                <w:rFonts w:cs="Times New Roman"/>
                <w:sz w:val="20"/>
                <w:szCs w:val="20"/>
              </w:rPr>
              <w:t>Decrease incidence of smoking</w:t>
            </w:r>
          </w:p>
        </w:tc>
      </w:tr>
      <w:tr w:rsidR="00A11A0D" w:rsidRPr="00200C3D" w14:paraId="25DF106E" w14:textId="77777777" w:rsidTr="00FD674F">
        <w:trPr>
          <w:trHeight w:val="70"/>
        </w:trPr>
        <w:tc>
          <w:tcPr>
            <w:tcW w:w="2155" w:type="dxa"/>
          </w:tcPr>
          <w:p w14:paraId="62818D9C" w14:textId="3776712A" w:rsidR="00A11A0D" w:rsidRPr="00200C3D" w:rsidRDefault="00A11A0D" w:rsidP="00D57BD0">
            <w:pPr>
              <w:rPr>
                <w:rFonts w:cs="Times New Roman"/>
                <w:sz w:val="20"/>
                <w:szCs w:val="20"/>
              </w:rPr>
            </w:pPr>
            <w:r w:rsidRPr="00200C3D">
              <w:rPr>
                <w:rFonts w:cs="Times New Roman"/>
                <w:sz w:val="20"/>
                <w:szCs w:val="20"/>
              </w:rPr>
              <w:t>Gender-based Violence</w:t>
            </w:r>
          </w:p>
          <w:p w14:paraId="1F22869F" w14:textId="6C5E669B" w:rsidR="00A11A0D" w:rsidRPr="00200C3D" w:rsidRDefault="00A11A0D" w:rsidP="00710072">
            <w:pPr>
              <w:pStyle w:val="ListParagraph"/>
              <w:numPr>
                <w:ilvl w:val="0"/>
                <w:numId w:val="10"/>
              </w:numPr>
              <w:rPr>
                <w:rFonts w:cs="Times New Roman"/>
                <w:sz w:val="20"/>
                <w:szCs w:val="20"/>
              </w:rPr>
            </w:pPr>
            <w:r w:rsidRPr="00200C3D">
              <w:rPr>
                <w:rFonts w:cs="Times New Roman"/>
                <w:sz w:val="20"/>
                <w:szCs w:val="20"/>
              </w:rPr>
              <w:t xml:space="preserve">High rates of violence, </w:t>
            </w:r>
            <w:r w:rsidRPr="00200C3D">
              <w:rPr>
                <w:rFonts w:cs="Times New Roman"/>
                <w:sz w:val="20"/>
                <w:szCs w:val="20"/>
              </w:rPr>
              <w:lastRenderedPageBreak/>
              <w:t>especially of domestic violence</w:t>
            </w:r>
          </w:p>
          <w:p w14:paraId="0A9344C0" w14:textId="77777777" w:rsidR="00A11A0D" w:rsidRPr="00200C3D" w:rsidRDefault="00A11A0D" w:rsidP="00D57BD0">
            <w:pPr>
              <w:rPr>
                <w:rFonts w:cs="Times New Roman"/>
                <w:sz w:val="20"/>
                <w:szCs w:val="20"/>
              </w:rPr>
            </w:pPr>
          </w:p>
          <w:p w14:paraId="6F926CE4" w14:textId="77777777" w:rsidR="00A11A0D" w:rsidRPr="00200C3D" w:rsidRDefault="00A11A0D" w:rsidP="00D57BD0">
            <w:pPr>
              <w:rPr>
                <w:rFonts w:cs="Times New Roman"/>
                <w:sz w:val="20"/>
                <w:szCs w:val="20"/>
              </w:rPr>
            </w:pPr>
          </w:p>
        </w:tc>
        <w:tc>
          <w:tcPr>
            <w:tcW w:w="2250" w:type="dxa"/>
          </w:tcPr>
          <w:p w14:paraId="2D5EEBE4" w14:textId="77777777" w:rsidR="00A11A0D" w:rsidRPr="00200C3D" w:rsidRDefault="00A11A0D" w:rsidP="00D57BD0">
            <w:pPr>
              <w:rPr>
                <w:rFonts w:cs="Times New Roman"/>
                <w:sz w:val="20"/>
                <w:szCs w:val="20"/>
              </w:rPr>
            </w:pPr>
            <w:r w:rsidRPr="00200C3D">
              <w:rPr>
                <w:rFonts w:cs="Times New Roman"/>
                <w:sz w:val="20"/>
                <w:szCs w:val="20"/>
              </w:rPr>
              <w:lastRenderedPageBreak/>
              <w:t>Social norms; behaviors (alcoholism)</w:t>
            </w:r>
          </w:p>
          <w:p w14:paraId="2D8C4F4A" w14:textId="77777777" w:rsidR="00A11A0D" w:rsidRPr="00200C3D" w:rsidRDefault="00A11A0D" w:rsidP="00D57BD0">
            <w:pPr>
              <w:rPr>
                <w:rFonts w:cs="Times New Roman"/>
                <w:sz w:val="20"/>
                <w:szCs w:val="20"/>
              </w:rPr>
            </w:pPr>
          </w:p>
          <w:p w14:paraId="7ACA8BF7" w14:textId="77777777" w:rsidR="00A11A0D" w:rsidRPr="00200C3D" w:rsidRDefault="00A11A0D" w:rsidP="00D57BD0">
            <w:pPr>
              <w:rPr>
                <w:rFonts w:cs="Times New Roman"/>
                <w:sz w:val="20"/>
                <w:szCs w:val="20"/>
              </w:rPr>
            </w:pPr>
            <w:r w:rsidRPr="00200C3D">
              <w:rPr>
                <w:rFonts w:cs="Times New Roman"/>
                <w:sz w:val="20"/>
                <w:szCs w:val="20"/>
              </w:rPr>
              <w:lastRenderedPageBreak/>
              <w:t>Weak public awareness, and enforcement of protection services</w:t>
            </w:r>
          </w:p>
          <w:p w14:paraId="47688AE0" w14:textId="77777777" w:rsidR="00A11A0D" w:rsidRPr="00200C3D" w:rsidRDefault="00A11A0D" w:rsidP="00D57BD0">
            <w:pPr>
              <w:rPr>
                <w:rFonts w:cs="Times New Roman"/>
                <w:sz w:val="20"/>
                <w:szCs w:val="20"/>
              </w:rPr>
            </w:pPr>
          </w:p>
          <w:p w14:paraId="5F684A08" w14:textId="10A48EDE" w:rsidR="00A11A0D" w:rsidRPr="00200C3D" w:rsidRDefault="00A11A0D" w:rsidP="00D57BD0">
            <w:pPr>
              <w:rPr>
                <w:rFonts w:cs="Times New Roman"/>
                <w:sz w:val="20"/>
                <w:szCs w:val="20"/>
              </w:rPr>
            </w:pPr>
            <w:r w:rsidRPr="00200C3D">
              <w:rPr>
                <w:rFonts w:cs="Times New Roman"/>
                <w:sz w:val="20"/>
                <w:szCs w:val="20"/>
              </w:rPr>
              <w:t xml:space="preserve">Weak institutional capacity, budget availability, and range of services fostering livelihoods and economic independence of GBV victims/survivors </w:t>
            </w:r>
          </w:p>
        </w:tc>
        <w:tc>
          <w:tcPr>
            <w:tcW w:w="4140" w:type="dxa"/>
          </w:tcPr>
          <w:p w14:paraId="28DB8CFB" w14:textId="2C2C08AC" w:rsidR="00551474" w:rsidRPr="00200C3D" w:rsidRDefault="00551474">
            <w:pPr>
              <w:rPr>
                <w:rFonts w:cs="Times New Roman"/>
                <w:sz w:val="20"/>
                <w:szCs w:val="20"/>
              </w:rPr>
            </w:pPr>
            <w:r>
              <w:rPr>
                <w:rFonts w:cs="Times New Roman"/>
                <w:sz w:val="20"/>
                <w:szCs w:val="20"/>
              </w:rPr>
              <w:lastRenderedPageBreak/>
              <w:t>Improve capacity of justice-sector officials to adequately address needs of GBV survivors.</w:t>
            </w:r>
          </w:p>
          <w:p w14:paraId="0DBA6F8E" w14:textId="77777777" w:rsidR="00071813" w:rsidRDefault="00071813">
            <w:pPr>
              <w:rPr>
                <w:rFonts w:cs="Times New Roman"/>
                <w:sz w:val="20"/>
                <w:szCs w:val="20"/>
              </w:rPr>
            </w:pPr>
          </w:p>
          <w:p w14:paraId="717BA57C" w14:textId="77777777" w:rsidR="00A11A0D" w:rsidRPr="0039001D" w:rsidRDefault="00A11A0D">
            <w:pPr>
              <w:rPr>
                <w:rFonts w:cs="Times New Roman"/>
                <w:sz w:val="20"/>
                <w:szCs w:val="20"/>
              </w:rPr>
            </w:pPr>
            <w:r w:rsidRPr="00200C3D">
              <w:rPr>
                <w:rFonts w:cs="Times New Roman"/>
                <w:sz w:val="20"/>
                <w:szCs w:val="20"/>
              </w:rPr>
              <w:lastRenderedPageBreak/>
              <w:t xml:space="preserve">Expand the range of </w:t>
            </w:r>
            <w:r>
              <w:rPr>
                <w:rFonts w:cs="Times New Roman"/>
                <w:sz w:val="20"/>
                <w:szCs w:val="20"/>
              </w:rPr>
              <w:t xml:space="preserve">judicial, </w:t>
            </w:r>
            <w:r w:rsidRPr="00200C3D">
              <w:rPr>
                <w:rFonts w:cs="Times New Roman"/>
                <w:sz w:val="20"/>
                <w:szCs w:val="20"/>
              </w:rPr>
              <w:t>livelihood</w:t>
            </w:r>
            <w:r>
              <w:rPr>
                <w:rFonts w:cs="Times New Roman"/>
                <w:sz w:val="20"/>
                <w:szCs w:val="20"/>
              </w:rPr>
              <w:t>,</w:t>
            </w:r>
            <w:r w:rsidRPr="00200C3D">
              <w:rPr>
                <w:rFonts w:cs="Times New Roman"/>
                <w:sz w:val="20"/>
                <w:szCs w:val="20"/>
              </w:rPr>
              <w:t xml:space="preserve"> and skills services available to GBV survivors.</w:t>
            </w:r>
          </w:p>
          <w:p w14:paraId="2F887325" w14:textId="77777777" w:rsidR="00A11A0D" w:rsidRDefault="00A11A0D">
            <w:pPr>
              <w:rPr>
                <w:rFonts w:cs="Times New Roman"/>
                <w:sz w:val="20"/>
                <w:szCs w:val="20"/>
              </w:rPr>
            </w:pPr>
          </w:p>
          <w:p w14:paraId="5A9BBD3C" w14:textId="3279FE8B" w:rsidR="00551474" w:rsidRPr="005543A5" w:rsidRDefault="00551474">
            <w:pPr>
              <w:rPr>
                <w:rFonts w:cs="Times New Roman"/>
                <w:sz w:val="20"/>
                <w:szCs w:val="20"/>
              </w:rPr>
            </w:pPr>
            <w:r>
              <w:rPr>
                <w:rFonts w:cs="Times New Roman"/>
                <w:sz w:val="20"/>
                <w:szCs w:val="20"/>
              </w:rPr>
              <w:t xml:space="preserve">Raise public awareness on the range of services </w:t>
            </w:r>
            <w:r w:rsidR="00F654FD">
              <w:rPr>
                <w:rFonts w:cs="Times New Roman"/>
                <w:sz w:val="20"/>
                <w:szCs w:val="20"/>
              </w:rPr>
              <w:t xml:space="preserve">available to victims of GBV, particularly in the Justice sector. </w:t>
            </w:r>
          </w:p>
          <w:p w14:paraId="20B617E7" w14:textId="77777777" w:rsidR="00A11A0D" w:rsidRPr="00620081" w:rsidRDefault="00A11A0D">
            <w:pPr>
              <w:rPr>
                <w:rFonts w:cs="Times New Roman"/>
                <w:sz w:val="20"/>
                <w:szCs w:val="20"/>
              </w:rPr>
            </w:pPr>
          </w:p>
          <w:p w14:paraId="21658649" w14:textId="77777777" w:rsidR="00A11A0D" w:rsidRPr="00200C3D" w:rsidRDefault="00A11A0D" w:rsidP="003B4F6C">
            <w:pPr>
              <w:rPr>
                <w:rFonts w:cs="Times New Roman"/>
                <w:sz w:val="20"/>
                <w:szCs w:val="20"/>
              </w:rPr>
            </w:pPr>
          </w:p>
        </w:tc>
        <w:tc>
          <w:tcPr>
            <w:tcW w:w="1710" w:type="dxa"/>
          </w:tcPr>
          <w:p w14:paraId="0B1B803B" w14:textId="3055816E" w:rsidR="00A11A0D" w:rsidRPr="00FD674F" w:rsidRDefault="00A11A0D">
            <w:pPr>
              <w:rPr>
                <w:rFonts w:cs="Times New Roman"/>
                <w:color w:val="FF0000"/>
                <w:sz w:val="20"/>
                <w:szCs w:val="20"/>
              </w:rPr>
            </w:pPr>
            <w:r w:rsidRPr="00FD674F">
              <w:rPr>
                <w:rFonts w:cs="Times New Roman"/>
                <w:color w:val="FF0000"/>
                <w:sz w:val="20"/>
                <w:szCs w:val="20"/>
              </w:rPr>
              <w:lastRenderedPageBreak/>
              <w:t>Pending approval of TF resources (JSDF proposal</w:t>
            </w:r>
            <w:r w:rsidR="00551474" w:rsidRPr="00FD674F">
              <w:rPr>
                <w:rFonts w:cs="Times New Roman"/>
                <w:color w:val="FF0000"/>
                <w:sz w:val="20"/>
                <w:szCs w:val="20"/>
              </w:rPr>
              <w:t xml:space="preserve"> </w:t>
            </w:r>
            <w:r w:rsidR="00551474" w:rsidRPr="00FD674F">
              <w:rPr>
                <w:rFonts w:cs="Times New Roman"/>
                <w:color w:val="FF0000"/>
                <w:sz w:val="20"/>
                <w:szCs w:val="20"/>
              </w:rPr>
              <w:lastRenderedPageBreak/>
              <w:t>under preparation</w:t>
            </w:r>
            <w:r w:rsidRPr="00FD674F">
              <w:rPr>
                <w:rFonts w:cs="Times New Roman"/>
                <w:color w:val="FF0000"/>
                <w:sz w:val="20"/>
                <w:szCs w:val="20"/>
              </w:rPr>
              <w:t>)</w:t>
            </w:r>
            <w:r w:rsidR="00551474" w:rsidRPr="00FD674F">
              <w:rPr>
                <w:rFonts w:cs="Times New Roman"/>
                <w:color w:val="FF0000"/>
                <w:sz w:val="20"/>
                <w:szCs w:val="20"/>
              </w:rPr>
              <w:t xml:space="preserve"> and agreement with counterparts</w:t>
            </w:r>
          </w:p>
          <w:p w14:paraId="39130FB5" w14:textId="77777777" w:rsidR="00A11A0D" w:rsidRPr="005543A5" w:rsidRDefault="00A11A0D">
            <w:pPr>
              <w:rPr>
                <w:rFonts w:cs="Times New Roman"/>
                <w:sz w:val="20"/>
                <w:szCs w:val="20"/>
              </w:rPr>
            </w:pPr>
          </w:p>
          <w:p w14:paraId="2B4E560B" w14:textId="77777777" w:rsidR="00A11A0D" w:rsidRPr="00620081" w:rsidRDefault="00A11A0D">
            <w:pPr>
              <w:rPr>
                <w:rFonts w:cs="Times New Roman"/>
                <w:sz w:val="20"/>
                <w:szCs w:val="20"/>
              </w:rPr>
            </w:pPr>
          </w:p>
          <w:p w14:paraId="77479BD1" w14:textId="77777777" w:rsidR="00A11A0D" w:rsidRPr="00200C3D" w:rsidRDefault="00A11A0D">
            <w:pPr>
              <w:rPr>
                <w:rFonts w:cs="Times New Roman"/>
                <w:sz w:val="20"/>
                <w:szCs w:val="20"/>
              </w:rPr>
            </w:pPr>
          </w:p>
          <w:p w14:paraId="11318722" w14:textId="77777777" w:rsidR="00A11A0D" w:rsidRPr="00200C3D" w:rsidRDefault="00A11A0D">
            <w:pPr>
              <w:rPr>
                <w:rFonts w:cs="Times New Roman"/>
                <w:sz w:val="20"/>
                <w:szCs w:val="20"/>
              </w:rPr>
            </w:pPr>
          </w:p>
          <w:p w14:paraId="4EDD5B10" w14:textId="77777777" w:rsidR="00A11A0D" w:rsidRPr="00200C3D" w:rsidRDefault="00A11A0D" w:rsidP="008B1D54">
            <w:pPr>
              <w:rPr>
                <w:rFonts w:cs="Times New Roman"/>
                <w:sz w:val="20"/>
                <w:szCs w:val="20"/>
              </w:rPr>
            </w:pPr>
          </w:p>
        </w:tc>
        <w:tc>
          <w:tcPr>
            <w:tcW w:w="3330" w:type="dxa"/>
          </w:tcPr>
          <w:p w14:paraId="22044ECF" w14:textId="5B5335B9" w:rsidR="00A11A0D" w:rsidRPr="00200C3D" w:rsidRDefault="00551474">
            <w:pPr>
              <w:rPr>
                <w:rFonts w:cs="Times New Roman"/>
                <w:sz w:val="20"/>
                <w:szCs w:val="20"/>
              </w:rPr>
            </w:pPr>
            <w:r>
              <w:rPr>
                <w:rFonts w:cs="Times New Roman"/>
                <w:sz w:val="20"/>
                <w:szCs w:val="20"/>
              </w:rPr>
              <w:lastRenderedPageBreak/>
              <w:t>Contribute to</w:t>
            </w:r>
            <w:r w:rsidR="00F654FD">
              <w:rPr>
                <w:rFonts w:cs="Times New Roman"/>
                <w:sz w:val="20"/>
                <w:szCs w:val="20"/>
              </w:rPr>
              <w:t xml:space="preserve"> / Inform</w:t>
            </w:r>
            <w:r>
              <w:rPr>
                <w:rFonts w:cs="Times New Roman"/>
                <w:sz w:val="20"/>
                <w:szCs w:val="20"/>
              </w:rPr>
              <w:t xml:space="preserve"> the </w:t>
            </w:r>
            <w:r w:rsidR="00A11A0D" w:rsidRPr="00200C3D">
              <w:rPr>
                <w:rFonts w:cs="Times New Roman"/>
                <w:sz w:val="20"/>
                <w:szCs w:val="20"/>
              </w:rPr>
              <w:t>Government</w:t>
            </w:r>
            <w:r>
              <w:rPr>
                <w:rFonts w:cs="Times New Roman"/>
                <w:sz w:val="20"/>
                <w:szCs w:val="20"/>
              </w:rPr>
              <w:t xml:space="preserve">’s action plan on gender-based violence </w:t>
            </w:r>
          </w:p>
          <w:p w14:paraId="1A501F03" w14:textId="77777777" w:rsidR="00A11A0D" w:rsidRPr="00200C3D" w:rsidRDefault="00A11A0D">
            <w:pPr>
              <w:rPr>
                <w:rFonts w:cs="Times New Roman"/>
                <w:sz w:val="20"/>
                <w:szCs w:val="20"/>
              </w:rPr>
            </w:pPr>
          </w:p>
          <w:p w14:paraId="0EC27854" w14:textId="369CA303" w:rsidR="00A11A0D" w:rsidRPr="00200C3D" w:rsidRDefault="00DE4ECC">
            <w:pPr>
              <w:rPr>
                <w:rFonts w:cs="Times New Roman"/>
                <w:sz w:val="20"/>
                <w:szCs w:val="20"/>
              </w:rPr>
            </w:pPr>
            <w:r>
              <w:rPr>
                <w:rFonts w:cs="Times New Roman"/>
                <w:sz w:val="20"/>
                <w:szCs w:val="20"/>
              </w:rPr>
              <w:t xml:space="preserve">Increased </w:t>
            </w:r>
            <w:r w:rsidR="00A11A0D" w:rsidRPr="00200C3D">
              <w:rPr>
                <w:rFonts w:cs="Times New Roman"/>
                <w:sz w:val="20"/>
                <w:szCs w:val="20"/>
              </w:rPr>
              <w:t xml:space="preserve"># of women benefitting from </w:t>
            </w:r>
            <w:r w:rsidR="00A11A0D">
              <w:rPr>
                <w:rFonts w:cs="Times New Roman"/>
                <w:sz w:val="20"/>
                <w:szCs w:val="20"/>
              </w:rPr>
              <w:t xml:space="preserve">access to justice and </w:t>
            </w:r>
            <w:r w:rsidR="00A11A0D" w:rsidRPr="00200C3D">
              <w:rPr>
                <w:rFonts w:cs="Times New Roman"/>
                <w:sz w:val="20"/>
                <w:szCs w:val="20"/>
              </w:rPr>
              <w:t>livelihood programs</w:t>
            </w:r>
          </w:p>
          <w:p w14:paraId="558EF7DF" w14:textId="77777777" w:rsidR="00A11A0D" w:rsidRPr="00200C3D" w:rsidRDefault="00A11A0D">
            <w:pPr>
              <w:rPr>
                <w:rFonts w:cs="Times New Roman"/>
                <w:sz w:val="20"/>
                <w:szCs w:val="20"/>
              </w:rPr>
            </w:pPr>
          </w:p>
          <w:p w14:paraId="68C7F92E" w14:textId="77777777" w:rsidR="00A11A0D" w:rsidRPr="00200C3D" w:rsidRDefault="00A11A0D">
            <w:pPr>
              <w:rPr>
                <w:rFonts w:cs="Times New Roman"/>
                <w:sz w:val="20"/>
                <w:szCs w:val="20"/>
              </w:rPr>
            </w:pPr>
          </w:p>
          <w:p w14:paraId="12F0404A" w14:textId="69BA0BD9" w:rsidR="00A11A0D" w:rsidRPr="00200C3D" w:rsidRDefault="00A11A0D" w:rsidP="008B1D54">
            <w:pPr>
              <w:rPr>
                <w:rFonts w:cs="Times New Roman"/>
                <w:sz w:val="20"/>
                <w:szCs w:val="20"/>
              </w:rPr>
            </w:pPr>
          </w:p>
        </w:tc>
      </w:tr>
      <w:tr w:rsidR="000C618B" w14:paraId="4BB527C9" w14:textId="77777777" w:rsidTr="000C618B">
        <w:trPr>
          <w:trHeight w:val="608"/>
        </w:trPr>
        <w:tc>
          <w:tcPr>
            <w:tcW w:w="2155" w:type="dxa"/>
          </w:tcPr>
          <w:p w14:paraId="16653F9C" w14:textId="09BC48FC" w:rsidR="000C618B" w:rsidRPr="000C618B" w:rsidRDefault="000C618B" w:rsidP="008B1D54">
            <w:pPr>
              <w:rPr>
                <w:rFonts w:cs="Times New Roman"/>
                <w:sz w:val="20"/>
                <w:szCs w:val="20"/>
              </w:rPr>
            </w:pPr>
            <w:r w:rsidRPr="000C618B">
              <w:rPr>
                <w:rFonts w:cs="Times New Roman"/>
                <w:sz w:val="20"/>
                <w:szCs w:val="20"/>
              </w:rPr>
              <w:lastRenderedPageBreak/>
              <w:t>Road Safety</w:t>
            </w:r>
          </w:p>
          <w:p w14:paraId="454607C8" w14:textId="77777777" w:rsidR="000C618B" w:rsidRPr="000C618B" w:rsidRDefault="000C618B" w:rsidP="008B1D54">
            <w:pPr>
              <w:pStyle w:val="ListParagraph"/>
              <w:numPr>
                <w:ilvl w:val="0"/>
                <w:numId w:val="10"/>
              </w:numPr>
              <w:rPr>
                <w:rFonts w:cs="Times New Roman"/>
                <w:sz w:val="20"/>
                <w:szCs w:val="20"/>
              </w:rPr>
            </w:pPr>
            <w:r w:rsidRPr="000C618B">
              <w:rPr>
                <w:rFonts w:cs="Times New Roman"/>
                <w:sz w:val="20"/>
                <w:szCs w:val="20"/>
              </w:rPr>
              <w:t>High percentage of men dying in road accidents. However, as pedestrians, women are more vulnerable to road accidents.</w:t>
            </w:r>
          </w:p>
          <w:p w14:paraId="2AA561C5" w14:textId="77777777" w:rsidR="000C618B" w:rsidRPr="000C618B" w:rsidRDefault="000C618B" w:rsidP="008B1D54">
            <w:pPr>
              <w:rPr>
                <w:rFonts w:cs="Times New Roman"/>
                <w:sz w:val="20"/>
                <w:szCs w:val="20"/>
              </w:rPr>
            </w:pPr>
          </w:p>
          <w:p w14:paraId="25A47B70" w14:textId="77777777" w:rsidR="000C618B" w:rsidRPr="000C618B" w:rsidRDefault="000C618B" w:rsidP="008B1D54">
            <w:pPr>
              <w:rPr>
                <w:rFonts w:cs="Times New Roman"/>
                <w:sz w:val="20"/>
                <w:szCs w:val="20"/>
              </w:rPr>
            </w:pPr>
          </w:p>
        </w:tc>
        <w:tc>
          <w:tcPr>
            <w:tcW w:w="2250" w:type="dxa"/>
          </w:tcPr>
          <w:p w14:paraId="32204C5C" w14:textId="36554E8B" w:rsidR="000C618B" w:rsidRPr="000C618B" w:rsidRDefault="000C618B" w:rsidP="008B1D54">
            <w:pPr>
              <w:pStyle w:val="Default"/>
              <w:rPr>
                <w:color w:val="auto"/>
                <w:sz w:val="20"/>
                <w:szCs w:val="20"/>
              </w:rPr>
            </w:pPr>
            <w:r w:rsidRPr="000C618B">
              <w:rPr>
                <w:rFonts w:cs="Times New Roman"/>
                <w:color w:val="auto"/>
                <w:sz w:val="20"/>
                <w:szCs w:val="20"/>
              </w:rPr>
              <w:t>Women are involved in multi-chain trips (e</w:t>
            </w:r>
            <w:r w:rsidR="00A11A0D">
              <w:rPr>
                <w:rFonts w:cs="Times New Roman"/>
                <w:color w:val="auto"/>
                <w:sz w:val="20"/>
                <w:szCs w:val="20"/>
              </w:rPr>
              <w:t>.</w:t>
            </w:r>
            <w:r w:rsidRPr="000C618B">
              <w:rPr>
                <w:rFonts w:cs="Times New Roman"/>
                <w:color w:val="auto"/>
                <w:sz w:val="20"/>
                <w:szCs w:val="20"/>
              </w:rPr>
              <w:t>g. from home to work, to school, etc.),</w:t>
            </w:r>
            <w:r w:rsidRPr="000C618B">
              <w:rPr>
                <w:color w:val="auto"/>
                <w:sz w:val="20"/>
                <w:szCs w:val="20"/>
              </w:rPr>
              <w:t xml:space="preserve"> which expose them and their children to more car accidents. </w:t>
            </w:r>
          </w:p>
          <w:p w14:paraId="1C1E22A4" w14:textId="77777777" w:rsidR="000C618B" w:rsidRPr="000C618B" w:rsidRDefault="000C618B" w:rsidP="008B1D54">
            <w:pPr>
              <w:pStyle w:val="Default"/>
              <w:rPr>
                <w:color w:val="auto"/>
                <w:sz w:val="20"/>
                <w:szCs w:val="20"/>
              </w:rPr>
            </w:pPr>
          </w:p>
          <w:p w14:paraId="4B23B06A" w14:textId="77777777" w:rsidR="000C618B" w:rsidRPr="000C618B" w:rsidRDefault="000C618B" w:rsidP="008B1D54">
            <w:pPr>
              <w:pStyle w:val="Default"/>
              <w:rPr>
                <w:color w:val="auto"/>
                <w:sz w:val="20"/>
                <w:szCs w:val="20"/>
              </w:rPr>
            </w:pPr>
            <w:r w:rsidRPr="000C618B">
              <w:rPr>
                <w:color w:val="auto"/>
                <w:sz w:val="20"/>
                <w:szCs w:val="20"/>
              </w:rPr>
              <w:t>Men use more cars than women which make them more prone to fatal accidents.</w:t>
            </w:r>
          </w:p>
          <w:p w14:paraId="3333AD3F" w14:textId="77777777" w:rsidR="000C618B" w:rsidRPr="000C618B" w:rsidRDefault="000C618B" w:rsidP="008B1D54">
            <w:pPr>
              <w:pStyle w:val="Default"/>
              <w:rPr>
                <w:color w:val="auto"/>
                <w:sz w:val="20"/>
                <w:szCs w:val="20"/>
              </w:rPr>
            </w:pPr>
          </w:p>
          <w:p w14:paraId="608A2273" w14:textId="77777777" w:rsidR="000C618B" w:rsidRPr="000C618B" w:rsidRDefault="000C618B" w:rsidP="008B1D54">
            <w:pPr>
              <w:pStyle w:val="Default"/>
              <w:rPr>
                <w:color w:val="auto"/>
                <w:sz w:val="20"/>
                <w:szCs w:val="20"/>
              </w:rPr>
            </w:pPr>
            <w:r w:rsidRPr="000C618B">
              <w:rPr>
                <w:color w:val="auto"/>
                <w:sz w:val="20"/>
                <w:szCs w:val="20"/>
              </w:rPr>
              <w:t xml:space="preserve">Poor physical design of roads that do not take into account the needs of more vulnerable populations. </w:t>
            </w:r>
          </w:p>
          <w:p w14:paraId="2E588A71" w14:textId="77777777" w:rsidR="000C618B" w:rsidRPr="000C618B" w:rsidRDefault="000C618B" w:rsidP="008B1D54">
            <w:pPr>
              <w:rPr>
                <w:rFonts w:cs="Times New Roman"/>
                <w:sz w:val="20"/>
                <w:szCs w:val="20"/>
              </w:rPr>
            </w:pPr>
          </w:p>
        </w:tc>
        <w:tc>
          <w:tcPr>
            <w:tcW w:w="4140" w:type="dxa"/>
          </w:tcPr>
          <w:p w14:paraId="1705EACA" w14:textId="77777777" w:rsidR="000C618B" w:rsidRPr="000C618B" w:rsidRDefault="000C618B" w:rsidP="008B1D54">
            <w:pPr>
              <w:rPr>
                <w:rFonts w:cs="Times New Roman"/>
                <w:sz w:val="20"/>
                <w:szCs w:val="20"/>
              </w:rPr>
            </w:pPr>
            <w:r w:rsidRPr="000C618B">
              <w:rPr>
                <w:rFonts w:cs="Times New Roman"/>
                <w:sz w:val="20"/>
                <w:szCs w:val="20"/>
              </w:rPr>
              <w:t>Incorporation in the physical design of roads the needs of vulnerable populations (women, children, people with disabilities), for instance by encouraging the use of local area traffic management (e.g., use of traffic-calming devices such as road humps, creating lower-speed environments, and roundabouts) and safer road crossings (e.g., marked pedestrian crossing, controlled pedestrian crossing, and pedestrian overpasses or underpasses).</w:t>
            </w:r>
          </w:p>
          <w:p w14:paraId="590D0246" w14:textId="77777777" w:rsidR="000C618B" w:rsidRPr="000C618B" w:rsidRDefault="000C618B" w:rsidP="008B1D54">
            <w:pPr>
              <w:rPr>
                <w:rFonts w:cs="Times New Roman"/>
                <w:sz w:val="20"/>
                <w:szCs w:val="20"/>
              </w:rPr>
            </w:pPr>
          </w:p>
          <w:p w14:paraId="631D2ECA" w14:textId="77777777" w:rsidR="000C618B" w:rsidRPr="000C618B" w:rsidRDefault="000C618B" w:rsidP="008B1D54">
            <w:pPr>
              <w:rPr>
                <w:rFonts w:cs="Times New Roman"/>
                <w:sz w:val="20"/>
                <w:szCs w:val="20"/>
              </w:rPr>
            </w:pPr>
            <w:r w:rsidRPr="000C618B">
              <w:rPr>
                <w:rFonts w:cs="Times New Roman"/>
                <w:sz w:val="20"/>
                <w:szCs w:val="20"/>
              </w:rPr>
              <w:t>Providing trainings and designing/implementing awareness road safety campaigns.</w:t>
            </w:r>
          </w:p>
          <w:p w14:paraId="7198E2C8" w14:textId="77777777" w:rsidR="000C618B" w:rsidRPr="000C618B" w:rsidRDefault="000C618B" w:rsidP="008B1D54">
            <w:pPr>
              <w:rPr>
                <w:rFonts w:cs="Times New Roman"/>
                <w:sz w:val="20"/>
                <w:szCs w:val="20"/>
              </w:rPr>
            </w:pPr>
          </w:p>
          <w:p w14:paraId="114105F9" w14:textId="77777777" w:rsidR="000C618B" w:rsidRPr="000C618B" w:rsidRDefault="000C618B" w:rsidP="008B1D54">
            <w:pPr>
              <w:rPr>
                <w:rFonts w:cs="Times New Roman"/>
                <w:sz w:val="20"/>
                <w:szCs w:val="20"/>
              </w:rPr>
            </w:pPr>
          </w:p>
        </w:tc>
        <w:tc>
          <w:tcPr>
            <w:tcW w:w="1710" w:type="dxa"/>
          </w:tcPr>
          <w:p w14:paraId="31A7205D" w14:textId="2240CF1A" w:rsidR="000C618B" w:rsidRDefault="00CF1E65" w:rsidP="008B1D54">
            <w:pPr>
              <w:rPr>
                <w:rFonts w:cs="Times New Roman"/>
                <w:sz w:val="20"/>
                <w:szCs w:val="20"/>
              </w:rPr>
            </w:pPr>
            <w:r>
              <w:rPr>
                <w:rFonts w:cs="Times New Roman"/>
                <w:sz w:val="20"/>
                <w:szCs w:val="20"/>
              </w:rPr>
              <w:t xml:space="preserve">Local Roads Improvement Project </w:t>
            </w:r>
          </w:p>
          <w:p w14:paraId="2AB68602" w14:textId="77777777" w:rsidR="00CF1E65" w:rsidRDefault="00CF1E65" w:rsidP="008B1D54">
            <w:pPr>
              <w:rPr>
                <w:rFonts w:cs="Times New Roman"/>
                <w:sz w:val="20"/>
                <w:szCs w:val="20"/>
              </w:rPr>
            </w:pPr>
          </w:p>
          <w:p w14:paraId="158300EA" w14:textId="248BAA37" w:rsidR="00CF1E65" w:rsidRDefault="00CF1E65" w:rsidP="008B1D54">
            <w:pPr>
              <w:rPr>
                <w:rFonts w:cs="Times New Roman"/>
                <w:sz w:val="20"/>
                <w:szCs w:val="20"/>
              </w:rPr>
            </w:pPr>
            <w:r>
              <w:rPr>
                <w:rFonts w:cs="Times New Roman"/>
                <w:sz w:val="20"/>
                <w:szCs w:val="20"/>
              </w:rPr>
              <w:t>[</w:t>
            </w:r>
            <w:r w:rsidRPr="00FD674F">
              <w:rPr>
                <w:rFonts w:cs="Times New Roman"/>
                <w:color w:val="FF0000"/>
                <w:sz w:val="20"/>
                <w:szCs w:val="20"/>
              </w:rPr>
              <w:t>committed; restricted to the beneficiary communities of the project</w:t>
            </w:r>
            <w:r>
              <w:rPr>
                <w:rFonts w:cs="Times New Roman"/>
                <w:sz w:val="20"/>
                <w:szCs w:val="20"/>
              </w:rPr>
              <w:t>]</w:t>
            </w:r>
          </w:p>
        </w:tc>
        <w:tc>
          <w:tcPr>
            <w:tcW w:w="3330" w:type="dxa"/>
          </w:tcPr>
          <w:p w14:paraId="6D41C811" w14:textId="77777777" w:rsidR="000C618B" w:rsidRDefault="000C618B" w:rsidP="008B1D54">
            <w:pPr>
              <w:rPr>
                <w:rFonts w:cs="Times New Roman"/>
                <w:sz w:val="20"/>
                <w:szCs w:val="20"/>
              </w:rPr>
            </w:pPr>
            <w:r>
              <w:rPr>
                <w:rFonts w:cs="Times New Roman"/>
                <w:sz w:val="20"/>
                <w:szCs w:val="20"/>
              </w:rPr>
              <w:t>Number of consultations with women for road infrastructure design.</w:t>
            </w:r>
          </w:p>
          <w:p w14:paraId="0FA52ED6" w14:textId="77777777" w:rsidR="000C618B" w:rsidRDefault="000C618B" w:rsidP="008B1D54">
            <w:pPr>
              <w:rPr>
                <w:rFonts w:cs="Times New Roman"/>
                <w:sz w:val="20"/>
                <w:szCs w:val="20"/>
              </w:rPr>
            </w:pPr>
          </w:p>
          <w:p w14:paraId="4F02888E" w14:textId="77777777" w:rsidR="000C618B" w:rsidRDefault="000C618B" w:rsidP="008B1D54">
            <w:pPr>
              <w:rPr>
                <w:rFonts w:cs="Times New Roman"/>
                <w:sz w:val="20"/>
                <w:szCs w:val="20"/>
              </w:rPr>
            </w:pPr>
            <w:r>
              <w:rPr>
                <w:rFonts w:cs="Times New Roman"/>
                <w:sz w:val="20"/>
                <w:szCs w:val="20"/>
              </w:rPr>
              <w:t>Number of targeted awareness campaigns for women and children on road safety</w:t>
            </w:r>
          </w:p>
          <w:p w14:paraId="2F3D8DFF" w14:textId="77777777" w:rsidR="000C618B" w:rsidRDefault="000C618B" w:rsidP="008B1D54">
            <w:pPr>
              <w:rPr>
                <w:rFonts w:cs="Times New Roman"/>
                <w:sz w:val="20"/>
                <w:szCs w:val="20"/>
              </w:rPr>
            </w:pPr>
          </w:p>
          <w:p w14:paraId="677D4461" w14:textId="77777777" w:rsidR="000C618B" w:rsidRDefault="000C618B" w:rsidP="008B1D54">
            <w:pPr>
              <w:rPr>
                <w:rFonts w:cs="Times New Roman"/>
                <w:sz w:val="20"/>
                <w:szCs w:val="20"/>
              </w:rPr>
            </w:pPr>
            <w:r>
              <w:rPr>
                <w:rFonts w:cs="Times New Roman"/>
                <w:sz w:val="20"/>
                <w:szCs w:val="20"/>
              </w:rPr>
              <w:t>Number of trainings for girls and women on road safety</w:t>
            </w:r>
          </w:p>
        </w:tc>
      </w:tr>
      <w:tr w:rsidR="000C618B" w14:paraId="4C538CC2" w14:textId="77777777" w:rsidTr="000C618B">
        <w:trPr>
          <w:trHeight w:val="608"/>
        </w:trPr>
        <w:tc>
          <w:tcPr>
            <w:tcW w:w="2155" w:type="dxa"/>
          </w:tcPr>
          <w:p w14:paraId="7FC42F18" w14:textId="73915D55" w:rsidR="000C618B" w:rsidRPr="000C618B" w:rsidRDefault="000C618B" w:rsidP="008B1D54">
            <w:pPr>
              <w:rPr>
                <w:rFonts w:cs="Times New Roman"/>
                <w:sz w:val="20"/>
                <w:szCs w:val="20"/>
              </w:rPr>
            </w:pPr>
            <w:r>
              <w:rPr>
                <w:rFonts w:cs="Times New Roman"/>
                <w:sz w:val="20"/>
                <w:szCs w:val="20"/>
              </w:rPr>
              <w:t>Mobility barriers and ac</w:t>
            </w:r>
            <w:r w:rsidRPr="000C618B">
              <w:rPr>
                <w:rFonts w:cs="Times New Roman"/>
                <w:sz w:val="20"/>
                <w:szCs w:val="20"/>
              </w:rPr>
              <w:t>cess to jobs</w:t>
            </w:r>
          </w:p>
          <w:p w14:paraId="244FAD32" w14:textId="77777777" w:rsidR="000C618B" w:rsidRPr="000C618B" w:rsidRDefault="000C618B" w:rsidP="000C618B">
            <w:pPr>
              <w:pStyle w:val="ListParagraph"/>
              <w:numPr>
                <w:ilvl w:val="0"/>
                <w:numId w:val="10"/>
              </w:numPr>
              <w:rPr>
                <w:rFonts w:cs="Times New Roman"/>
                <w:sz w:val="20"/>
                <w:szCs w:val="20"/>
              </w:rPr>
            </w:pPr>
            <w:r w:rsidRPr="000C618B">
              <w:rPr>
                <w:rFonts w:cs="Times New Roman"/>
                <w:sz w:val="20"/>
                <w:szCs w:val="20"/>
              </w:rPr>
              <w:t xml:space="preserve">Women and men have different mobility patterns and use of </w:t>
            </w:r>
            <w:r w:rsidRPr="000C618B">
              <w:rPr>
                <w:rFonts w:cs="Times New Roman"/>
                <w:sz w:val="20"/>
                <w:szCs w:val="20"/>
              </w:rPr>
              <w:lastRenderedPageBreak/>
              <w:t>transport modes, which can impact their ability to access to more and better jobs.</w:t>
            </w:r>
          </w:p>
        </w:tc>
        <w:tc>
          <w:tcPr>
            <w:tcW w:w="2250" w:type="dxa"/>
          </w:tcPr>
          <w:p w14:paraId="1FB42C36" w14:textId="77777777" w:rsidR="000C618B" w:rsidRDefault="000C618B" w:rsidP="008B1D54">
            <w:pPr>
              <w:pStyle w:val="Default"/>
              <w:rPr>
                <w:rFonts w:cs="Times New Roman"/>
                <w:sz w:val="20"/>
                <w:szCs w:val="20"/>
              </w:rPr>
            </w:pPr>
            <w:r>
              <w:rPr>
                <w:rFonts w:cs="Times New Roman"/>
                <w:sz w:val="20"/>
                <w:szCs w:val="20"/>
              </w:rPr>
              <w:lastRenderedPageBreak/>
              <w:t>Social and economic roles of men and women:</w:t>
            </w:r>
            <w:r w:rsidRPr="006E5046">
              <w:rPr>
                <w:rFonts w:cs="Times New Roman"/>
                <w:sz w:val="20"/>
                <w:szCs w:val="20"/>
              </w:rPr>
              <w:t xml:space="preserve"> many women need to make trips that are shorter in both time and distance, be more willing to combine trips, make more hous</w:t>
            </w:r>
            <w:r>
              <w:rPr>
                <w:rFonts w:cs="Times New Roman"/>
                <w:sz w:val="20"/>
                <w:szCs w:val="20"/>
              </w:rPr>
              <w:t>ehold-</w:t>
            </w:r>
            <w:r>
              <w:rPr>
                <w:rFonts w:cs="Times New Roman"/>
                <w:sz w:val="20"/>
                <w:szCs w:val="20"/>
              </w:rPr>
              <w:lastRenderedPageBreak/>
              <w:t xml:space="preserve">serving trips, </w:t>
            </w:r>
            <w:r w:rsidRPr="006E5046">
              <w:rPr>
                <w:rFonts w:cs="Times New Roman"/>
                <w:sz w:val="20"/>
                <w:szCs w:val="20"/>
              </w:rPr>
              <w:t>and travel with children and with more packages than men do</w:t>
            </w:r>
            <w:r>
              <w:rPr>
                <w:rFonts w:cs="Times New Roman"/>
                <w:sz w:val="20"/>
                <w:szCs w:val="20"/>
              </w:rPr>
              <w:t>. This limits the possibility of accessing better jobs.</w:t>
            </w:r>
          </w:p>
          <w:p w14:paraId="5E10CD4F" w14:textId="77777777" w:rsidR="000C618B" w:rsidRDefault="000C618B" w:rsidP="008B1D54">
            <w:pPr>
              <w:pStyle w:val="Default"/>
              <w:rPr>
                <w:rFonts w:cs="Times New Roman"/>
                <w:sz w:val="20"/>
                <w:szCs w:val="20"/>
              </w:rPr>
            </w:pPr>
            <w:r>
              <w:rPr>
                <w:rFonts w:cs="Times New Roman"/>
                <w:sz w:val="20"/>
                <w:szCs w:val="20"/>
              </w:rPr>
              <w:t xml:space="preserve"> </w:t>
            </w:r>
          </w:p>
        </w:tc>
        <w:tc>
          <w:tcPr>
            <w:tcW w:w="4140" w:type="dxa"/>
          </w:tcPr>
          <w:p w14:paraId="45A14AA8" w14:textId="77777777" w:rsidR="000C618B" w:rsidRDefault="000C618B" w:rsidP="008B1D54">
            <w:pPr>
              <w:rPr>
                <w:rFonts w:cs="Times New Roman"/>
                <w:sz w:val="20"/>
                <w:szCs w:val="20"/>
              </w:rPr>
            </w:pPr>
            <w:r>
              <w:rPr>
                <w:rFonts w:cs="Times New Roman"/>
                <w:sz w:val="20"/>
                <w:szCs w:val="20"/>
              </w:rPr>
              <w:lastRenderedPageBreak/>
              <w:t>Undertake gender analysis to inform the design of transport investment.</w:t>
            </w:r>
          </w:p>
          <w:p w14:paraId="57B9EBA4" w14:textId="77777777" w:rsidR="000C618B" w:rsidRDefault="000C618B" w:rsidP="008B1D54">
            <w:pPr>
              <w:rPr>
                <w:rFonts w:cs="Times New Roman"/>
                <w:sz w:val="20"/>
                <w:szCs w:val="20"/>
              </w:rPr>
            </w:pPr>
          </w:p>
          <w:p w14:paraId="1291DFE7" w14:textId="77777777" w:rsidR="000C618B" w:rsidRDefault="000C618B" w:rsidP="008B1D54">
            <w:pPr>
              <w:rPr>
                <w:rFonts w:cs="Times New Roman"/>
                <w:sz w:val="20"/>
                <w:szCs w:val="20"/>
              </w:rPr>
            </w:pPr>
            <w:r>
              <w:rPr>
                <w:rFonts w:cs="Times New Roman"/>
                <w:sz w:val="20"/>
                <w:szCs w:val="20"/>
              </w:rPr>
              <w:t>Conduct qualitative analysis on women’s barriers to mobility or use planned Impact Evaluations to incorporate questions that can capture gender differences in mobility.</w:t>
            </w:r>
          </w:p>
          <w:p w14:paraId="014754EC" w14:textId="77777777" w:rsidR="000C618B" w:rsidRDefault="000C618B" w:rsidP="008B1D54">
            <w:pPr>
              <w:rPr>
                <w:rFonts w:cs="Times New Roman"/>
                <w:sz w:val="20"/>
                <w:szCs w:val="20"/>
              </w:rPr>
            </w:pPr>
          </w:p>
          <w:p w14:paraId="28919776" w14:textId="77777777" w:rsidR="000C618B" w:rsidRDefault="000C618B" w:rsidP="008B1D54">
            <w:pPr>
              <w:rPr>
                <w:rFonts w:cs="Times New Roman"/>
                <w:sz w:val="20"/>
                <w:szCs w:val="20"/>
              </w:rPr>
            </w:pPr>
            <w:r>
              <w:rPr>
                <w:rFonts w:cs="Times New Roman"/>
                <w:sz w:val="20"/>
                <w:szCs w:val="20"/>
              </w:rPr>
              <w:lastRenderedPageBreak/>
              <w:t>Include women in stakeholder’s consultations for transport planning.</w:t>
            </w:r>
          </w:p>
          <w:p w14:paraId="746C4668" w14:textId="77777777" w:rsidR="000C618B" w:rsidRDefault="000C618B" w:rsidP="008B1D54">
            <w:pPr>
              <w:rPr>
                <w:rFonts w:cs="Times New Roman"/>
                <w:sz w:val="20"/>
                <w:szCs w:val="20"/>
              </w:rPr>
            </w:pPr>
          </w:p>
          <w:p w14:paraId="78D6067E" w14:textId="77777777" w:rsidR="000C618B" w:rsidRDefault="000C618B" w:rsidP="008B1D54">
            <w:pPr>
              <w:rPr>
                <w:rFonts w:cs="Times New Roman"/>
                <w:sz w:val="20"/>
                <w:szCs w:val="20"/>
              </w:rPr>
            </w:pPr>
            <w:r>
              <w:rPr>
                <w:rFonts w:cs="Times New Roman"/>
                <w:sz w:val="20"/>
                <w:szCs w:val="20"/>
              </w:rPr>
              <w:t>Collect sex disaggregated data on access constraints through routine transport monitoring as user satisfaction surveys.</w:t>
            </w:r>
          </w:p>
          <w:p w14:paraId="45C3F800" w14:textId="77777777" w:rsidR="000C618B" w:rsidRDefault="000C618B" w:rsidP="008B1D54">
            <w:pPr>
              <w:rPr>
                <w:rFonts w:cs="Times New Roman"/>
                <w:sz w:val="20"/>
                <w:szCs w:val="20"/>
              </w:rPr>
            </w:pPr>
          </w:p>
        </w:tc>
        <w:tc>
          <w:tcPr>
            <w:tcW w:w="1710" w:type="dxa"/>
          </w:tcPr>
          <w:p w14:paraId="720643AD" w14:textId="77777777" w:rsidR="00CF1E65" w:rsidRDefault="00CF1E65" w:rsidP="00CF1E65">
            <w:pPr>
              <w:rPr>
                <w:rFonts w:cs="Times New Roman"/>
                <w:sz w:val="20"/>
                <w:szCs w:val="20"/>
              </w:rPr>
            </w:pPr>
            <w:r>
              <w:rPr>
                <w:rFonts w:cs="Times New Roman"/>
                <w:sz w:val="20"/>
                <w:szCs w:val="20"/>
              </w:rPr>
              <w:lastRenderedPageBreak/>
              <w:t xml:space="preserve">Local Roads Improvement Project </w:t>
            </w:r>
          </w:p>
          <w:p w14:paraId="755F440C" w14:textId="77777777" w:rsidR="00CF1E65" w:rsidRDefault="00CF1E65" w:rsidP="00CF1E65">
            <w:pPr>
              <w:rPr>
                <w:rFonts w:cs="Times New Roman"/>
                <w:sz w:val="20"/>
                <w:szCs w:val="20"/>
              </w:rPr>
            </w:pPr>
          </w:p>
          <w:p w14:paraId="0A0DE4F4" w14:textId="2B55EA91" w:rsidR="000C618B" w:rsidRDefault="00CF1E65" w:rsidP="00CF1E65">
            <w:pPr>
              <w:rPr>
                <w:rFonts w:cs="Times New Roman"/>
                <w:sz w:val="20"/>
                <w:szCs w:val="20"/>
              </w:rPr>
            </w:pPr>
            <w:r>
              <w:rPr>
                <w:rFonts w:cs="Times New Roman"/>
                <w:sz w:val="20"/>
                <w:szCs w:val="20"/>
              </w:rPr>
              <w:t>[</w:t>
            </w:r>
            <w:r w:rsidRPr="00304A1A">
              <w:rPr>
                <w:rFonts w:cs="Times New Roman"/>
                <w:color w:val="FF0000"/>
                <w:sz w:val="20"/>
                <w:szCs w:val="20"/>
              </w:rPr>
              <w:t xml:space="preserve">committed; restricted to the beneficiary </w:t>
            </w:r>
            <w:r w:rsidRPr="00304A1A">
              <w:rPr>
                <w:rFonts w:cs="Times New Roman"/>
                <w:color w:val="FF0000"/>
                <w:sz w:val="20"/>
                <w:szCs w:val="20"/>
              </w:rPr>
              <w:lastRenderedPageBreak/>
              <w:t>communities of the project</w:t>
            </w:r>
            <w:r>
              <w:rPr>
                <w:rFonts w:cs="Times New Roman"/>
                <w:sz w:val="20"/>
                <w:szCs w:val="20"/>
              </w:rPr>
              <w:t>]</w:t>
            </w:r>
          </w:p>
        </w:tc>
        <w:tc>
          <w:tcPr>
            <w:tcW w:w="3330" w:type="dxa"/>
          </w:tcPr>
          <w:p w14:paraId="52152D05" w14:textId="1A149984" w:rsidR="000C618B" w:rsidRDefault="000C618B" w:rsidP="008B1D54">
            <w:pPr>
              <w:rPr>
                <w:rFonts w:cs="Times New Roman"/>
                <w:sz w:val="20"/>
                <w:szCs w:val="20"/>
              </w:rPr>
            </w:pPr>
            <w:r>
              <w:rPr>
                <w:rFonts w:cs="Times New Roman"/>
                <w:sz w:val="20"/>
                <w:szCs w:val="20"/>
              </w:rPr>
              <w:lastRenderedPageBreak/>
              <w:t>Number of qualitative/quantitative assessments that identify women’s mobility barriers</w:t>
            </w:r>
          </w:p>
          <w:p w14:paraId="116D047E" w14:textId="77777777" w:rsidR="000C618B" w:rsidRDefault="000C618B" w:rsidP="008B1D54">
            <w:pPr>
              <w:rPr>
                <w:rFonts w:cs="Times New Roman"/>
                <w:sz w:val="20"/>
                <w:szCs w:val="20"/>
              </w:rPr>
            </w:pPr>
          </w:p>
          <w:p w14:paraId="1E5209ED" w14:textId="1E9ABA25" w:rsidR="000C618B" w:rsidRDefault="00CF1E65" w:rsidP="008B1D54">
            <w:pPr>
              <w:rPr>
                <w:rFonts w:cs="Times New Roman"/>
                <w:sz w:val="20"/>
                <w:szCs w:val="20"/>
              </w:rPr>
            </w:pPr>
            <w:r>
              <w:rPr>
                <w:rFonts w:cs="Times New Roman"/>
                <w:sz w:val="20"/>
                <w:szCs w:val="20"/>
              </w:rPr>
              <w:t>Recommendations of gender-sensitive assessments reflected in sub-project design</w:t>
            </w:r>
          </w:p>
        </w:tc>
      </w:tr>
    </w:tbl>
    <w:p w14:paraId="407E535B" w14:textId="77777777" w:rsidR="00546933" w:rsidRDefault="00546933" w:rsidP="00D57BD0">
      <w:pPr>
        <w:spacing w:after="0" w:line="240" w:lineRule="auto"/>
        <w:rPr>
          <w:rFonts w:cs="Times New Roman"/>
          <w:b/>
        </w:rPr>
        <w:sectPr w:rsidR="00546933" w:rsidSect="00546933">
          <w:pgSz w:w="15840" w:h="12240" w:orient="landscape"/>
          <w:pgMar w:top="1440" w:right="1440" w:bottom="1440" w:left="1440" w:header="720" w:footer="720" w:gutter="0"/>
          <w:cols w:space="720"/>
          <w:docGrid w:linePitch="360"/>
        </w:sectPr>
      </w:pPr>
    </w:p>
    <w:p w14:paraId="4950B37C" w14:textId="77777777" w:rsidR="00546933" w:rsidRPr="00B50FD1" w:rsidRDefault="00546933" w:rsidP="00D57BD0">
      <w:pPr>
        <w:spacing w:after="0" w:line="240" w:lineRule="auto"/>
        <w:rPr>
          <w:rFonts w:cs="Times New Roman"/>
          <w:b/>
        </w:rPr>
      </w:pPr>
    </w:p>
    <w:p w14:paraId="38026554" w14:textId="77777777" w:rsidR="00D57BD0" w:rsidRPr="00B50FD1" w:rsidRDefault="00D57BD0" w:rsidP="00D57BD0">
      <w:pPr>
        <w:spacing w:after="0" w:line="240" w:lineRule="auto"/>
        <w:jc w:val="center"/>
        <w:rPr>
          <w:rFonts w:cs="Times New Roman"/>
          <w:b/>
        </w:rPr>
      </w:pPr>
    </w:p>
    <w:p w14:paraId="4EF613B8" w14:textId="77777777" w:rsidR="00D57BD0" w:rsidRPr="00B50FD1" w:rsidRDefault="00D57BD0" w:rsidP="009366B8">
      <w:pPr>
        <w:pStyle w:val="Heading2"/>
      </w:pPr>
      <w:bookmarkStart w:id="9" w:name="_Toc476839795"/>
      <w:r w:rsidRPr="00B50FD1">
        <w:t>Bibliography</w:t>
      </w:r>
      <w:bookmarkEnd w:id="9"/>
    </w:p>
    <w:p w14:paraId="515F4944" w14:textId="77777777" w:rsidR="00D57BD0" w:rsidRPr="00B50FD1" w:rsidRDefault="00D57BD0" w:rsidP="00D57BD0">
      <w:pPr>
        <w:spacing w:after="0" w:line="240" w:lineRule="auto"/>
        <w:rPr>
          <w:rFonts w:cs="Times New Roman"/>
        </w:rPr>
      </w:pPr>
    </w:p>
    <w:p w14:paraId="4F8AA439" w14:textId="77777777" w:rsidR="00D57BD0" w:rsidRPr="00B50FD1" w:rsidRDefault="00D57BD0" w:rsidP="00D57BD0">
      <w:pPr>
        <w:spacing w:after="0" w:line="240" w:lineRule="auto"/>
        <w:rPr>
          <w:rFonts w:cs="Times New Roman"/>
        </w:rPr>
      </w:pPr>
    </w:p>
    <w:p w14:paraId="14CAF57A" w14:textId="77777777" w:rsidR="00D57BD0" w:rsidRPr="00B50FD1" w:rsidRDefault="00D57BD0" w:rsidP="00D57BD0">
      <w:pPr>
        <w:spacing w:after="0" w:line="240" w:lineRule="auto"/>
        <w:rPr>
          <w:rFonts w:cs="Times New Roman"/>
        </w:rPr>
      </w:pPr>
      <w:r w:rsidRPr="00B50FD1">
        <w:rPr>
          <w:rFonts w:cs="Times New Roman"/>
        </w:rPr>
        <w:t xml:space="preserve">Gender Knowledge Gateway, Republic of Moldova </w:t>
      </w:r>
      <w:hyperlink r:id="rId14" w:history="1">
        <w:r w:rsidRPr="00B50FD1">
          <w:rPr>
            <w:rStyle w:val="Hyperlink"/>
            <w:rFonts w:cs="Times New Roman"/>
          </w:rPr>
          <w:t>http://egalitatedegen.md/en/</w:t>
        </w:r>
      </w:hyperlink>
      <w:r w:rsidRPr="00B50FD1">
        <w:rPr>
          <w:rFonts w:cs="Times New Roman"/>
        </w:rPr>
        <w:t xml:space="preserve"> </w:t>
      </w:r>
    </w:p>
    <w:p w14:paraId="493809D5" w14:textId="77777777" w:rsidR="00D57BD0" w:rsidRPr="00B50FD1" w:rsidRDefault="00D57BD0" w:rsidP="00D57BD0">
      <w:pPr>
        <w:spacing w:after="0" w:line="240" w:lineRule="auto"/>
        <w:rPr>
          <w:rFonts w:cs="Times New Roman"/>
        </w:rPr>
      </w:pPr>
    </w:p>
    <w:p w14:paraId="347C9E06" w14:textId="77777777" w:rsidR="00D57BD0" w:rsidRPr="00B50FD1" w:rsidRDefault="00D57BD0" w:rsidP="00D57BD0">
      <w:pPr>
        <w:spacing w:after="0" w:line="240" w:lineRule="auto"/>
        <w:rPr>
          <w:rFonts w:cs="Times New Roman"/>
        </w:rPr>
      </w:pPr>
    </w:p>
    <w:p w14:paraId="2BC70EDE" w14:textId="2AFD8EFB" w:rsidR="00D57BD0" w:rsidRPr="00B50FD1" w:rsidRDefault="00D57BD0" w:rsidP="00D57BD0">
      <w:pPr>
        <w:spacing w:after="0" w:line="240" w:lineRule="auto"/>
        <w:rPr>
          <w:rFonts w:cs="Times New Roman"/>
          <w:i/>
        </w:rPr>
      </w:pPr>
      <w:r w:rsidRPr="00B50FD1">
        <w:rPr>
          <w:rFonts w:cs="Times New Roman"/>
        </w:rPr>
        <w:t>Poutiainen, P.</w:t>
      </w:r>
      <w:r w:rsidR="006813D3">
        <w:rPr>
          <w:rFonts w:cs="Times New Roman"/>
        </w:rPr>
        <w:t>,</w:t>
      </w:r>
      <w:r w:rsidRPr="00B50FD1">
        <w:rPr>
          <w:rFonts w:cs="Times New Roman"/>
        </w:rPr>
        <w:t xml:space="preserve"> Brearley, EJ.</w:t>
      </w:r>
      <w:r w:rsidR="006813D3">
        <w:rPr>
          <w:rFonts w:cs="Times New Roman"/>
        </w:rPr>
        <w:t>,</w:t>
      </w:r>
      <w:r w:rsidRPr="00B50FD1">
        <w:rPr>
          <w:rFonts w:cs="Times New Roman"/>
        </w:rPr>
        <w:t xml:space="preserve"> and Vyzaki, M. 2016. </w:t>
      </w:r>
      <w:r w:rsidRPr="00B50FD1">
        <w:rPr>
          <w:rFonts w:cs="Times New Roman"/>
          <w:i/>
        </w:rPr>
        <w:t xml:space="preserve">Policy Note: General principles for Gender Mainstreaming and Benchmarking in ECA. </w:t>
      </w:r>
      <w:r w:rsidRPr="00B50FD1">
        <w:rPr>
          <w:rFonts w:cs="Times New Roman"/>
        </w:rPr>
        <w:t>World Bank,</w:t>
      </w:r>
      <w:r w:rsidRPr="00B50FD1">
        <w:rPr>
          <w:rFonts w:cs="Times New Roman"/>
          <w:i/>
        </w:rPr>
        <w:t xml:space="preserve"> </w:t>
      </w:r>
      <w:r w:rsidRPr="00B50FD1">
        <w:rPr>
          <w:rFonts w:cs="Times New Roman"/>
        </w:rPr>
        <w:t xml:space="preserve">Washington DC. </w:t>
      </w:r>
      <w:r w:rsidRPr="00B50FD1">
        <w:rPr>
          <w:rFonts w:cs="Times New Roman"/>
          <w:i/>
        </w:rPr>
        <w:t xml:space="preserve"> </w:t>
      </w:r>
    </w:p>
    <w:p w14:paraId="0E922774" w14:textId="77777777" w:rsidR="00D57BD0" w:rsidRPr="00B50FD1" w:rsidRDefault="00D57BD0" w:rsidP="00D57BD0">
      <w:pPr>
        <w:spacing w:after="0" w:line="240" w:lineRule="auto"/>
        <w:rPr>
          <w:rFonts w:cs="Times New Roman"/>
        </w:rPr>
      </w:pPr>
    </w:p>
    <w:p w14:paraId="18004796" w14:textId="5D6502F5" w:rsidR="00D57BD0" w:rsidRPr="00B50FD1" w:rsidRDefault="00D57BD0" w:rsidP="00D57BD0">
      <w:pPr>
        <w:spacing w:after="0" w:line="240" w:lineRule="auto"/>
        <w:rPr>
          <w:rFonts w:cs="Times New Roman"/>
        </w:rPr>
      </w:pPr>
      <w:r w:rsidRPr="00B50FD1">
        <w:rPr>
          <w:rFonts w:cs="Times New Roman"/>
        </w:rPr>
        <w:t>Partnership for Development Center (PDC)</w:t>
      </w:r>
      <w:r w:rsidR="006813D3">
        <w:rPr>
          <w:rFonts w:cs="Times New Roman"/>
        </w:rPr>
        <w:t>.</w:t>
      </w:r>
      <w:r w:rsidRPr="00B50FD1">
        <w:rPr>
          <w:rFonts w:cs="Times New Roman"/>
        </w:rPr>
        <w:t xml:space="preserve"> 2015</w:t>
      </w:r>
      <w:r w:rsidR="006813D3">
        <w:rPr>
          <w:rFonts w:cs="Times New Roman"/>
        </w:rPr>
        <w:t>.</w:t>
      </w:r>
      <w:r w:rsidRPr="00B50FD1">
        <w:rPr>
          <w:rFonts w:cs="Times New Roman"/>
        </w:rPr>
        <w:t xml:space="preserve"> </w:t>
      </w:r>
      <w:r w:rsidRPr="00B50FD1">
        <w:rPr>
          <w:rFonts w:cs="Times New Roman"/>
          <w:i/>
        </w:rPr>
        <w:t>Gender Equality Index: Gender Policies Impact 2009-2014</w:t>
      </w:r>
      <w:r w:rsidRPr="00B50FD1">
        <w:rPr>
          <w:rFonts w:cs="Times New Roman"/>
        </w:rPr>
        <w:t>, Chisinau, Moldova</w:t>
      </w:r>
    </w:p>
    <w:p w14:paraId="5DC7130B" w14:textId="77777777" w:rsidR="00D57BD0" w:rsidRPr="00B50FD1" w:rsidRDefault="00D57BD0" w:rsidP="00D57BD0">
      <w:pPr>
        <w:spacing w:after="0" w:line="240" w:lineRule="auto"/>
        <w:rPr>
          <w:rFonts w:cs="Times New Roman"/>
        </w:rPr>
      </w:pPr>
    </w:p>
    <w:p w14:paraId="393266C3" w14:textId="3C7F5055" w:rsidR="00D57BD0" w:rsidRPr="00B50FD1" w:rsidRDefault="00D57BD0" w:rsidP="00D57BD0">
      <w:pPr>
        <w:spacing w:after="0" w:line="240" w:lineRule="auto"/>
        <w:rPr>
          <w:rFonts w:cs="Times New Roman"/>
        </w:rPr>
      </w:pPr>
      <w:r w:rsidRPr="00B50FD1">
        <w:rPr>
          <w:rFonts w:cs="Times New Roman"/>
        </w:rPr>
        <w:t xml:space="preserve">Partnership for Development Center (PDC) with </w:t>
      </w:r>
      <w:r w:rsidR="006813D3">
        <w:rPr>
          <w:rFonts w:cs="Times New Roman"/>
        </w:rPr>
        <w:t xml:space="preserve">the </w:t>
      </w:r>
      <w:r w:rsidRPr="00B50FD1">
        <w:rPr>
          <w:rFonts w:cs="Times New Roman"/>
        </w:rPr>
        <w:t xml:space="preserve">support of </w:t>
      </w:r>
      <w:r w:rsidR="006813D3">
        <w:rPr>
          <w:rFonts w:cs="Times New Roman"/>
        </w:rPr>
        <w:t xml:space="preserve">the </w:t>
      </w:r>
      <w:r w:rsidRPr="00B50FD1">
        <w:rPr>
          <w:rFonts w:cs="Times New Roman"/>
        </w:rPr>
        <w:t>East-European Foundation</w:t>
      </w:r>
      <w:r w:rsidR="006813D3">
        <w:rPr>
          <w:rFonts w:cs="Times New Roman"/>
        </w:rPr>
        <w:t>.</w:t>
      </w:r>
      <w:r w:rsidRPr="00B50FD1">
        <w:rPr>
          <w:rFonts w:cs="Times New Roman"/>
        </w:rPr>
        <w:t xml:space="preserve"> 2015</w:t>
      </w:r>
      <w:r w:rsidR="006813D3">
        <w:rPr>
          <w:rFonts w:cs="Times New Roman"/>
        </w:rPr>
        <w:t>.</w:t>
      </w:r>
      <w:r w:rsidRPr="00B50FD1">
        <w:rPr>
          <w:rFonts w:cs="Times New Roman"/>
        </w:rPr>
        <w:t xml:space="preserve"> </w:t>
      </w:r>
      <w:r w:rsidRPr="00B50FD1">
        <w:rPr>
          <w:rFonts w:cs="Times New Roman"/>
          <w:i/>
        </w:rPr>
        <w:t xml:space="preserve">Recommendations for the National Strategy on Labor Force Participation 2017-2021, </w:t>
      </w:r>
      <w:r w:rsidRPr="00B50FD1">
        <w:rPr>
          <w:rFonts w:cs="Times New Roman"/>
        </w:rPr>
        <w:t xml:space="preserve">Chisinau, Moldova </w:t>
      </w:r>
      <w:hyperlink r:id="rId15" w:history="1">
        <w:r w:rsidRPr="00B50FD1">
          <w:rPr>
            <w:rStyle w:val="Hyperlink"/>
            <w:rFonts w:cs="Times New Roman"/>
          </w:rPr>
          <w:t>http://www.progen.md/files/4823_cpd_set_de_recomandari_snofm_2017-2021.pdf</w:t>
        </w:r>
      </w:hyperlink>
    </w:p>
    <w:p w14:paraId="5D9D118B" w14:textId="77777777" w:rsidR="00D57BD0" w:rsidRPr="00B50FD1" w:rsidRDefault="00D57BD0" w:rsidP="00D57BD0">
      <w:pPr>
        <w:spacing w:after="0" w:line="240" w:lineRule="auto"/>
        <w:rPr>
          <w:rFonts w:cs="Times New Roman"/>
        </w:rPr>
      </w:pPr>
    </w:p>
    <w:p w14:paraId="0CA33FDA" w14:textId="77777777" w:rsidR="006813D3" w:rsidRPr="00B50FD1" w:rsidRDefault="006813D3" w:rsidP="006813D3">
      <w:pPr>
        <w:spacing w:after="0" w:line="240" w:lineRule="auto"/>
        <w:rPr>
          <w:rFonts w:cs="Times New Roman"/>
        </w:rPr>
      </w:pPr>
      <w:r>
        <w:rPr>
          <w:rFonts w:cs="Times New Roman"/>
        </w:rPr>
        <w:t xml:space="preserve">Republic of Moldova. 2016. </w:t>
      </w:r>
      <w:r w:rsidRPr="00B50FD1">
        <w:rPr>
          <w:rFonts w:cs="Times New Roman"/>
        </w:rPr>
        <w:t>Gender Equality Strategy, 2016-2020</w:t>
      </w:r>
      <w:r>
        <w:rPr>
          <w:rFonts w:cs="Times New Roman"/>
        </w:rPr>
        <w:t xml:space="preserve">. </w:t>
      </w:r>
    </w:p>
    <w:p w14:paraId="6DD545CA" w14:textId="77777777" w:rsidR="006813D3" w:rsidRDefault="006813D3" w:rsidP="00D57BD0">
      <w:pPr>
        <w:spacing w:after="0" w:line="240" w:lineRule="auto"/>
        <w:rPr>
          <w:rFonts w:cs="Times New Roman"/>
          <w:iCs/>
        </w:rPr>
      </w:pPr>
    </w:p>
    <w:p w14:paraId="6DB6DF01" w14:textId="77777777" w:rsidR="00D57BD0" w:rsidRPr="00B50FD1" w:rsidRDefault="00D57BD0" w:rsidP="00D57BD0">
      <w:pPr>
        <w:spacing w:after="0" w:line="240" w:lineRule="auto"/>
        <w:rPr>
          <w:rFonts w:cs="Times New Roman"/>
          <w:iCs/>
        </w:rPr>
      </w:pPr>
      <w:r w:rsidRPr="00B50FD1">
        <w:rPr>
          <w:rFonts w:cs="Times New Roman"/>
          <w:iCs/>
        </w:rPr>
        <w:t xml:space="preserve">Soros Foundation, IPP, </w:t>
      </w:r>
      <w:r w:rsidRPr="00B50FD1">
        <w:rPr>
          <w:rFonts w:cs="Times New Roman"/>
          <w:i/>
          <w:iCs/>
        </w:rPr>
        <w:t>Percepţiile cetăţenilor asupra rolurilor de gen</w:t>
      </w:r>
    </w:p>
    <w:p w14:paraId="1B961D94" w14:textId="77777777" w:rsidR="00D57BD0" w:rsidRPr="00B50FD1" w:rsidRDefault="00D57BD0" w:rsidP="00D57BD0">
      <w:pPr>
        <w:spacing w:after="0" w:line="240" w:lineRule="auto"/>
        <w:rPr>
          <w:rFonts w:cs="Times New Roman"/>
        </w:rPr>
      </w:pPr>
    </w:p>
    <w:p w14:paraId="68F9861D" w14:textId="7B3992EF" w:rsidR="00D57BD0" w:rsidRPr="00B50FD1" w:rsidRDefault="00D57BD0" w:rsidP="00D57BD0">
      <w:pPr>
        <w:spacing w:after="0" w:line="240" w:lineRule="auto"/>
        <w:rPr>
          <w:rFonts w:cs="Times New Roman"/>
        </w:rPr>
      </w:pPr>
      <w:r w:rsidRPr="00B50FD1">
        <w:rPr>
          <w:rFonts w:cs="Times New Roman"/>
        </w:rPr>
        <w:t xml:space="preserve">Spear, A. et al. 2016. </w:t>
      </w:r>
      <w:r w:rsidRPr="00B50FD1">
        <w:rPr>
          <w:rFonts w:cs="Times New Roman"/>
          <w:i/>
        </w:rPr>
        <w:t>Gender Analysis of the EU AA/DCFTAs with Georgia, Moldova, and Ukraine.</w:t>
      </w:r>
      <w:r w:rsidRPr="00B50FD1">
        <w:rPr>
          <w:rFonts w:cs="Times New Roman"/>
        </w:rPr>
        <w:t xml:space="preserve"> Funded by Sida.</w:t>
      </w:r>
    </w:p>
    <w:p w14:paraId="479AEE16" w14:textId="77777777" w:rsidR="00D57BD0" w:rsidRPr="00B50FD1" w:rsidRDefault="00D57BD0" w:rsidP="00D57BD0">
      <w:pPr>
        <w:spacing w:after="0" w:line="240" w:lineRule="auto"/>
        <w:rPr>
          <w:rFonts w:cs="Times New Roman"/>
        </w:rPr>
      </w:pPr>
    </w:p>
    <w:p w14:paraId="1DAC9CE2" w14:textId="77777777" w:rsidR="00D57BD0" w:rsidRPr="00B50FD1" w:rsidRDefault="00D57BD0" w:rsidP="00D57BD0">
      <w:pPr>
        <w:spacing w:after="0" w:line="240" w:lineRule="auto"/>
        <w:rPr>
          <w:rFonts w:cs="Times New Roman"/>
        </w:rPr>
      </w:pPr>
      <w:r w:rsidRPr="00B50FD1">
        <w:rPr>
          <w:rFonts w:cs="Times New Roman"/>
        </w:rPr>
        <w:t xml:space="preserve">Terzi-Barbarosie, D. and Radu, A. 2008. </w:t>
      </w:r>
      <w:r w:rsidRPr="00B50FD1">
        <w:rPr>
          <w:rFonts w:cs="Times New Roman"/>
          <w:i/>
        </w:rPr>
        <w:t xml:space="preserve">Final Report on Gender monitoring of the Press in Employment Area. </w:t>
      </w:r>
      <w:r w:rsidRPr="00B50FD1">
        <w:rPr>
          <w:rFonts w:cs="Times New Roman"/>
        </w:rPr>
        <w:t>Chisinau, Moldova</w:t>
      </w:r>
    </w:p>
    <w:p w14:paraId="020B4A3F" w14:textId="77777777" w:rsidR="00D57BD0" w:rsidRPr="00B50FD1" w:rsidRDefault="00D57BD0" w:rsidP="00D57BD0">
      <w:pPr>
        <w:spacing w:after="0" w:line="240" w:lineRule="auto"/>
        <w:rPr>
          <w:rFonts w:cs="Times New Roman"/>
        </w:rPr>
      </w:pPr>
    </w:p>
    <w:p w14:paraId="062BF296" w14:textId="77777777" w:rsidR="00D57BD0" w:rsidRPr="00B50FD1" w:rsidRDefault="00D57BD0" w:rsidP="00D57BD0">
      <w:pPr>
        <w:spacing w:after="0" w:line="240" w:lineRule="auto"/>
        <w:rPr>
          <w:rFonts w:cs="Times New Roman"/>
        </w:rPr>
      </w:pPr>
      <w:r w:rsidRPr="00B50FD1">
        <w:rPr>
          <w:rFonts w:cs="Times New Roman"/>
        </w:rPr>
        <w:t xml:space="preserve">UNICEF. 2008. </w:t>
      </w:r>
      <w:r w:rsidRPr="00B50FD1">
        <w:rPr>
          <w:rFonts w:cs="Times New Roman"/>
          <w:i/>
        </w:rPr>
        <w:t xml:space="preserve">The Impacts of Migration on Children in Moldova. </w:t>
      </w:r>
      <w:r w:rsidRPr="00B50FD1">
        <w:rPr>
          <w:rFonts w:cs="Times New Roman"/>
        </w:rPr>
        <w:t>New York, NY.</w:t>
      </w:r>
    </w:p>
    <w:p w14:paraId="5F06119A" w14:textId="77777777" w:rsidR="00D57BD0" w:rsidRPr="00B50FD1" w:rsidRDefault="00D57BD0" w:rsidP="00D57BD0">
      <w:pPr>
        <w:spacing w:after="0" w:line="240" w:lineRule="auto"/>
        <w:rPr>
          <w:rFonts w:cs="Times New Roman"/>
        </w:rPr>
      </w:pPr>
    </w:p>
    <w:p w14:paraId="06DE18C1" w14:textId="77777777" w:rsidR="00D57BD0" w:rsidRPr="00B50FD1" w:rsidRDefault="00D57BD0" w:rsidP="00D57BD0">
      <w:pPr>
        <w:spacing w:after="0" w:line="240" w:lineRule="auto"/>
        <w:rPr>
          <w:rFonts w:cs="Times New Roman"/>
          <w:i/>
        </w:rPr>
      </w:pPr>
      <w:r w:rsidRPr="00B50FD1">
        <w:rPr>
          <w:rFonts w:cs="Times New Roman"/>
        </w:rPr>
        <w:t xml:space="preserve">Women’s Law Center. 2015. </w:t>
      </w:r>
      <w:r w:rsidRPr="00B50FD1">
        <w:rPr>
          <w:rFonts w:cs="Times New Roman"/>
          <w:i/>
        </w:rPr>
        <w:t xml:space="preserve">Men and Gender Equality in the Republic of Moldova: based on IMAGES methodology. </w:t>
      </w:r>
      <w:r w:rsidRPr="00B50FD1">
        <w:rPr>
          <w:rFonts w:cs="Times New Roman"/>
        </w:rPr>
        <w:t>Chisinau, Moldova</w:t>
      </w:r>
      <w:r w:rsidRPr="00B50FD1">
        <w:rPr>
          <w:rFonts w:cs="Times New Roman"/>
          <w:i/>
        </w:rPr>
        <w:t xml:space="preserve">   </w:t>
      </w:r>
    </w:p>
    <w:p w14:paraId="11686A2D" w14:textId="77777777" w:rsidR="00D57BD0" w:rsidRPr="00B50FD1" w:rsidRDefault="00D57BD0" w:rsidP="00D57BD0">
      <w:pPr>
        <w:spacing w:after="0" w:line="240" w:lineRule="auto"/>
        <w:rPr>
          <w:rFonts w:cs="Times New Roman"/>
        </w:rPr>
      </w:pPr>
    </w:p>
    <w:p w14:paraId="6DBDED74" w14:textId="77777777" w:rsidR="00D57BD0" w:rsidRPr="00B50FD1" w:rsidRDefault="00D57BD0" w:rsidP="00D57BD0">
      <w:pPr>
        <w:spacing w:after="0" w:line="240" w:lineRule="auto"/>
        <w:rPr>
          <w:rFonts w:cs="Times New Roman"/>
        </w:rPr>
      </w:pPr>
      <w:r w:rsidRPr="00B50FD1">
        <w:rPr>
          <w:rFonts w:cs="Times New Roman"/>
        </w:rPr>
        <w:t xml:space="preserve">World Bank. [2013]. </w:t>
      </w:r>
      <w:r w:rsidRPr="00B50FD1">
        <w:rPr>
          <w:rFonts w:cs="Times New Roman"/>
          <w:i/>
        </w:rPr>
        <w:t xml:space="preserve">Papua New Guinea: Country Gender Action Plan FY14-16. </w:t>
      </w:r>
      <w:r w:rsidRPr="00B50FD1">
        <w:rPr>
          <w:rFonts w:cs="Times New Roman"/>
        </w:rPr>
        <w:t xml:space="preserve"> </w:t>
      </w:r>
    </w:p>
    <w:p w14:paraId="2A4B6252" w14:textId="77777777" w:rsidR="00D57BD0" w:rsidRPr="00B50FD1" w:rsidRDefault="00D57BD0" w:rsidP="00D57BD0">
      <w:pPr>
        <w:spacing w:after="0" w:line="240" w:lineRule="auto"/>
        <w:rPr>
          <w:rFonts w:cs="Times New Roman"/>
        </w:rPr>
      </w:pPr>
    </w:p>
    <w:p w14:paraId="29079BE9" w14:textId="77777777" w:rsidR="00D57BD0" w:rsidRPr="00B50FD1" w:rsidRDefault="00D57BD0" w:rsidP="00D57BD0">
      <w:pPr>
        <w:spacing w:after="0" w:line="240" w:lineRule="auto"/>
        <w:rPr>
          <w:rFonts w:cs="Times New Roman"/>
        </w:rPr>
      </w:pPr>
      <w:r w:rsidRPr="00B50FD1">
        <w:rPr>
          <w:rFonts w:cs="Times New Roman"/>
        </w:rPr>
        <w:t xml:space="preserve">World Bank. 2014a. </w:t>
      </w:r>
      <w:r w:rsidRPr="00B50FD1">
        <w:rPr>
          <w:rFonts w:cs="Times New Roman"/>
          <w:i/>
        </w:rPr>
        <w:t>Moldova: Gender Disparities in Endowments and Access to Economic Opportunities.</w:t>
      </w:r>
      <w:r w:rsidRPr="00B50FD1">
        <w:rPr>
          <w:rFonts w:cs="Times New Roman"/>
        </w:rPr>
        <w:t xml:space="preserve"> World Bank, Washington DC.</w:t>
      </w:r>
    </w:p>
    <w:p w14:paraId="23F5155C" w14:textId="77777777" w:rsidR="00D57BD0" w:rsidRPr="00B50FD1" w:rsidRDefault="00D57BD0" w:rsidP="00D57BD0">
      <w:pPr>
        <w:spacing w:after="0" w:line="240" w:lineRule="auto"/>
        <w:rPr>
          <w:rFonts w:cs="Times New Roman"/>
        </w:rPr>
      </w:pPr>
    </w:p>
    <w:p w14:paraId="0C412A7D" w14:textId="77777777" w:rsidR="00D57BD0" w:rsidRPr="00B50FD1" w:rsidRDefault="00D57BD0" w:rsidP="00D57BD0">
      <w:pPr>
        <w:spacing w:after="0" w:line="240" w:lineRule="auto"/>
        <w:rPr>
          <w:rFonts w:cs="Times New Roman"/>
          <w:i/>
        </w:rPr>
      </w:pPr>
      <w:r w:rsidRPr="00B50FD1">
        <w:rPr>
          <w:rFonts w:cs="Times New Roman"/>
        </w:rPr>
        <w:t xml:space="preserve">World Bank. 2014b. </w:t>
      </w:r>
      <w:r w:rsidRPr="00B50FD1">
        <w:rPr>
          <w:rFonts w:cs="Times New Roman"/>
          <w:i/>
        </w:rPr>
        <w:t>Moldova: Consideration of Gender Rights in Operations.</w:t>
      </w:r>
    </w:p>
    <w:p w14:paraId="3B07BC80" w14:textId="77777777" w:rsidR="00D57BD0" w:rsidRPr="00B50FD1" w:rsidRDefault="00D57BD0" w:rsidP="00D57BD0">
      <w:pPr>
        <w:spacing w:after="0" w:line="240" w:lineRule="auto"/>
        <w:rPr>
          <w:rFonts w:cs="Times New Roman"/>
          <w:i/>
        </w:rPr>
      </w:pPr>
    </w:p>
    <w:p w14:paraId="32D75218" w14:textId="77777777" w:rsidR="00D57BD0" w:rsidRPr="00B50FD1" w:rsidRDefault="00D57BD0" w:rsidP="00D57BD0">
      <w:pPr>
        <w:spacing w:after="0" w:line="240" w:lineRule="auto"/>
        <w:rPr>
          <w:rFonts w:cs="Times New Roman"/>
          <w:i/>
        </w:rPr>
      </w:pPr>
      <w:r w:rsidRPr="00B50FD1">
        <w:rPr>
          <w:rFonts w:cs="Times New Roman"/>
        </w:rPr>
        <w:t xml:space="preserve">World Bank. 2014c. </w:t>
      </w:r>
      <w:r w:rsidRPr="00B50FD1">
        <w:rPr>
          <w:rFonts w:cs="Times New Roman"/>
          <w:i/>
        </w:rPr>
        <w:t xml:space="preserve">West Bank &amp; Gaza: Country Gender Action Plan FY2015-2017. </w:t>
      </w:r>
    </w:p>
    <w:p w14:paraId="09752329" w14:textId="77777777" w:rsidR="00D57BD0" w:rsidRPr="00B50FD1" w:rsidRDefault="00D57BD0" w:rsidP="00D57BD0">
      <w:pPr>
        <w:spacing w:after="0" w:line="240" w:lineRule="auto"/>
        <w:rPr>
          <w:rFonts w:cs="Times New Roman"/>
        </w:rPr>
      </w:pPr>
    </w:p>
    <w:p w14:paraId="6DD29776" w14:textId="77777777" w:rsidR="00D57BD0" w:rsidRPr="00B50FD1" w:rsidRDefault="00D57BD0" w:rsidP="00D57BD0">
      <w:pPr>
        <w:spacing w:after="0" w:line="240" w:lineRule="auto"/>
        <w:rPr>
          <w:rFonts w:cs="Times New Roman"/>
        </w:rPr>
      </w:pPr>
      <w:r w:rsidRPr="00B50FD1">
        <w:rPr>
          <w:rFonts w:cs="Times New Roman"/>
        </w:rPr>
        <w:t xml:space="preserve">World Bank. 2015. </w:t>
      </w:r>
      <w:r w:rsidRPr="00B50FD1">
        <w:rPr>
          <w:rFonts w:cs="Times New Roman"/>
          <w:i/>
        </w:rPr>
        <w:t>World Bank Group: Gender Equality, Poverty Reduction and Inclusive Growth. Gender Strategy 2016-2013.</w:t>
      </w:r>
      <w:r w:rsidRPr="00B50FD1">
        <w:rPr>
          <w:rFonts w:cs="Times New Roman"/>
        </w:rPr>
        <w:t xml:space="preserve"> World Bank, Washington DC.</w:t>
      </w:r>
    </w:p>
    <w:p w14:paraId="43097337" w14:textId="77777777" w:rsidR="00D57BD0" w:rsidRPr="00B50FD1" w:rsidRDefault="00D57BD0" w:rsidP="00D57BD0">
      <w:pPr>
        <w:spacing w:after="0" w:line="240" w:lineRule="auto"/>
        <w:rPr>
          <w:rFonts w:cs="Times New Roman"/>
        </w:rPr>
      </w:pPr>
    </w:p>
    <w:p w14:paraId="5C95EDCE" w14:textId="77777777" w:rsidR="00D57BD0" w:rsidRPr="00B50FD1" w:rsidRDefault="00D57BD0" w:rsidP="00D57BD0">
      <w:pPr>
        <w:spacing w:after="0" w:line="240" w:lineRule="auto"/>
        <w:rPr>
          <w:rFonts w:cs="Times New Roman"/>
          <w:i/>
        </w:rPr>
      </w:pPr>
      <w:r w:rsidRPr="00B50FD1">
        <w:rPr>
          <w:rFonts w:cs="Times New Roman"/>
        </w:rPr>
        <w:t xml:space="preserve">World Bank. Forthcoming. </w:t>
      </w:r>
      <w:r w:rsidRPr="00B50FD1">
        <w:rPr>
          <w:rFonts w:cs="Times New Roman"/>
          <w:i/>
        </w:rPr>
        <w:t xml:space="preserve">Regional Gender Action Plan: Europe and Central Asia. </w:t>
      </w:r>
      <w:r w:rsidRPr="00B50FD1">
        <w:rPr>
          <w:rFonts w:cs="Times New Roman"/>
        </w:rPr>
        <w:t>World Bank, Washington DC.</w:t>
      </w:r>
      <w:r w:rsidRPr="00B50FD1">
        <w:rPr>
          <w:rFonts w:cs="Times New Roman"/>
          <w:i/>
        </w:rPr>
        <w:t xml:space="preserve"> </w:t>
      </w:r>
    </w:p>
    <w:p w14:paraId="7ED0D618" w14:textId="77777777" w:rsidR="00D57BD0" w:rsidRPr="00B50FD1" w:rsidRDefault="00D57BD0" w:rsidP="00D57BD0">
      <w:pPr>
        <w:spacing w:after="0" w:line="240" w:lineRule="auto"/>
        <w:rPr>
          <w:rFonts w:cs="Times New Roman"/>
        </w:rPr>
      </w:pPr>
    </w:p>
    <w:p w14:paraId="2CB243E4" w14:textId="77777777" w:rsidR="00D57BD0" w:rsidRPr="00B50FD1" w:rsidRDefault="00D57BD0" w:rsidP="00D57BD0">
      <w:pPr>
        <w:spacing w:after="0" w:line="240" w:lineRule="auto"/>
        <w:rPr>
          <w:rFonts w:cs="Times New Roman"/>
        </w:rPr>
      </w:pPr>
      <w:r w:rsidRPr="00B50FD1">
        <w:rPr>
          <w:rFonts w:cs="Times New Roman"/>
        </w:rPr>
        <w:t xml:space="preserve">World Bank. 2016. </w:t>
      </w:r>
      <w:r w:rsidRPr="00B50FD1">
        <w:rPr>
          <w:rFonts w:cs="Times New Roman"/>
          <w:i/>
        </w:rPr>
        <w:t>World Bank – Moldova Partnership. Country Program Snapshot.</w:t>
      </w:r>
      <w:r w:rsidRPr="00B50FD1">
        <w:rPr>
          <w:rFonts w:cs="Times New Roman"/>
        </w:rPr>
        <w:t xml:space="preserve"> Chisinau, Moldova.</w:t>
      </w:r>
    </w:p>
    <w:p w14:paraId="4DE34E54" w14:textId="77777777" w:rsidR="00D57BD0" w:rsidRPr="00B50FD1" w:rsidRDefault="00D57BD0" w:rsidP="00D57BD0">
      <w:pPr>
        <w:spacing w:after="0" w:line="240" w:lineRule="auto"/>
        <w:rPr>
          <w:rFonts w:cs="Times New Roman"/>
        </w:rPr>
      </w:pPr>
    </w:p>
    <w:p w14:paraId="2440D7D1" w14:textId="77777777" w:rsidR="00D57BD0" w:rsidRPr="00B50FD1" w:rsidRDefault="00D57BD0" w:rsidP="00D57BD0">
      <w:pPr>
        <w:spacing w:after="0" w:line="240" w:lineRule="auto"/>
        <w:rPr>
          <w:rFonts w:cs="Times New Roman"/>
        </w:rPr>
      </w:pPr>
      <w:r w:rsidRPr="00B50FD1">
        <w:rPr>
          <w:rFonts w:cs="Times New Roman"/>
        </w:rPr>
        <w:t xml:space="preserve">World Bank. 2016. </w:t>
      </w:r>
      <w:r w:rsidRPr="00B50FD1">
        <w:rPr>
          <w:rFonts w:cs="Times New Roman"/>
          <w:i/>
        </w:rPr>
        <w:t xml:space="preserve">Poverty and Shared Prosperity at a Glance. </w:t>
      </w:r>
      <w:r w:rsidRPr="00B50FD1">
        <w:rPr>
          <w:rFonts w:cs="Times New Roman"/>
        </w:rPr>
        <w:t>World Bank, Washington DC.</w:t>
      </w:r>
    </w:p>
    <w:p w14:paraId="66A42498" w14:textId="77777777" w:rsidR="00D57BD0" w:rsidRPr="00B50FD1" w:rsidRDefault="00D57BD0" w:rsidP="00D57BD0">
      <w:pPr>
        <w:spacing w:after="0" w:line="240" w:lineRule="auto"/>
        <w:rPr>
          <w:rFonts w:cs="Times New Roman"/>
        </w:rPr>
      </w:pPr>
    </w:p>
    <w:p w14:paraId="421CD9D9" w14:textId="77777777" w:rsidR="00D57BD0" w:rsidRPr="00B50FD1" w:rsidRDefault="00D57BD0" w:rsidP="00D57BD0">
      <w:pPr>
        <w:spacing w:after="0" w:line="240" w:lineRule="auto"/>
        <w:rPr>
          <w:rFonts w:cs="Times New Roman"/>
        </w:rPr>
      </w:pPr>
      <w:r w:rsidRPr="00B50FD1">
        <w:rPr>
          <w:rFonts w:cs="Times New Roman"/>
        </w:rPr>
        <w:t xml:space="preserve">World Bank. 2016. </w:t>
      </w:r>
      <w:r w:rsidRPr="00B50FD1">
        <w:rPr>
          <w:rFonts w:cs="Times New Roman"/>
          <w:i/>
        </w:rPr>
        <w:t xml:space="preserve">From Aspirations to Occupations: the Role of Information in Educational and Labor Market Decisions in Moldova. </w:t>
      </w:r>
      <w:r w:rsidRPr="00B50FD1">
        <w:rPr>
          <w:rFonts w:cs="Times New Roman"/>
        </w:rPr>
        <w:t>World Bank. Washington DC.</w:t>
      </w:r>
    </w:p>
    <w:p w14:paraId="67DE329F" w14:textId="77777777" w:rsidR="00D57BD0" w:rsidRPr="00B50FD1" w:rsidRDefault="00D57BD0" w:rsidP="00D57BD0">
      <w:pPr>
        <w:spacing w:after="0" w:line="240" w:lineRule="auto"/>
        <w:rPr>
          <w:rFonts w:cs="Times New Roman"/>
        </w:rPr>
      </w:pPr>
    </w:p>
    <w:p w14:paraId="5248E0F7" w14:textId="77777777" w:rsidR="00CC7469" w:rsidRPr="00F0209F" w:rsidRDefault="00CC7469" w:rsidP="00D57BD0">
      <w:pPr>
        <w:spacing w:after="0" w:line="240" w:lineRule="auto"/>
        <w:rPr>
          <w:rFonts w:cs="Times New Roman"/>
        </w:rPr>
      </w:pPr>
      <w:r>
        <w:rPr>
          <w:rFonts w:cs="Times New Roman"/>
        </w:rPr>
        <w:t xml:space="preserve">World Economic Forum. 2015. </w:t>
      </w:r>
      <w:r w:rsidR="00F0209F">
        <w:rPr>
          <w:rFonts w:cs="Times New Roman"/>
          <w:i/>
        </w:rPr>
        <w:t xml:space="preserve">The Global Gender Gap Report. </w:t>
      </w:r>
      <w:r w:rsidR="00F0209F">
        <w:rPr>
          <w:rFonts w:cs="Times New Roman"/>
        </w:rPr>
        <w:t>Geneva, Switzerland.</w:t>
      </w:r>
    </w:p>
    <w:p w14:paraId="50EB5073" w14:textId="77777777" w:rsidR="00CC7469" w:rsidRDefault="00CC7469" w:rsidP="00D57BD0">
      <w:pPr>
        <w:spacing w:after="0" w:line="240" w:lineRule="auto"/>
        <w:rPr>
          <w:rFonts w:cs="Times New Roman"/>
        </w:rPr>
      </w:pPr>
    </w:p>
    <w:p w14:paraId="6E7A3B1E" w14:textId="77777777" w:rsidR="00D57BD0" w:rsidRPr="00B50FD1" w:rsidRDefault="00D57BD0" w:rsidP="00D57BD0">
      <w:pPr>
        <w:spacing w:after="0" w:line="240" w:lineRule="auto"/>
        <w:rPr>
          <w:rFonts w:cs="Times New Roman"/>
        </w:rPr>
      </w:pPr>
      <w:r w:rsidRPr="00B50FD1">
        <w:rPr>
          <w:rFonts w:cs="Times New Roman"/>
        </w:rPr>
        <w:t xml:space="preserve">World Health Organization. 2013. </w:t>
      </w:r>
      <w:r w:rsidRPr="00B50FD1">
        <w:rPr>
          <w:rFonts w:cs="Times New Roman"/>
          <w:i/>
        </w:rPr>
        <w:t xml:space="preserve">A Retrospective and Prospective Assessment of Mortality in the Republic of Moldova. </w:t>
      </w:r>
      <w:r w:rsidRPr="00B50FD1">
        <w:rPr>
          <w:rFonts w:cs="Times New Roman"/>
        </w:rPr>
        <w:t>Copenhagen, Denmark.</w:t>
      </w:r>
    </w:p>
    <w:p w14:paraId="623AEAF4" w14:textId="77777777" w:rsidR="00D57BD0" w:rsidRPr="00B50FD1" w:rsidRDefault="00D57BD0" w:rsidP="00D57BD0">
      <w:pPr>
        <w:spacing w:after="0" w:line="240" w:lineRule="auto"/>
        <w:rPr>
          <w:rFonts w:cs="Times New Roman"/>
        </w:rPr>
      </w:pPr>
    </w:p>
    <w:p w14:paraId="095472A1" w14:textId="77777777" w:rsidR="00D57BD0" w:rsidRPr="00B50FD1" w:rsidRDefault="00D57BD0" w:rsidP="00D57BD0">
      <w:pPr>
        <w:spacing w:after="0" w:line="240" w:lineRule="auto"/>
        <w:rPr>
          <w:rFonts w:cs="Times New Roman"/>
        </w:rPr>
        <w:sectPr w:rsidR="00D57BD0" w:rsidRPr="00B50FD1" w:rsidSect="00B17E47">
          <w:pgSz w:w="12240" w:h="15840"/>
          <w:pgMar w:top="1440" w:right="1440" w:bottom="1440" w:left="1440" w:header="720" w:footer="720" w:gutter="0"/>
          <w:cols w:space="720"/>
          <w:docGrid w:linePitch="360"/>
        </w:sectPr>
      </w:pPr>
      <w:r w:rsidRPr="00B50FD1">
        <w:rPr>
          <w:rFonts w:cs="Times New Roman"/>
        </w:rPr>
        <w:t xml:space="preserve">World Health Organization. 2014. </w:t>
      </w:r>
      <w:r w:rsidRPr="00B50FD1">
        <w:rPr>
          <w:rFonts w:cs="Times New Roman"/>
          <w:i/>
        </w:rPr>
        <w:t>Non-communicable Diseases (NCD) Country Profile</w:t>
      </w:r>
    </w:p>
    <w:p w14:paraId="07BE31C1" w14:textId="77777777" w:rsidR="00D57BD0" w:rsidRPr="00B50FD1" w:rsidRDefault="00D57BD0" w:rsidP="00D57BD0">
      <w:pPr>
        <w:spacing w:after="0" w:line="240" w:lineRule="auto"/>
        <w:rPr>
          <w:rFonts w:cs="Times New Roman"/>
        </w:rPr>
      </w:pPr>
    </w:p>
    <w:p w14:paraId="4F4EA595" w14:textId="1EA8283C" w:rsidR="008A2715" w:rsidRDefault="008A2715" w:rsidP="007617D7">
      <w:pPr>
        <w:pStyle w:val="Heading2"/>
        <w:jc w:val="center"/>
      </w:pPr>
      <w:bookmarkStart w:id="10" w:name="_Toc476839796"/>
      <w:r>
        <w:t>ANNEX</w:t>
      </w:r>
      <w:bookmarkEnd w:id="10"/>
    </w:p>
    <w:p w14:paraId="2687737C" w14:textId="17331B39" w:rsidR="0002307D" w:rsidRDefault="008A2715" w:rsidP="007617D7">
      <w:pPr>
        <w:pStyle w:val="Heading2"/>
        <w:jc w:val="center"/>
      </w:pPr>
      <w:bookmarkStart w:id="11" w:name="_Toc476839797"/>
      <w:r>
        <w:t>Summary of Key Gender Issues in Moldova</w:t>
      </w:r>
      <w:bookmarkEnd w:id="11"/>
    </w:p>
    <w:p w14:paraId="721C4EB7" w14:textId="77777777" w:rsidR="008A2715" w:rsidRDefault="008A2715" w:rsidP="008A2715">
      <w:pPr>
        <w:pStyle w:val="Heading3"/>
      </w:pPr>
    </w:p>
    <w:p w14:paraId="4CC5B011" w14:textId="1FED7FC4" w:rsidR="00CD1C5C" w:rsidRDefault="00CD1C5C" w:rsidP="007E29A3">
      <w:pPr>
        <w:jc w:val="both"/>
      </w:pPr>
      <w:r w:rsidRPr="007E29A3">
        <w:rPr>
          <w:b/>
          <w:i/>
        </w:rPr>
        <w:t xml:space="preserve">Gender differences in development outcomes in Moldova are not high by global or regional </w:t>
      </w:r>
      <w:r w:rsidR="00F24E3C">
        <w:rPr>
          <w:b/>
          <w:i/>
        </w:rPr>
        <w:t>standards</w:t>
      </w:r>
      <w:r w:rsidRPr="007E29A3">
        <w:rPr>
          <w:b/>
          <w:i/>
        </w:rPr>
        <w:t>. They also do not exclusively concern women.</w:t>
      </w:r>
      <w:r>
        <w:t xml:space="preserve">  Women remain affected by traditional gender norms when it comes to choice of profession, earning equal income, integrating in higher-earning sectors, and being represented in leadership positions (in business, social life, or politics). Child and family care responsibilities continue to weigh more heavily on women and take a toll on their continuous participation in the labor market as well as professional development. Demographic shifts</w:t>
      </w:r>
      <w:r w:rsidR="00F24E3C">
        <w:t>—</w:t>
      </w:r>
      <w:r>
        <w:t>shrinking population, higher life expectancy of women, and high poverty risk for elderly women</w:t>
      </w:r>
      <w:r w:rsidR="00F24E3C">
        <w:t>—</w:t>
      </w:r>
      <w:r>
        <w:t xml:space="preserve">expanding opportunities for high-skilled and high-earing employment for women is an issue of concern. </w:t>
      </w:r>
      <w:r w:rsidR="001A4CDA">
        <w:t>Also</w:t>
      </w:r>
      <w:r>
        <w:t xml:space="preserve">, men </w:t>
      </w:r>
      <w:r w:rsidR="00A35AA4">
        <w:t xml:space="preserve">face substantially higher mortality and morbidity. </w:t>
      </w:r>
    </w:p>
    <w:p w14:paraId="44DF12E2" w14:textId="3C3D762D" w:rsidR="00CD1C5C" w:rsidRPr="007E29A3" w:rsidRDefault="00161D9B" w:rsidP="007E29A3">
      <w:pPr>
        <w:jc w:val="both"/>
      </w:pPr>
      <w:r w:rsidRPr="007E29A3">
        <w:rPr>
          <w:b/>
          <w:i/>
        </w:rPr>
        <w:t>Using the framework of the World Bank Group’s Gender Equality Strategy, gender gaps for Moldova can be seen mostly in the area</w:t>
      </w:r>
      <w:r w:rsidR="00F24E3C">
        <w:rPr>
          <w:b/>
          <w:i/>
        </w:rPr>
        <w:t>s</w:t>
      </w:r>
      <w:r w:rsidRPr="007E29A3">
        <w:rPr>
          <w:b/>
          <w:i/>
        </w:rPr>
        <w:t xml:space="preserve"> of economic participation, and voice and agency, while endowments are generally equitable for men and women. </w:t>
      </w:r>
      <w:r>
        <w:t>The sections below elaborate on the five priority gender challenges for Moldova identified in this Country Gender Action Plan: occupational segregation and earnings gap; discrepancies in labor force participation; entrepreneurship and livelihoods; voice, agency, and gender-based violence.</w:t>
      </w:r>
    </w:p>
    <w:p w14:paraId="1F4911D9" w14:textId="3BDEEC4E" w:rsidR="008A2715" w:rsidRDefault="008A2715" w:rsidP="008A2715">
      <w:pPr>
        <w:pStyle w:val="Heading3"/>
      </w:pPr>
      <w:bookmarkStart w:id="12" w:name="_Toc476839798"/>
      <w:r>
        <w:t>Occupational segregation and earnings gap</w:t>
      </w:r>
      <w:bookmarkEnd w:id="12"/>
    </w:p>
    <w:p w14:paraId="513E6382" w14:textId="77777777" w:rsidR="008A2715" w:rsidRDefault="008A2715" w:rsidP="008A2715">
      <w:pPr>
        <w:spacing w:after="0" w:line="240" w:lineRule="auto"/>
        <w:jc w:val="both"/>
      </w:pPr>
    </w:p>
    <w:p w14:paraId="617C5C79" w14:textId="63F7C79E" w:rsidR="008A2715" w:rsidRDefault="008A2715" w:rsidP="008A2715">
      <w:pPr>
        <w:spacing w:after="0" w:line="240" w:lineRule="auto"/>
        <w:jc w:val="both"/>
        <w:rPr>
          <w:rFonts w:cs="Times New Roman"/>
        </w:rPr>
      </w:pPr>
      <w:r w:rsidRPr="00DC008A">
        <w:rPr>
          <w:rFonts w:cs="Times New Roman"/>
          <w:b/>
          <w:i/>
        </w:rPr>
        <w:t>Gender gaps in educational attainment at all levels (primary, secondary, and tertiary) are negligible in Moldova.</w:t>
      </w:r>
      <w:r>
        <w:rPr>
          <w:rFonts w:cs="Times New Roman"/>
          <w:b/>
        </w:rPr>
        <w:t xml:space="preserve"> </w:t>
      </w:r>
      <w:r>
        <w:rPr>
          <w:rFonts w:cs="Times New Roman"/>
        </w:rPr>
        <w:t>Moldova has close to universal primary [and secondary] school completion rate</w:t>
      </w:r>
      <w:r w:rsidR="00F24E3C">
        <w:rPr>
          <w:rFonts w:cs="Times New Roman"/>
        </w:rPr>
        <w:t>s,</w:t>
      </w:r>
      <w:r>
        <w:rPr>
          <w:rFonts w:cs="Times New Roman"/>
        </w:rPr>
        <w:t xml:space="preserve"> yet the quality of education has been of higher concern. The enrollment of men and women in tertiary institutions is also balanced. </w:t>
      </w:r>
      <w:r w:rsidR="00F24E3C">
        <w:rPr>
          <w:rFonts w:cs="Times New Roman"/>
        </w:rPr>
        <w:t>However</w:t>
      </w:r>
      <w:r>
        <w:rPr>
          <w:rFonts w:cs="Times New Roman"/>
        </w:rPr>
        <w:t>, as t</w:t>
      </w:r>
      <w:r w:rsidRPr="00B50FD1">
        <w:rPr>
          <w:rFonts w:cs="Times New Roman"/>
        </w:rPr>
        <w:t>he Moldova CGA (World Bank 2014a) concludes</w:t>
      </w:r>
      <w:r>
        <w:rPr>
          <w:rFonts w:cs="Times New Roman"/>
        </w:rPr>
        <w:t>,</w:t>
      </w:r>
      <w:r w:rsidRPr="00B50FD1">
        <w:rPr>
          <w:rFonts w:cs="Times New Roman"/>
        </w:rPr>
        <w:t xml:space="preserve"> secondary and tertiary education levels appear to be the beginning of occupational segregation that yields less favorable outcomes for women in the labor market. </w:t>
      </w:r>
    </w:p>
    <w:p w14:paraId="7AF47D86" w14:textId="77777777" w:rsidR="008A2715" w:rsidRDefault="008A2715" w:rsidP="008A2715">
      <w:pPr>
        <w:spacing w:after="0" w:line="240" w:lineRule="auto"/>
        <w:jc w:val="both"/>
        <w:rPr>
          <w:rFonts w:cs="Times New Roman"/>
        </w:rPr>
      </w:pPr>
    </w:p>
    <w:p w14:paraId="10806948" w14:textId="77777777" w:rsidR="008A2715" w:rsidRDefault="008A2715" w:rsidP="008A2715">
      <w:pPr>
        <w:spacing w:after="0" w:line="240" w:lineRule="auto"/>
        <w:jc w:val="both"/>
        <w:rPr>
          <w:rFonts w:cs="Times New Roman"/>
        </w:rPr>
      </w:pPr>
      <w:r w:rsidRPr="00DC008A">
        <w:rPr>
          <w:rFonts w:cs="Times New Roman"/>
          <w:b/>
          <w:i/>
        </w:rPr>
        <w:t>A closer look at the choices of university specialization for men and women</w:t>
      </w:r>
      <w:r w:rsidRPr="00DC008A">
        <w:rPr>
          <w:rStyle w:val="FootnoteReference"/>
          <w:rFonts w:cs="Times New Roman"/>
          <w:b/>
          <w:i/>
        </w:rPr>
        <w:footnoteReference w:id="19"/>
      </w:r>
      <w:r w:rsidRPr="00DC008A">
        <w:rPr>
          <w:rFonts w:cs="Times New Roman"/>
          <w:b/>
          <w:i/>
        </w:rPr>
        <w:t xml:space="preserve"> does not in itself suggest a clear division in professional occupations in higher- and lower-earning streams.</w:t>
      </w:r>
      <w:r w:rsidRPr="00CD2644">
        <w:rPr>
          <w:rFonts w:cs="Times New Roman"/>
        </w:rPr>
        <w:t xml:space="preserve"> </w:t>
      </w:r>
      <w:r>
        <w:rPr>
          <w:rFonts w:cs="Times New Roman"/>
        </w:rPr>
        <w:t xml:space="preserve">Women comprise more than two thirds of enrolled students in chemical and bio-technology, communications, economics [including finance], education, humanities, manufacturing and processing, public services, social sciences, and social services. Men comprise more than two thirds in agricultural sciences, architecture, engineering, environmental sciences, military, security services, and transport. Professional fields such as law, political science, natural sciences, arts, and sports have a relatively equal distribution. </w:t>
      </w:r>
    </w:p>
    <w:p w14:paraId="29539C57" w14:textId="77777777" w:rsidR="008A2715" w:rsidRDefault="008A2715" w:rsidP="008A2715">
      <w:pPr>
        <w:spacing w:after="0" w:line="240" w:lineRule="auto"/>
        <w:jc w:val="both"/>
        <w:rPr>
          <w:rFonts w:cs="Times New Roman"/>
        </w:rPr>
      </w:pPr>
    </w:p>
    <w:p w14:paraId="07A17D64" w14:textId="1119001A" w:rsidR="008A2715" w:rsidRPr="00B50FD1" w:rsidRDefault="008A2715" w:rsidP="008A2715">
      <w:pPr>
        <w:pStyle w:val="Default"/>
        <w:jc w:val="both"/>
        <w:rPr>
          <w:rFonts w:asciiTheme="minorHAnsi" w:hAnsiTheme="minorHAnsi" w:cs="Times New Roman"/>
          <w:sz w:val="22"/>
          <w:szCs w:val="22"/>
        </w:rPr>
      </w:pPr>
      <w:r w:rsidRPr="00AD22EF">
        <w:rPr>
          <w:rFonts w:asciiTheme="minorHAnsi" w:hAnsiTheme="minorHAnsi" w:cs="Times New Roman"/>
          <w:b/>
          <w:i/>
          <w:sz w:val="22"/>
          <w:szCs w:val="22"/>
        </w:rPr>
        <w:t>Yet, gender segregation is evident when looking at labor market data: by sector, occupation, and gender distribution of leadership positions</w:t>
      </w:r>
      <w:r w:rsidRPr="00AD22EF">
        <w:rPr>
          <w:rFonts w:asciiTheme="minorHAnsi" w:hAnsiTheme="minorHAnsi" w:cs="Times New Roman"/>
          <w:i/>
          <w:sz w:val="22"/>
          <w:szCs w:val="22"/>
        </w:rPr>
        <w:t>.</w:t>
      </w:r>
      <w:r w:rsidRPr="00B50FD1">
        <w:rPr>
          <w:rFonts w:asciiTheme="minorHAnsi" w:hAnsiTheme="minorHAnsi" w:cs="Times New Roman"/>
          <w:sz w:val="22"/>
          <w:szCs w:val="22"/>
        </w:rPr>
        <w:t xml:space="preserve"> </w:t>
      </w:r>
      <w:r>
        <w:rPr>
          <w:rFonts w:asciiTheme="minorHAnsi" w:hAnsiTheme="minorHAnsi" w:cs="Times New Roman"/>
          <w:sz w:val="22"/>
          <w:szCs w:val="22"/>
        </w:rPr>
        <w:t>The majority of employed women concentrate in public administration, education, agriculture, and trade and hotel services. O</w:t>
      </w:r>
      <w:r w:rsidRPr="00B50FD1">
        <w:rPr>
          <w:rFonts w:asciiTheme="minorHAnsi" w:hAnsiTheme="minorHAnsi" w:cs="Times New Roman"/>
          <w:sz w:val="22"/>
          <w:szCs w:val="22"/>
        </w:rPr>
        <w:t xml:space="preserve">nly 21% of firms have women as top managers. </w:t>
      </w:r>
      <w:r>
        <w:rPr>
          <w:rFonts w:asciiTheme="minorHAnsi" w:hAnsiTheme="minorHAnsi" w:cs="Times New Roman"/>
          <w:sz w:val="22"/>
          <w:szCs w:val="22"/>
        </w:rPr>
        <w:t>W</w:t>
      </w:r>
      <w:r w:rsidRPr="00B50FD1">
        <w:rPr>
          <w:rFonts w:asciiTheme="minorHAnsi" w:hAnsiTheme="minorHAnsi" w:cs="Times New Roman"/>
          <w:sz w:val="22"/>
          <w:szCs w:val="22"/>
        </w:rPr>
        <w:t xml:space="preserve">omen earn only 74% of what men earn and the earnings gap persists even in economic sectors in which women predominate. </w:t>
      </w:r>
      <w:r>
        <w:rPr>
          <w:rFonts w:asciiTheme="minorHAnsi" w:hAnsiTheme="minorHAnsi" w:cs="Times New Roman"/>
          <w:sz w:val="22"/>
          <w:szCs w:val="22"/>
        </w:rPr>
        <w:t xml:space="preserve">Women are underrepresented in areas such as IT and financial </w:t>
      </w:r>
      <w:r>
        <w:rPr>
          <w:rFonts w:asciiTheme="minorHAnsi" w:hAnsiTheme="minorHAnsi" w:cs="Times New Roman"/>
          <w:sz w:val="22"/>
          <w:szCs w:val="22"/>
        </w:rPr>
        <w:lastRenderedPageBreak/>
        <w:t>services that generally offer higher-paying jobs</w:t>
      </w:r>
      <w:r w:rsidR="00F24E3C">
        <w:rPr>
          <w:rFonts w:asciiTheme="minorHAnsi" w:hAnsiTheme="minorHAnsi" w:cs="Times New Roman"/>
          <w:sz w:val="22"/>
          <w:szCs w:val="22"/>
        </w:rPr>
        <w:t>.</w:t>
      </w:r>
      <w:r>
        <w:rPr>
          <w:rStyle w:val="FootnoteReference"/>
          <w:rFonts w:asciiTheme="minorHAnsi" w:hAnsiTheme="minorHAnsi" w:cs="Times New Roman"/>
          <w:sz w:val="22"/>
          <w:szCs w:val="22"/>
        </w:rPr>
        <w:footnoteReference w:id="20"/>
      </w:r>
      <w:r>
        <w:rPr>
          <w:rFonts w:asciiTheme="minorHAnsi" w:hAnsiTheme="minorHAnsi" w:cs="Times New Roman"/>
          <w:sz w:val="22"/>
          <w:szCs w:val="22"/>
        </w:rPr>
        <w:t xml:space="preserve"> </w:t>
      </w:r>
      <w:r w:rsidRPr="00250FF6">
        <w:rPr>
          <w:rFonts w:asciiTheme="minorHAnsi" w:hAnsiTheme="minorHAnsi" w:cs="Times New Roman"/>
          <w:sz w:val="22"/>
          <w:szCs w:val="22"/>
        </w:rPr>
        <w:t>The World Bank (2016) report “From Aspirations to Occupations” finds that gender differences in aspirations in terms of vocational or general education as well as preferred fields of study perpetuate existing occupational segregation in the labor market. A recent SIDA gender analysis of Moldova’s accession to the EU Deep and Comprehensive Free Trade Agreement (Spear, et. al. 2016) concludes that Moldovan women may not be as successful in reaping economic benefits from the DCFTA agreement due to the sectors of the economy where female labor is concentrated, and lower access to finance, among other factors. Women may benefit as employees in selected sectors, such as agriculture and textiles.</w:t>
      </w:r>
    </w:p>
    <w:p w14:paraId="59541941" w14:textId="77777777" w:rsidR="008A2715" w:rsidRPr="00B50FD1" w:rsidRDefault="008A2715" w:rsidP="008A2715">
      <w:pPr>
        <w:spacing w:after="0" w:line="240" w:lineRule="auto"/>
        <w:jc w:val="both"/>
        <w:rPr>
          <w:rFonts w:cs="Times New Roman"/>
          <w:color w:val="000000"/>
        </w:rPr>
      </w:pPr>
    </w:p>
    <w:p w14:paraId="0A59A7BC" w14:textId="72AFE26D" w:rsidR="008A2715" w:rsidRDefault="008A2715" w:rsidP="008A2715">
      <w:pPr>
        <w:pStyle w:val="ListParagraph"/>
        <w:spacing w:after="0" w:line="240" w:lineRule="auto"/>
        <w:ind w:left="0"/>
        <w:contextualSpacing w:val="0"/>
        <w:jc w:val="both"/>
        <w:rPr>
          <w:rFonts w:cs="Times New Roman"/>
        </w:rPr>
      </w:pPr>
      <w:r w:rsidRPr="00AD22EF">
        <w:rPr>
          <w:rFonts w:cs="Times New Roman"/>
          <w:b/>
          <w:i/>
        </w:rPr>
        <w:t>At the national level the gender earnings gap (12%) is comparable, or even relatively low, compared to other ECA countries; however, it is greater in higher skilled and higher earning jobs.</w:t>
      </w:r>
      <w:r>
        <w:rPr>
          <w:rFonts w:cs="Times New Roman"/>
          <w:b/>
        </w:rPr>
        <w:t xml:space="preserve"> </w:t>
      </w:r>
      <w:r w:rsidRPr="00250FF6">
        <w:rPr>
          <w:rFonts w:cs="Times New Roman"/>
        </w:rPr>
        <w:t>F</w:t>
      </w:r>
      <w:r w:rsidRPr="00B50FD1">
        <w:rPr>
          <w:rFonts w:cs="Times New Roman"/>
        </w:rPr>
        <w:t xml:space="preserve">or example, </w:t>
      </w:r>
      <w:r>
        <w:rPr>
          <w:rFonts w:cs="Times New Roman"/>
        </w:rPr>
        <w:t xml:space="preserve">women earn </w:t>
      </w:r>
      <w:r w:rsidRPr="00B50FD1">
        <w:rPr>
          <w:rFonts w:cs="Times New Roman"/>
        </w:rPr>
        <w:t xml:space="preserve">29% </w:t>
      </w:r>
      <w:r>
        <w:rPr>
          <w:rFonts w:cs="Times New Roman"/>
        </w:rPr>
        <w:t xml:space="preserve">less than men in financial services, but only </w:t>
      </w:r>
      <w:r w:rsidRPr="00B50FD1">
        <w:rPr>
          <w:rFonts w:cs="Times New Roman"/>
        </w:rPr>
        <w:t xml:space="preserve">9% </w:t>
      </w:r>
      <w:r>
        <w:rPr>
          <w:rFonts w:cs="Times New Roman"/>
        </w:rPr>
        <w:t>less in the agricultural sector</w:t>
      </w:r>
      <w:r w:rsidRPr="00B50FD1">
        <w:rPr>
          <w:rFonts w:cs="Times New Roman"/>
        </w:rPr>
        <w:t xml:space="preserve">. </w:t>
      </w:r>
      <w:r>
        <w:rPr>
          <w:rFonts w:cs="Times New Roman"/>
        </w:rPr>
        <w:t>This may contribute to explaining why Moldovan women with tertiary education</w:t>
      </w:r>
      <w:r w:rsidRPr="00B50FD1">
        <w:rPr>
          <w:rFonts w:cs="Times New Roman"/>
        </w:rPr>
        <w:t xml:space="preserve"> </w:t>
      </w:r>
      <w:r>
        <w:rPr>
          <w:rFonts w:cs="Times New Roman"/>
        </w:rPr>
        <w:t>are</w:t>
      </w:r>
      <w:r w:rsidRPr="00B50FD1">
        <w:rPr>
          <w:rFonts w:cs="Times New Roman"/>
        </w:rPr>
        <w:t xml:space="preserve"> slightly more likely to look for opportunities abroad</w:t>
      </w:r>
      <w:r>
        <w:rPr>
          <w:rFonts w:cs="Times New Roman"/>
        </w:rPr>
        <w:t xml:space="preserve"> compared to similarly educated Moldovan men</w:t>
      </w:r>
      <w:r w:rsidRPr="00B50FD1">
        <w:rPr>
          <w:rFonts w:cs="Times New Roman"/>
        </w:rPr>
        <w:t xml:space="preserve">. </w:t>
      </w:r>
      <w:r>
        <w:rPr>
          <w:rFonts w:cs="Times New Roman"/>
        </w:rPr>
        <w:t>The gender wage gap has long-term repercussions, as it translates</w:t>
      </w:r>
      <w:r w:rsidRPr="00B50FD1">
        <w:rPr>
          <w:rFonts w:cs="Times New Roman"/>
        </w:rPr>
        <w:t xml:space="preserve"> </w:t>
      </w:r>
      <w:r>
        <w:rPr>
          <w:rFonts w:cs="Times New Roman"/>
        </w:rPr>
        <w:t xml:space="preserve">into higher vulnerability to poverty for </w:t>
      </w:r>
      <w:r w:rsidRPr="00B50FD1">
        <w:rPr>
          <w:rFonts w:cs="Times New Roman"/>
        </w:rPr>
        <w:t>retired women</w:t>
      </w:r>
      <w:r>
        <w:rPr>
          <w:rFonts w:cs="Times New Roman"/>
        </w:rPr>
        <w:t>.</w:t>
      </w:r>
      <w:r w:rsidRPr="00B50FD1">
        <w:rPr>
          <w:rFonts w:cs="Times New Roman"/>
        </w:rPr>
        <w:t xml:space="preserve"> Many retired women find themselves living in poverty because they had worked in the informal sector of the economy or had been employed in low paid jobs</w:t>
      </w:r>
      <w:r w:rsidR="00F24E3C">
        <w:rPr>
          <w:rFonts w:cs="Times New Roman"/>
        </w:rPr>
        <w:t>.</w:t>
      </w:r>
      <w:r w:rsidRPr="00B50FD1">
        <w:rPr>
          <w:rStyle w:val="FootnoteReference"/>
          <w:rFonts w:cs="Times New Roman"/>
        </w:rPr>
        <w:footnoteReference w:id="21"/>
      </w:r>
    </w:p>
    <w:p w14:paraId="2C8497F6" w14:textId="77777777" w:rsidR="008A2715" w:rsidRDefault="008A2715" w:rsidP="008A2715">
      <w:pPr>
        <w:pStyle w:val="ListParagraph"/>
        <w:spacing w:after="0" w:line="240" w:lineRule="auto"/>
        <w:ind w:left="0"/>
        <w:contextualSpacing w:val="0"/>
        <w:jc w:val="both"/>
        <w:rPr>
          <w:rFonts w:cs="Times New Roman"/>
        </w:rPr>
      </w:pPr>
    </w:p>
    <w:p w14:paraId="75C688D6" w14:textId="77777777" w:rsidR="008A2715" w:rsidRPr="00B50FD1" w:rsidRDefault="008A2715" w:rsidP="008A2715">
      <w:pPr>
        <w:spacing w:after="0" w:line="240" w:lineRule="auto"/>
        <w:jc w:val="both"/>
        <w:rPr>
          <w:rFonts w:cs="Times New Roman"/>
        </w:rPr>
      </w:pPr>
      <w:r w:rsidRPr="00CE7281">
        <w:rPr>
          <w:rFonts w:cs="Times New Roman"/>
          <w:b/>
          <w:i/>
        </w:rPr>
        <w:t>Occupational choices of men and women arise from entrenched social and cultural norms that begin in the family, community, and school, including early childhood education.</w:t>
      </w:r>
      <w:r w:rsidRPr="00B50FD1">
        <w:rPr>
          <w:rFonts w:cs="Times New Roman"/>
        </w:rPr>
        <w:t xml:space="preserve"> Because of this, interventions to enhance gender equality in professional development should also begin early in life throughout early childhood, primary and secondary education.  </w:t>
      </w:r>
      <w:r>
        <w:rPr>
          <w:rFonts w:cs="Times New Roman"/>
        </w:rPr>
        <w:t xml:space="preserve">Such interventions may include a gender assessment of the curriculum and related curriculum reform, preparation and delivery of gender module to be added to teacher training courses, providing incentives for more gender balanced work force in primary and secondary education, among others. </w:t>
      </w:r>
    </w:p>
    <w:p w14:paraId="5C7C7D17" w14:textId="77777777" w:rsidR="008A2715" w:rsidRDefault="008A2715" w:rsidP="008A2715">
      <w:pPr>
        <w:spacing w:after="0" w:line="240" w:lineRule="auto"/>
        <w:jc w:val="both"/>
        <w:rPr>
          <w:rFonts w:cs="Times New Roman"/>
          <w:b/>
          <w:i/>
        </w:rPr>
      </w:pPr>
    </w:p>
    <w:p w14:paraId="37F3E0F8" w14:textId="506A1F91" w:rsidR="008A2715" w:rsidRPr="007617D7" w:rsidRDefault="008A2715" w:rsidP="008A2715">
      <w:pPr>
        <w:spacing w:after="0" w:line="240" w:lineRule="auto"/>
        <w:jc w:val="both"/>
        <w:rPr>
          <w:rFonts w:cs="Times New Roman"/>
          <w:b/>
          <w:i/>
        </w:rPr>
      </w:pPr>
      <w:r>
        <w:rPr>
          <w:rFonts w:cs="Times New Roman"/>
          <w:b/>
          <w:i/>
        </w:rPr>
        <w:t>The role of m</w:t>
      </w:r>
      <w:r w:rsidRPr="00324FCC">
        <w:rPr>
          <w:rFonts w:cs="Times New Roman"/>
          <w:b/>
          <w:i/>
        </w:rPr>
        <w:t xml:space="preserve">edia </w:t>
      </w:r>
      <w:r>
        <w:rPr>
          <w:rFonts w:cs="Times New Roman"/>
          <w:b/>
          <w:i/>
        </w:rPr>
        <w:t>is also significant</w:t>
      </w:r>
      <w:r w:rsidRPr="00324FCC">
        <w:rPr>
          <w:rFonts w:cs="Times New Roman"/>
          <w:b/>
          <w:i/>
        </w:rPr>
        <w:t xml:space="preserve"> in </w:t>
      </w:r>
      <w:r>
        <w:rPr>
          <w:rFonts w:cs="Times New Roman"/>
          <w:b/>
          <w:i/>
        </w:rPr>
        <w:t>shaping</w:t>
      </w:r>
      <w:r w:rsidRPr="00324FCC">
        <w:rPr>
          <w:rFonts w:cs="Times New Roman"/>
          <w:b/>
          <w:i/>
        </w:rPr>
        <w:t xml:space="preserve"> norms</w:t>
      </w:r>
      <w:r>
        <w:rPr>
          <w:rFonts w:cs="Times New Roman"/>
          <w:b/>
          <w:i/>
        </w:rPr>
        <w:t>,</w:t>
      </w:r>
      <w:r w:rsidRPr="00324FCC">
        <w:rPr>
          <w:rFonts w:cs="Times New Roman"/>
          <w:b/>
          <w:i/>
        </w:rPr>
        <w:t xml:space="preserve"> and fostering a more gender neutral representation of men and women in professional roles.</w:t>
      </w:r>
      <w:r>
        <w:rPr>
          <w:rFonts w:cs="Times New Roman"/>
        </w:rPr>
        <w:t xml:space="preserve"> </w:t>
      </w:r>
      <w:r w:rsidRPr="00324FCC">
        <w:rPr>
          <w:rFonts w:cs="Times New Roman"/>
        </w:rPr>
        <w:t>An analysis of professional representation of men and women in media (Radu and Terzi 2008) revealed a trend of women being under-represented in professional areas.</w:t>
      </w:r>
      <w:r w:rsidRPr="00B50FD1">
        <w:rPr>
          <w:rFonts w:cs="Times New Roman"/>
        </w:rPr>
        <w:t xml:space="preserve"> In </w:t>
      </w:r>
      <w:r w:rsidR="00A01140">
        <w:rPr>
          <w:rFonts w:cs="Times New Roman"/>
        </w:rPr>
        <w:t>more than</w:t>
      </w:r>
      <w:r w:rsidR="00A01140" w:rsidRPr="00B50FD1">
        <w:rPr>
          <w:rFonts w:cs="Times New Roman"/>
        </w:rPr>
        <w:t xml:space="preserve"> </w:t>
      </w:r>
      <w:r w:rsidRPr="00B50FD1">
        <w:rPr>
          <w:rFonts w:cs="Times New Roman"/>
        </w:rPr>
        <w:t xml:space="preserve">9,000 articles analyzed, which refer to “women” and “men” as professionals, men are more often presented in professional roles, and dominate areas of politics and economy, social fields, and science, while women professionals mostly appear in the entertainment field. The same study conducted a review of </w:t>
      </w:r>
      <w:r w:rsidR="00A01140">
        <w:rPr>
          <w:rFonts w:cs="Times New Roman"/>
        </w:rPr>
        <w:t>more than</w:t>
      </w:r>
      <w:r w:rsidR="00A01140" w:rsidRPr="00B50FD1">
        <w:rPr>
          <w:rFonts w:cs="Times New Roman"/>
        </w:rPr>
        <w:t xml:space="preserve"> </w:t>
      </w:r>
      <w:r w:rsidRPr="00B50FD1">
        <w:rPr>
          <w:rFonts w:cs="Times New Roman"/>
        </w:rPr>
        <w:t>150,000 employment an</w:t>
      </w:r>
      <w:r>
        <w:rPr>
          <w:rFonts w:cs="Times New Roman"/>
        </w:rPr>
        <w:t>nouncements. It found that a large number of</w:t>
      </w:r>
      <w:r w:rsidRPr="00B50FD1">
        <w:rPr>
          <w:rFonts w:cs="Times New Roman"/>
        </w:rPr>
        <w:t xml:space="preserve"> announcements </w:t>
      </w:r>
      <w:r>
        <w:rPr>
          <w:rFonts w:cs="Times New Roman"/>
        </w:rPr>
        <w:t>are</w:t>
      </w:r>
      <w:r w:rsidRPr="00B50FD1">
        <w:rPr>
          <w:rFonts w:cs="Times New Roman"/>
        </w:rPr>
        <w:t xml:space="preserve"> explicitly aimed at women or men (e.g., “seeking woman – night receptionist at hotel”). Announcements aimed at men are more likely to seek leadership qualities and highlight professional development opportunities, while announcements aimed at women stress physical appearance, personal character, and lack of family responsibilities. </w:t>
      </w:r>
    </w:p>
    <w:p w14:paraId="220A637C" w14:textId="77777777" w:rsidR="008A2715" w:rsidRPr="00B50FD1" w:rsidRDefault="008A2715" w:rsidP="008A2715">
      <w:pPr>
        <w:spacing w:after="0" w:line="240" w:lineRule="auto"/>
        <w:jc w:val="both"/>
        <w:rPr>
          <w:rFonts w:cs="Times New Roman"/>
        </w:rPr>
      </w:pPr>
    </w:p>
    <w:p w14:paraId="35F42F7B" w14:textId="77777777" w:rsidR="00A01140" w:rsidRDefault="00A01140" w:rsidP="008A2715">
      <w:pPr>
        <w:spacing w:after="0" w:line="240" w:lineRule="auto"/>
        <w:jc w:val="both"/>
        <w:rPr>
          <w:rFonts w:cs="Times New Roman"/>
          <w:b/>
          <w:i/>
          <w:sz w:val="20"/>
          <w:szCs w:val="20"/>
        </w:rPr>
      </w:pPr>
    </w:p>
    <w:p w14:paraId="73CE651C" w14:textId="77777777" w:rsidR="00A01140" w:rsidRDefault="00A01140" w:rsidP="008A2715">
      <w:pPr>
        <w:spacing w:after="0" w:line="240" w:lineRule="auto"/>
        <w:jc w:val="both"/>
        <w:rPr>
          <w:rFonts w:cs="Times New Roman"/>
          <w:b/>
          <w:i/>
          <w:sz w:val="20"/>
          <w:szCs w:val="20"/>
        </w:rPr>
      </w:pPr>
    </w:p>
    <w:p w14:paraId="5009E4CC" w14:textId="77777777" w:rsidR="00A01140" w:rsidRDefault="00A01140" w:rsidP="008A2715">
      <w:pPr>
        <w:spacing w:after="0" w:line="240" w:lineRule="auto"/>
        <w:jc w:val="both"/>
        <w:rPr>
          <w:rFonts w:cs="Times New Roman"/>
          <w:b/>
          <w:i/>
          <w:sz w:val="20"/>
          <w:szCs w:val="20"/>
        </w:rPr>
      </w:pPr>
    </w:p>
    <w:p w14:paraId="269B493E" w14:textId="77777777" w:rsidR="00A01140" w:rsidRDefault="00A01140" w:rsidP="008A2715">
      <w:pPr>
        <w:spacing w:after="0" w:line="240" w:lineRule="auto"/>
        <w:jc w:val="both"/>
        <w:rPr>
          <w:rFonts w:cs="Times New Roman"/>
          <w:b/>
          <w:i/>
          <w:sz w:val="20"/>
          <w:szCs w:val="20"/>
        </w:rPr>
      </w:pPr>
    </w:p>
    <w:p w14:paraId="2E558EEA" w14:textId="77777777" w:rsidR="00A01140" w:rsidRDefault="00A01140" w:rsidP="008A2715">
      <w:pPr>
        <w:spacing w:after="0" w:line="240" w:lineRule="auto"/>
        <w:jc w:val="both"/>
        <w:rPr>
          <w:rFonts w:cs="Times New Roman"/>
          <w:b/>
          <w:i/>
          <w:sz w:val="20"/>
          <w:szCs w:val="20"/>
        </w:rPr>
      </w:pPr>
    </w:p>
    <w:p w14:paraId="03975A47" w14:textId="77777777" w:rsidR="008A2715" w:rsidRPr="00324FCC" w:rsidRDefault="008A2715" w:rsidP="008A2715">
      <w:pPr>
        <w:spacing w:after="0" w:line="240" w:lineRule="auto"/>
        <w:jc w:val="both"/>
        <w:rPr>
          <w:rFonts w:cs="Times New Roman"/>
          <w:b/>
          <w:i/>
          <w:sz w:val="20"/>
          <w:szCs w:val="20"/>
        </w:rPr>
      </w:pPr>
      <w:r w:rsidRPr="00324FCC">
        <w:rPr>
          <w:rFonts w:cs="Times New Roman"/>
          <w:b/>
          <w:i/>
          <w:sz w:val="20"/>
          <w:szCs w:val="20"/>
        </w:rPr>
        <w:t xml:space="preserve">Figure </w:t>
      </w:r>
      <w:r>
        <w:rPr>
          <w:rFonts w:cs="Times New Roman"/>
          <w:b/>
          <w:i/>
          <w:sz w:val="20"/>
          <w:szCs w:val="20"/>
        </w:rPr>
        <w:t>1</w:t>
      </w:r>
      <w:r w:rsidRPr="00324FCC">
        <w:rPr>
          <w:rFonts w:cs="Times New Roman"/>
          <w:b/>
          <w:i/>
          <w:sz w:val="20"/>
          <w:szCs w:val="20"/>
        </w:rPr>
        <w:t>: Percentage of men and women presented in professional roles</w:t>
      </w:r>
      <w:r>
        <w:rPr>
          <w:rFonts w:cs="Times New Roman"/>
          <w:b/>
          <w:i/>
          <w:sz w:val="20"/>
          <w:szCs w:val="20"/>
        </w:rPr>
        <w:t xml:space="preserve"> (Radu and Terzi 2008)</w:t>
      </w:r>
    </w:p>
    <w:p w14:paraId="606EFB2E" w14:textId="5A68D4E1" w:rsidR="008A2715" w:rsidRPr="00B50FD1" w:rsidRDefault="000A532E" w:rsidP="008A2715">
      <w:pPr>
        <w:spacing w:after="0" w:line="240" w:lineRule="auto"/>
        <w:jc w:val="both"/>
        <w:rPr>
          <w:rFonts w:cs="Times New Roman"/>
        </w:rPr>
      </w:pPr>
      <w:r w:rsidRPr="00B50FD1">
        <w:rPr>
          <w:rFonts w:cs="Times New Roman"/>
          <w:noProof/>
        </w:rPr>
        <w:lastRenderedPageBreak/>
        <w:drawing>
          <wp:inline distT="0" distB="0" distL="0" distR="0" wp14:anchorId="02BB9F06" wp14:editId="72D05024">
            <wp:extent cx="3733800" cy="22955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A7060E" w14:textId="77777777" w:rsidR="008A2715" w:rsidRDefault="008A2715" w:rsidP="008A2715">
      <w:pPr>
        <w:pStyle w:val="ListParagraph"/>
        <w:spacing w:after="0" w:line="240" w:lineRule="auto"/>
        <w:ind w:left="0"/>
        <w:contextualSpacing w:val="0"/>
        <w:jc w:val="both"/>
        <w:rPr>
          <w:rFonts w:cs="Times New Roman"/>
        </w:rPr>
      </w:pPr>
    </w:p>
    <w:p w14:paraId="6B6A6BD3" w14:textId="77777777" w:rsidR="008A2715" w:rsidRDefault="008A2715" w:rsidP="008A2715">
      <w:pPr>
        <w:pStyle w:val="ListParagraph"/>
        <w:spacing w:after="0" w:line="240" w:lineRule="auto"/>
        <w:ind w:left="0"/>
        <w:contextualSpacing w:val="0"/>
        <w:jc w:val="both"/>
        <w:rPr>
          <w:rFonts w:cs="Times New Roman"/>
        </w:rPr>
      </w:pPr>
      <w:r w:rsidRPr="002054E8">
        <w:rPr>
          <w:rFonts w:cs="Times New Roman"/>
          <w:b/>
          <w:i/>
        </w:rPr>
        <w:t>The causes for occupational segregation and resulting earnings gaps in higher-paying professions and positions require further examination.</w:t>
      </w:r>
      <w:r>
        <w:rPr>
          <w:rFonts w:cs="Times New Roman"/>
        </w:rPr>
        <w:t xml:space="preserve"> They are likely to be found in social norms, perpetuated through the education system, media, and labor markets. Efforts to better understand, monitor, and reverse occupational segregation may include: </w:t>
      </w:r>
    </w:p>
    <w:p w14:paraId="6CB779A8"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Improving tertiary education data to better track women in STEM (Science, Technology, Engineering, and Mathematics) and encourage gender balance in STEM fields;</w:t>
      </w:r>
    </w:p>
    <w:p w14:paraId="55C3138C"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Assessing gender norms in education curriculum and pursuing more gender-neutral representation of men and women in professional roles in the curriculum;</w:t>
      </w:r>
    </w:p>
    <w:p w14:paraId="37D1C2E4"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Working to reverse the ‘feminization’ of lower-paying public service positions (such as primary and secondary school teachers where women represent over 80% of the labor force);</w:t>
      </w:r>
    </w:p>
    <w:p w14:paraId="052E874A"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 xml:space="preserve">Supporting Government, media, and/or CSO-led public awareness efforts on gender equality in the professional domains; </w:t>
      </w:r>
    </w:p>
    <w:p w14:paraId="6508C8EB"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 xml:space="preserve">Reforming legislation that prohibits or </w:t>
      </w:r>
      <w:r w:rsidRPr="00C82A66">
        <w:rPr>
          <w:rFonts w:cs="Times New Roman"/>
          <w:i/>
        </w:rPr>
        <w:t>protects</w:t>
      </w:r>
      <w:r>
        <w:rPr>
          <w:rFonts w:cs="Times New Roman"/>
        </w:rPr>
        <w:t xml:space="preserve"> women from working in certain fields, such as driving heavy vehicles; </w:t>
      </w:r>
    </w:p>
    <w:p w14:paraId="1D10D190"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supporting initiatives  to increase women’s participation in higher-earning sectors such as IT;</w:t>
      </w:r>
    </w:p>
    <w:p w14:paraId="29445443" w14:textId="77777777" w:rsidR="008A2715" w:rsidRPr="00324FCC" w:rsidRDefault="008A2715" w:rsidP="008A2715">
      <w:pPr>
        <w:pStyle w:val="ListParagraph"/>
        <w:numPr>
          <w:ilvl w:val="0"/>
          <w:numId w:val="15"/>
        </w:numPr>
        <w:spacing w:after="0" w:line="240" w:lineRule="auto"/>
        <w:contextualSpacing w:val="0"/>
        <w:jc w:val="both"/>
        <w:rPr>
          <w:rFonts w:cs="Times New Roman"/>
        </w:rPr>
      </w:pPr>
      <w:r>
        <w:rPr>
          <w:rFonts w:cs="Times New Roman"/>
        </w:rPr>
        <w:t xml:space="preserve">Providing opportunities for soft and leadership skills development for women in public and private sectors. For example, </w:t>
      </w:r>
      <w:r>
        <w:rPr>
          <w:rFonts w:cs="Times New Roman"/>
          <w:color w:val="000000"/>
        </w:rPr>
        <w:t>t</w:t>
      </w:r>
      <w:r w:rsidRPr="00AC7F60">
        <w:rPr>
          <w:rFonts w:cs="Times New Roman"/>
          <w:color w:val="000000"/>
        </w:rPr>
        <w:t xml:space="preserve">he </w:t>
      </w:r>
      <w:r>
        <w:rPr>
          <w:rFonts w:cs="Times New Roman"/>
          <w:color w:val="000000"/>
        </w:rPr>
        <w:t xml:space="preserve">National </w:t>
      </w:r>
      <w:r w:rsidRPr="00AC7F60">
        <w:rPr>
          <w:rFonts w:cs="Times New Roman"/>
          <w:color w:val="000000"/>
        </w:rPr>
        <w:t>Gender Equality Strategy highlights the need for career mentorship to encourage girls to pursue less traditional professions.</w:t>
      </w:r>
    </w:p>
    <w:p w14:paraId="3D6144BD" w14:textId="77777777" w:rsidR="008A2715" w:rsidRDefault="008A2715" w:rsidP="008A2715">
      <w:pPr>
        <w:pStyle w:val="ListParagraph"/>
        <w:numPr>
          <w:ilvl w:val="0"/>
          <w:numId w:val="15"/>
        </w:numPr>
        <w:spacing w:after="0" w:line="240" w:lineRule="auto"/>
        <w:contextualSpacing w:val="0"/>
        <w:jc w:val="both"/>
        <w:rPr>
          <w:rFonts w:cs="Times New Roman"/>
        </w:rPr>
      </w:pPr>
      <w:r>
        <w:rPr>
          <w:rFonts w:cs="Times New Roman"/>
        </w:rPr>
        <w:t>Helping to implement and enforce recent legislation that prohibits sexist images and language in media, advertisements, job announcements, etc.</w:t>
      </w:r>
    </w:p>
    <w:p w14:paraId="5796DB8E" w14:textId="77777777" w:rsidR="008A2715" w:rsidRDefault="008A2715" w:rsidP="008A2715">
      <w:pPr>
        <w:spacing w:after="0" w:line="240" w:lineRule="auto"/>
        <w:rPr>
          <w:rFonts w:cs="Times New Roman"/>
          <w:color w:val="000000"/>
        </w:rPr>
      </w:pPr>
    </w:p>
    <w:p w14:paraId="5171A8B5" w14:textId="77777777" w:rsidR="008A2715" w:rsidRDefault="008A2715" w:rsidP="008A2715">
      <w:pPr>
        <w:spacing w:after="0" w:line="240" w:lineRule="auto"/>
        <w:rPr>
          <w:rFonts w:cs="Times New Roman"/>
          <w:color w:val="000000"/>
        </w:rPr>
      </w:pPr>
    </w:p>
    <w:p w14:paraId="10620498" w14:textId="4304AF47" w:rsidR="008A2715" w:rsidRDefault="008A2715" w:rsidP="008A2715">
      <w:pPr>
        <w:pStyle w:val="Heading3"/>
      </w:pPr>
      <w:bookmarkStart w:id="13" w:name="_Toc476839799"/>
      <w:r>
        <w:t>Discrepancies in labor force participation</w:t>
      </w:r>
      <w:bookmarkEnd w:id="13"/>
      <w:r>
        <w:t xml:space="preserve"> </w:t>
      </w:r>
    </w:p>
    <w:p w14:paraId="1B56F0B8" w14:textId="77777777" w:rsidR="008A2715" w:rsidRDefault="008A2715" w:rsidP="008A2715">
      <w:pPr>
        <w:spacing w:after="0" w:line="240" w:lineRule="auto"/>
        <w:rPr>
          <w:rFonts w:cs="Times New Roman"/>
          <w:color w:val="000000"/>
        </w:rPr>
      </w:pPr>
    </w:p>
    <w:p w14:paraId="715D90D7" w14:textId="60B79AE9" w:rsidR="008A2715" w:rsidRPr="00332A15" w:rsidRDefault="008A2715" w:rsidP="008A2715">
      <w:pPr>
        <w:spacing w:after="0" w:line="240" w:lineRule="auto"/>
        <w:jc w:val="both"/>
        <w:rPr>
          <w:rFonts w:cs="Times New Roman"/>
          <w:b/>
          <w:i/>
          <w:color w:val="000000"/>
        </w:rPr>
      </w:pPr>
      <w:r w:rsidRPr="00332A15">
        <w:rPr>
          <w:rFonts w:cs="Times New Roman"/>
          <w:b/>
          <w:i/>
          <w:color w:val="000000"/>
        </w:rPr>
        <w:t>As suggested by the section above</w:t>
      </w:r>
      <w:r w:rsidR="00430723">
        <w:rPr>
          <w:rFonts w:cs="Times New Roman"/>
          <w:b/>
          <w:i/>
          <w:color w:val="000000"/>
        </w:rPr>
        <w:t>,</w:t>
      </w:r>
      <w:r w:rsidRPr="00332A15">
        <w:rPr>
          <w:rFonts w:cs="Times New Roman"/>
          <w:b/>
          <w:i/>
          <w:color w:val="000000"/>
        </w:rPr>
        <w:t xml:space="preserve"> gender inequalities in Moldova are most evident in the labor market. </w:t>
      </w:r>
      <w:r w:rsidRPr="00C57519">
        <w:rPr>
          <w:rFonts w:eastAsia="Times New Roman" w:cs="Times New Roman"/>
          <w:bCs/>
        </w:rPr>
        <w:t xml:space="preserve">In fact, the decrease in the Gender Equality Index score (discussed earlier) can be largely attributed to </w:t>
      </w:r>
      <w:r w:rsidRPr="00B50FD1">
        <w:rPr>
          <w:rFonts w:eastAsia="Times New Roman" w:cs="Times New Roman"/>
          <w:bCs/>
        </w:rPr>
        <w:t xml:space="preserve">intensifying inequalities in the labor market – </w:t>
      </w:r>
      <w:r>
        <w:rPr>
          <w:rFonts w:eastAsia="Times New Roman" w:cs="Times New Roman"/>
          <w:bCs/>
        </w:rPr>
        <w:t>the labor market equality score</w:t>
      </w:r>
      <w:r w:rsidRPr="00B50FD1">
        <w:rPr>
          <w:rFonts w:eastAsia="Times New Roman" w:cs="Times New Roman"/>
          <w:bCs/>
        </w:rPr>
        <w:t xml:space="preserve"> decreased from 70 in 2009 to 63 in 2014</w:t>
      </w:r>
      <w:r w:rsidR="00430723">
        <w:rPr>
          <w:rFonts w:eastAsia="Times New Roman" w:cs="Times New Roman"/>
          <w:bCs/>
        </w:rPr>
        <w:t>.</w:t>
      </w:r>
      <w:r w:rsidRPr="00B50FD1">
        <w:rPr>
          <w:rStyle w:val="FootnoteReference"/>
          <w:rFonts w:eastAsia="Times New Roman" w:cs="Times New Roman"/>
          <w:bCs/>
        </w:rPr>
        <w:footnoteReference w:id="22"/>
      </w:r>
      <w:r w:rsidRPr="00B50FD1">
        <w:rPr>
          <w:rFonts w:eastAsia="Times New Roman" w:cs="Times New Roman"/>
          <w:bCs/>
        </w:rPr>
        <w:t xml:space="preserve">  </w:t>
      </w:r>
      <w:r>
        <w:rPr>
          <w:rFonts w:cs="Times New Roman"/>
          <w:color w:val="000000"/>
        </w:rPr>
        <w:t xml:space="preserve">Delays in entry to the labor force, longer breaks from the labor force, gender bias in labor market decisions, and restrictive childcare and maternity regulations are some of the main issues that </w:t>
      </w:r>
      <w:r>
        <w:rPr>
          <w:rFonts w:cs="Times New Roman"/>
          <w:color w:val="000000"/>
        </w:rPr>
        <w:lastRenderedPageBreak/>
        <w:t xml:space="preserve">obstruct opportunities for women </w:t>
      </w:r>
      <w:r w:rsidR="00430723">
        <w:rPr>
          <w:rFonts w:cs="Times New Roman"/>
          <w:color w:val="000000"/>
        </w:rPr>
        <w:t xml:space="preserve">to </w:t>
      </w:r>
      <w:r>
        <w:rPr>
          <w:rFonts w:cs="Times New Roman"/>
          <w:color w:val="000000"/>
        </w:rPr>
        <w:t xml:space="preserve">work. </w:t>
      </w:r>
      <w:r w:rsidR="00430723">
        <w:rPr>
          <w:rFonts w:eastAsia="Times New Roman" w:cs="Times New Roman"/>
          <w:bCs/>
        </w:rPr>
        <w:t>T</w:t>
      </w:r>
      <w:r w:rsidRPr="00B50FD1">
        <w:rPr>
          <w:rFonts w:eastAsia="Times New Roman" w:cs="Times New Roman"/>
          <w:bCs/>
        </w:rPr>
        <w:t>he participation rate of women with at least one child has decreased. In 2014, the difference between occupied women with one pre-school child and women with no chil</w:t>
      </w:r>
      <w:r>
        <w:rPr>
          <w:rFonts w:eastAsia="Times New Roman" w:cs="Times New Roman"/>
          <w:bCs/>
        </w:rPr>
        <w:t xml:space="preserve">dren </w:t>
      </w:r>
      <w:r w:rsidR="00430723">
        <w:rPr>
          <w:rFonts w:eastAsia="Times New Roman" w:cs="Times New Roman"/>
          <w:bCs/>
        </w:rPr>
        <w:t xml:space="preserve">was </w:t>
      </w:r>
      <w:r>
        <w:rPr>
          <w:rFonts w:eastAsia="Times New Roman" w:cs="Times New Roman"/>
          <w:bCs/>
        </w:rPr>
        <w:t xml:space="preserve">20%, </w:t>
      </w:r>
      <w:r w:rsidRPr="00B50FD1">
        <w:rPr>
          <w:rFonts w:eastAsia="Times New Roman" w:cs="Times New Roman"/>
          <w:bCs/>
        </w:rPr>
        <w:t xml:space="preserve">one of the most significant discrepancies </w:t>
      </w:r>
      <w:r>
        <w:rPr>
          <w:rFonts w:eastAsia="Times New Roman" w:cs="Times New Roman"/>
          <w:bCs/>
        </w:rPr>
        <w:t>among</w:t>
      </w:r>
      <w:r w:rsidRPr="00B50FD1">
        <w:rPr>
          <w:rFonts w:eastAsia="Times New Roman" w:cs="Times New Roman"/>
          <w:bCs/>
        </w:rPr>
        <w:t xml:space="preserve"> European countries</w:t>
      </w:r>
      <w:r w:rsidR="00430723">
        <w:rPr>
          <w:rFonts w:eastAsia="Times New Roman" w:cs="Times New Roman"/>
          <w:bCs/>
        </w:rPr>
        <w:t>.</w:t>
      </w:r>
      <w:r w:rsidRPr="00B50FD1">
        <w:rPr>
          <w:rStyle w:val="FootnoteReference"/>
          <w:rFonts w:eastAsia="Times New Roman" w:cs="Times New Roman"/>
          <w:bCs/>
        </w:rPr>
        <w:footnoteReference w:id="23"/>
      </w:r>
      <w:r w:rsidRPr="00B50FD1">
        <w:rPr>
          <w:rFonts w:eastAsia="Times New Roman" w:cs="Times New Roman"/>
          <w:bCs/>
        </w:rPr>
        <w:t xml:space="preserve"> </w:t>
      </w:r>
      <w:r w:rsidR="00430723">
        <w:rPr>
          <w:rFonts w:eastAsia="Times New Roman" w:cs="Times New Roman"/>
          <w:bCs/>
        </w:rPr>
        <w:t>T</w:t>
      </w:r>
      <w:r w:rsidRPr="00B50FD1">
        <w:rPr>
          <w:rFonts w:eastAsia="Times New Roman" w:cs="Times New Roman"/>
          <w:bCs/>
        </w:rPr>
        <w:t>he</w:t>
      </w:r>
      <w:r>
        <w:rPr>
          <w:rFonts w:eastAsia="Times New Roman" w:cs="Times New Roman"/>
          <w:bCs/>
        </w:rPr>
        <w:t>re is a declining</w:t>
      </w:r>
      <w:r w:rsidRPr="00B50FD1">
        <w:rPr>
          <w:rFonts w:eastAsia="Times New Roman" w:cs="Times New Roman"/>
          <w:bCs/>
        </w:rPr>
        <w:t xml:space="preserve"> number of women who </w:t>
      </w:r>
      <w:r>
        <w:rPr>
          <w:rFonts w:eastAsia="Times New Roman" w:cs="Times New Roman"/>
          <w:bCs/>
        </w:rPr>
        <w:t xml:space="preserve">resume work after </w:t>
      </w:r>
      <w:r w:rsidRPr="00B50FD1">
        <w:rPr>
          <w:rFonts w:eastAsia="Times New Roman" w:cs="Times New Roman"/>
          <w:bCs/>
        </w:rPr>
        <w:t>benefit</w:t>
      </w:r>
      <w:r>
        <w:rPr>
          <w:rFonts w:eastAsia="Times New Roman" w:cs="Times New Roman"/>
          <w:bCs/>
        </w:rPr>
        <w:t>ting from partially-</w:t>
      </w:r>
      <w:r w:rsidRPr="00B50FD1">
        <w:rPr>
          <w:rFonts w:eastAsia="Times New Roman" w:cs="Times New Roman"/>
          <w:bCs/>
        </w:rPr>
        <w:t>paid child care</w:t>
      </w:r>
      <w:r>
        <w:rPr>
          <w:rFonts w:eastAsia="Times New Roman" w:cs="Times New Roman"/>
          <w:bCs/>
        </w:rPr>
        <w:t xml:space="preserve"> leave (up to 3 years)</w:t>
      </w:r>
      <w:r w:rsidRPr="00B50FD1">
        <w:rPr>
          <w:rFonts w:eastAsia="Times New Roman" w:cs="Times New Roman"/>
          <w:bCs/>
        </w:rPr>
        <w:t>.</w:t>
      </w:r>
      <w:r>
        <w:rPr>
          <w:rStyle w:val="FootnoteReference"/>
          <w:rFonts w:eastAsia="Times New Roman" w:cs="Times New Roman"/>
          <w:bCs/>
        </w:rPr>
        <w:footnoteReference w:id="24"/>
      </w:r>
      <w:r w:rsidRPr="00B50FD1">
        <w:rPr>
          <w:rFonts w:eastAsia="Times New Roman" w:cs="Times New Roman"/>
          <w:bCs/>
        </w:rPr>
        <w:t xml:space="preserve"> </w:t>
      </w:r>
      <w:r w:rsidR="00430723">
        <w:rPr>
          <w:rFonts w:eastAsia="Times New Roman" w:cs="Times New Roman"/>
          <w:bCs/>
        </w:rPr>
        <w:t>W</w:t>
      </w:r>
      <w:r w:rsidRPr="00B50FD1">
        <w:rPr>
          <w:rFonts w:eastAsia="Times New Roman" w:cs="Times New Roman"/>
          <w:bCs/>
        </w:rPr>
        <w:t xml:space="preserve">omen are the primary beneficiaries of child care leave and thus their careers are affected because of long interruptions. </w:t>
      </w:r>
    </w:p>
    <w:p w14:paraId="2D8A8BAE" w14:textId="77777777" w:rsidR="008A2715" w:rsidRDefault="008A2715" w:rsidP="008A2715">
      <w:pPr>
        <w:autoSpaceDE w:val="0"/>
        <w:autoSpaceDN w:val="0"/>
        <w:adjustRightInd w:val="0"/>
        <w:spacing w:after="0" w:line="240" w:lineRule="auto"/>
        <w:jc w:val="both"/>
        <w:rPr>
          <w:rFonts w:eastAsia="Times New Roman" w:cs="Times New Roman"/>
          <w:bCs/>
        </w:rPr>
      </w:pPr>
    </w:p>
    <w:p w14:paraId="371D6A8D" w14:textId="2BA6A44E" w:rsidR="008A2715" w:rsidRPr="00B50FD1" w:rsidRDefault="008A2715" w:rsidP="008A2715">
      <w:pPr>
        <w:autoSpaceDE w:val="0"/>
        <w:autoSpaceDN w:val="0"/>
        <w:adjustRightInd w:val="0"/>
        <w:spacing w:after="0" w:line="240" w:lineRule="auto"/>
        <w:jc w:val="both"/>
        <w:rPr>
          <w:rFonts w:cs="Times New Roman"/>
          <w:i/>
          <w:iCs/>
          <w:color w:val="1F497D"/>
        </w:rPr>
      </w:pPr>
      <w:r>
        <w:rPr>
          <w:rFonts w:eastAsia="Times New Roman" w:cs="Times New Roman"/>
          <w:b/>
        </w:rPr>
        <w:t xml:space="preserve">Hidden discrimination in the market, due in part to restrictive maternity leave policies, may be further disadvantaging women on the labor market.  </w:t>
      </w:r>
      <w:r w:rsidRPr="00B50FD1">
        <w:rPr>
          <w:rFonts w:eastAsia="Times New Roman" w:cs="Times New Roman"/>
        </w:rPr>
        <w:t xml:space="preserve">Compared to other European countries, Moldova has one of </w:t>
      </w:r>
      <w:r w:rsidR="006D4AE1">
        <w:rPr>
          <w:rFonts w:eastAsia="Times New Roman" w:cs="Times New Roman"/>
        </w:rPr>
        <w:t>the most generous</w:t>
      </w:r>
      <w:r w:rsidRPr="00B50FD1">
        <w:rPr>
          <w:rFonts w:eastAsia="Times New Roman" w:cs="Times New Roman"/>
        </w:rPr>
        <w:t xml:space="preserve"> child care leave</w:t>
      </w:r>
      <w:r w:rsidR="006D4AE1">
        <w:rPr>
          <w:rFonts w:eastAsia="Times New Roman" w:cs="Times New Roman"/>
        </w:rPr>
        <w:t xml:space="preserve"> policies</w:t>
      </w:r>
      <w:r w:rsidR="00430723">
        <w:rPr>
          <w:rFonts w:eastAsia="Times New Roman" w:cs="Times New Roman"/>
        </w:rPr>
        <w:t>.</w:t>
      </w:r>
      <w:r w:rsidRPr="00A25A2B">
        <w:rPr>
          <w:rStyle w:val="FootnoteReference"/>
          <w:rFonts w:eastAsia="Times New Roman" w:cs="Times New Roman"/>
        </w:rPr>
        <w:footnoteReference w:id="25"/>
      </w:r>
      <w:r w:rsidRPr="00A25A2B">
        <w:rPr>
          <w:rFonts w:cs="Times New Roman"/>
          <w:bCs/>
          <w:color w:val="000000"/>
        </w:rPr>
        <w:t xml:space="preserve"> Partially-paid childcare leave is available for up to 3 years, and unpaid leave up to six year</w:t>
      </w:r>
      <w:r w:rsidR="00430723">
        <w:rPr>
          <w:rFonts w:cs="Times New Roman"/>
          <w:bCs/>
          <w:color w:val="000000"/>
        </w:rPr>
        <w:t>s</w:t>
      </w:r>
      <w:r w:rsidRPr="00A25A2B">
        <w:rPr>
          <w:rFonts w:cs="Times New Roman"/>
          <w:bCs/>
          <w:color w:val="000000"/>
        </w:rPr>
        <w:t xml:space="preserve">, </w:t>
      </w:r>
      <w:r w:rsidR="00430723">
        <w:rPr>
          <w:rFonts w:cs="Times New Roman"/>
          <w:bCs/>
          <w:color w:val="000000"/>
        </w:rPr>
        <w:t xml:space="preserve">the </w:t>
      </w:r>
      <w:r w:rsidR="00430723" w:rsidRPr="00A25A2B">
        <w:rPr>
          <w:rFonts w:cs="Times New Roman"/>
          <w:bCs/>
          <w:color w:val="000000"/>
        </w:rPr>
        <w:t xml:space="preserve">period </w:t>
      </w:r>
      <w:r w:rsidRPr="00A25A2B">
        <w:rPr>
          <w:rFonts w:cs="Times New Roman"/>
          <w:bCs/>
          <w:color w:val="000000"/>
        </w:rPr>
        <w:t>for which the employer is obligated to reserve the job place.</w:t>
      </w:r>
      <w:r>
        <w:rPr>
          <w:rFonts w:cs="Times New Roman"/>
          <w:b/>
          <w:bCs/>
          <w:color w:val="000000"/>
        </w:rPr>
        <w:t xml:space="preserve"> </w:t>
      </w:r>
      <w:r w:rsidRPr="00A25A2B">
        <w:rPr>
          <w:rFonts w:cs="Times New Roman"/>
          <w:bCs/>
          <w:color w:val="000000"/>
        </w:rPr>
        <w:t>This is likely to influence employers’ decisions in hiring young women.</w:t>
      </w:r>
      <w:r>
        <w:rPr>
          <w:rFonts w:cs="Times New Roman"/>
          <w:b/>
          <w:bCs/>
          <w:color w:val="000000"/>
        </w:rPr>
        <w:t xml:space="preserve"> </w:t>
      </w:r>
      <w:r w:rsidRPr="00A25A2B">
        <w:rPr>
          <w:rFonts w:cs="Times New Roman"/>
          <w:bCs/>
          <w:color w:val="000000"/>
        </w:rPr>
        <w:t>At the same time, flexible work programs are not</w:t>
      </w:r>
      <w:r>
        <w:rPr>
          <w:rFonts w:cs="Times New Roman"/>
          <w:b/>
          <w:bCs/>
          <w:color w:val="000000"/>
        </w:rPr>
        <w:t xml:space="preserve"> </w:t>
      </w:r>
      <w:r w:rsidRPr="00A25A2B">
        <w:rPr>
          <w:rFonts w:cs="Times New Roman"/>
          <w:bCs/>
          <w:color w:val="000000"/>
        </w:rPr>
        <w:t>common and in fact are used by men slightly more than women:</w:t>
      </w:r>
      <w:r>
        <w:rPr>
          <w:rFonts w:cs="Times New Roman"/>
          <w:b/>
          <w:bCs/>
          <w:color w:val="000000"/>
        </w:rPr>
        <w:t xml:space="preserve"> </w:t>
      </w:r>
      <w:r>
        <w:rPr>
          <w:rFonts w:cs="Times New Roman"/>
          <w:color w:val="000000"/>
        </w:rPr>
        <w:t>a</w:t>
      </w:r>
      <w:r w:rsidRPr="00B50FD1">
        <w:rPr>
          <w:rFonts w:cs="Times New Roman"/>
          <w:color w:val="000000"/>
        </w:rPr>
        <w:t xml:space="preserve"> recent study revealed that 47.2% of women enjoy a flexible work program</w:t>
      </w:r>
      <w:r>
        <w:rPr>
          <w:rFonts w:cs="Times New Roman"/>
          <w:color w:val="000000"/>
        </w:rPr>
        <w:t>, and 6% enjoy a very flexible work program</w:t>
      </w:r>
      <w:r w:rsidR="00430723">
        <w:rPr>
          <w:rFonts w:cs="Times New Roman"/>
          <w:color w:val="000000"/>
        </w:rPr>
        <w:t xml:space="preserve">, </w:t>
      </w:r>
      <w:r w:rsidRPr="00B50FD1">
        <w:rPr>
          <w:rFonts w:cs="Times New Roman"/>
          <w:color w:val="000000"/>
        </w:rPr>
        <w:t xml:space="preserve">while </w:t>
      </w:r>
      <w:r>
        <w:rPr>
          <w:rFonts w:cs="Times New Roman"/>
          <w:color w:val="000000"/>
        </w:rPr>
        <w:t xml:space="preserve">the shares for men are 49.7% </w:t>
      </w:r>
      <w:r w:rsidRPr="00B50FD1">
        <w:rPr>
          <w:rFonts w:cs="Times New Roman"/>
          <w:color w:val="000000"/>
        </w:rPr>
        <w:t>and 13.1% of men</w:t>
      </w:r>
      <w:r>
        <w:rPr>
          <w:rFonts w:cs="Times New Roman"/>
          <w:color w:val="000000"/>
        </w:rPr>
        <w:t xml:space="preserve"> respectively.</w:t>
      </w:r>
      <w:r w:rsidRPr="00B50FD1">
        <w:rPr>
          <w:rStyle w:val="FootnoteReference"/>
          <w:rFonts w:cs="Times New Roman"/>
          <w:color w:val="000000"/>
        </w:rPr>
        <w:footnoteReference w:id="26"/>
      </w:r>
      <w:r w:rsidRPr="00B50FD1">
        <w:rPr>
          <w:rFonts w:cs="Times New Roman"/>
          <w:color w:val="000000"/>
        </w:rPr>
        <w:t xml:space="preserve"> </w:t>
      </w:r>
      <w:r>
        <w:rPr>
          <w:rFonts w:cs="Times New Roman"/>
          <w:bCs/>
          <w:color w:val="000000"/>
        </w:rPr>
        <w:t>T</w:t>
      </w:r>
      <w:r w:rsidRPr="00A25A2B">
        <w:rPr>
          <w:rFonts w:cs="Times New Roman"/>
          <w:bCs/>
          <w:color w:val="000000"/>
        </w:rPr>
        <w:t xml:space="preserve">he Labor Code </w:t>
      </w:r>
      <w:r>
        <w:rPr>
          <w:rFonts w:cs="Times New Roman"/>
          <w:bCs/>
          <w:color w:val="000000"/>
        </w:rPr>
        <w:t xml:space="preserve">of Moldova </w:t>
      </w:r>
      <w:r>
        <w:rPr>
          <w:rFonts w:cs="Times New Roman"/>
          <w:color w:val="000000"/>
        </w:rPr>
        <w:t>prohibits gender bias in hiring, firing, promotion, and salary decisions. However, these provisions are rarely enforced, and there is a widely-recognized need for additional guidelines and capacity building for properly implementing gender equality provisions in HR functions in both public and private enterprises.</w:t>
      </w:r>
    </w:p>
    <w:p w14:paraId="7E8D82FA" w14:textId="77777777" w:rsidR="008A2715" w:rsidRDefault="008A2715" w:rsidP="008A2715">
      <w:pPr>
        <w:spacing w:after="0" w:line="240" w:lineRule="auto"/>
        <w:rPr>
          <w:rFonts w:cs="Times New Roman"/>
          <w:color w:val="000000"/>
        </w:rPr>
      </w:pPr>
    </w:p>
    <w:p w14:paraId="15E6B645" w14:textId="2CC4990D" w:rsidR="008A2715" w:rsidRPr="00140F71" w:rsidRDefault="008A2715" w:rsidP="008A2715">
      <w:pPr>
        <w:spacing w:after="0" w:line="240" w:lineRule="auto"/>
        <w:jc w:val="both"/>
        <w:rPr>
          <w:rFonts w:cs="Times New Roman"/>
        </w:rPr>
      </w:pPr>
      <w:r w:rsidRPr="00B50FD1">
        <w:rPr>
          <w:rFonts w:cs="Times New Roman"/>
          <w:b/>
        </w:rPr>
        <w:t>Absence of early childcare services (0-3 y</w:t>
      </w:r>
      <w:r w:rsidR="00430723">
        <w:rPr>
          <w:rFonts w:cs="Times New Roman"/>
          <w:b/>
        </w:rPr>
        <w:t>ears</w:t>
      </w:r>
      <w:r w:rsidRPr="00B50FD1">
        <w:rPr>
          <w:rFonts w:cs="Times New Roman"/>
          <w:b/>
        </w:rPr>
        <w:t>) and disparities between maternity leave (126 days) and paternity leave (14 days) further put women at a disadvantage in the labor market</w:t>
      </w:r>
      <w:r w:rsidRPr="00B50FD1">
        <w:rPr>
          <w:rFonts w:cs="Times New Roman"/>
        </w:rPr>
        <w:t xml:space="preserve">. </w:t>
      </w:r>
      <w:r w:rsidRPr="00B50FD1">
        <w:rPr>
          <w:rFonts w:cs="Times New Roman"/>
          <w:b/>
        </w:rPr>
        <w:t xml:space="preserve">This is due, in part, to social norms which perceive women being care givers. </w:t>
      </w:r>
      <w:r w:rsidRPr="00B50FD1">
        <w:rPr>
          <w:rFonts w:cs="Times New Roman"/>
        </w:rPr>
        <w:t xml:space="preserve">The new provision allowing for a 14 days paternity leave </w:t>
      </w:r>
      <w:r w:rsidR="00430723">
        <w:rPr>
          <w:rFonts w:cs="Times New Roman"/>
        </w:rPr>
        <w:t>was</w:t>
      </w:r>
      <w:r w:rsidRPr="00B50FD1">
        <w:rPr>
          <w:rFonts w:cs="Times New Roman"/>
        </w:rPr>
        <w:t xml:space="preserve"> adopted in April 2016 and, as of now, has not yet been enforced </w:t>
      </w:r>
      <w:r>
        <w:rPr>
          <w:rFonts w:cs="Times New Roman"/>
        </w:rPr>
        <w:t xml:space="preserve">(a leave </w:t>
      </w:r>
      <w:r w:rsidRPr="00B50FD1">
        <w:rPr>
          <w:rFonts w:cs="Times New Roman"/>
        </w:rPr>
        <w:t>calculation formula has not yet been established</w:t>
      </w:r>
      <w:r>
        <w:rPr>
          <w:rFonts w:cs="Times New Roman"/>
        </w:rPr>
        <w:t>)</w:t>
      </w:r>
      <w:r w:rsidRPr="00B50FD1">
        <w:rPr>
          <w:rFonts w:cs="Times New Roman"/>
        </w:rPr>
        <w:t>.</w:t>
      </w:r>
      <w:r>
        <w:rPr>
          <w:rFonts w:cs="Times New Roman"/>
        </w:rPr>
        <w:t xml:space="preserve"> By law, both women and men can benefit</w:t>
      </w:r>
      <w:r w:rsidRPr="00B50FD1">
        <w:rPr>
          <w:rFonts w:cs="Times New Roman"/>
        </w:rPr>
        <w:t xml:space="preserve"> from child care leave (</w:t>
      </w:r>
      <w:r>
        <w:rPr>
          <w:rFonts w:cs="Times New Roman"/>
        </w:rPr>
        <w:t xml:space="preserve">partially-paid </w:t>
      </w:r>
      <w:r w:rsidRPr="00B50FD1">
        <w:rPr>
          <w:rFonts w:cs="Times New Roman"/>
        </w:rPr>
        <w:t>up to 3 years</w:t>
      </w:r>
      <w:r>
        <w:rPr>
          <w:rFonts w:cs="Times New Roman"/>
        </w:rPr>
        <w:t>; and unpaid up to 6 years). In practice</w:t>
      </w:r>
      <w:r w:rsidR="00430723">
        <w:rPr>
          <w:rFonts w:cs="Times New Roman"/>
        </w:rPr>
        <w:t>,</w:t>
      </w:r>
      <w:r w:rsidRPr="00B50FD1">
        <w:rPr>
          <w:rFonts w:cs="Times New Roman"/>
        </w:rPr>
        <w:t xml:space="preserve"> women are those who most often take the leave with long interruptions in their professional lives. </w:t>
      </w:r>
      <w:r>
        <w:rPr>
          <w:rFonts w:cs="Times New Roman"/>
        </w:rPr>
        <w:t>Opportunities for childcare up to the age of 3 are scarce, and strict childcare regulations have prevented expansion of private childcare services. The promotion of more flexible options for</w:t>
      </w:r>
      <w:r w:rsidRPr="00B50FD1">
        <w:rPr>
          <w:rFonts w:cs="Times New Roman"/>
        </w:rPr>
        <w:t xml:space="preserve"> private day care services could provide both employment opportunities </w:t>
      </w:r>
      <w:r>
        <w:rPr>
          <w:rFonts w:cs="Times New Roman"/>
        </w:rPr>
        <w:t>for women (as providers of childcare) as well as</w:t>
      </w:r>
      <w:r w:rsidRPr="00B50FD1">
        <w:rPr>
          <w:rFonts w:cs="Times New Roman"/>
        </w:rPr>
        <w:t xml:space="preserve"> more flexibility </w:t>
      </w:r>
      <w:r>
        <w:rPr>
          <w:rFonts w:cs="Times New Roman"/>
        </w:rPr>
        <w:t xml:space="preserve">for women on the job market. The enforcement of obligatory paternity leave, and public awareness measures encouraging men to partake in childcare, can contribute to changing norms, facilitating women’s retention in the labor force, and reducing bias among employers. </w:t>
      </w:r>
    </w:p>
    <w:p w14:paraId="3164CCCE" w14:textId="77777777" w:rsidR="008A2715" w:rsidRDefault="008A2715" w:rsidP="008A2715">
      <w:pPr>
        <w:spacing w:after="0" w:line="240" w:lineRule="auto"/>
        <w:rPr>
          <w:rFonts w:cs="Times New Roman"/>
          <w:color w:val="000000"/>
        </w:rPr>
      </w:pPr>
    </w:p>
    <w:p w14:paraId="0311B8CE" w14:textId="77777777" w:rsidR="008A2715" w:rsidRDefault="008A2715" w:rsidP="008A2715">
      <w:pPr>
        <w:spacing w:after="0" w:line="240" w:lineRule="auto"/>
        <w:rPr>
          <w:rFonts w:cs="Times New Roman"/>
          <w:color w:val="000000"/>
        </w:rPr>
      </w:pPr>
    </w:p>
    <w:p w14:paraId="59EB72A1" w14:textId="25C506BE" w:rsidR="008A2715" w:rsidRDefault="008A2715" w:rsidP="008A2715">
      <w:pPr>
        <w:pStyle w:val="Heading3"/>
      </w:pPr>
      <w:bookmarkStart w:id="14" w:name="_Toc476839800"/>
      <w:r>
        <w:t>Entrepreneurship and livelihoods</w:t>
      </w:r>
      <w:bookmarkEnd w:id="14"/>
    </w:p>
    <w:p w14:paraId="2E2FEDFF" w14:textId="77777777" w:rsidR="001A4CDA" w:rsidRDefault="001A4CDA" w:rsidP="008A2715">
      <w:pPr>
        <w:spacing w:after="0" w:line="240" w:lineRule="auto"/>
        <w:jc w:val="both"/>
        <w:rPr>
          <w:rFonts w:cs="Times New Roman"/>
          <w:b/>
          <w:i/>
        </w:rPr>
      </w:pPr>
    </w:p>
    <w:p w14:paraId="6F60168D" w14:textId="0D30592C" w:rsidR="008A2715" w:rsidRDefault="008A2715" w:rsidP="008A2715">
      <w:pPr>
        <w:spacing w:after="0" w:line="240" w:lineRule="auto"/>
        <w:jc w:val="both"/>
        <w:rPr>
          <w:rFonts w:cs="Times New Roman"/>
        </w:rPr>
      </w:pPr>
      <w:r w:rsidRPr="00330250">
        <w:rPr>
          <w:rFonts w:cs="Times New Roman"/>
          <w:b/>
          <w:i/>
        </w:rPr>
        <w:t xml:space="preserve">Supporting women’s incomes and livelihoods </w:t>
      </w:r>
      <w:r>
        <w:rPr>
          <w:rFonts w:cs="Times New Roman"/>
          <w:b/>
          <w:i/>
        </w:rPr>
        <w:t xml:space="preserve">has wide-ranging consequences. </w:t>
      </w:r>
      <w:r w:rsidRPr="00330250">
        <w:rPr>
          <w:rFonts w:cs="Times New Roman"/>
        </w:rPr>
        <w:t>It is important for reducing the overall risk of poverty.</w:t>
      </w:r>
      <w:r>
        <w:rPr>
          <w:rFonts w:cs="Times New Roman"/>
        </w:rPr>
        <w:t xml:space="preserve"> This is partly</w:t>
      </w:r>
      <w:r w:rsidRPr="00B50FD1">
        <w:rPr>
          <w:rFonts w:cs="Times New Roman"/>
        </w:rPr>
        <w:t xml:space="preserve"> </w:t>
      </w:r>
      <w:r w:rsidR="001C3B06">
        <w:rPr>
          <w:rFonts w:cs="Times New Roman"/>
        </w:rPr>
        <w:t xml:space="preserve">due </w:t>
      </w:r>
      <w:r w:rsidRPr="00B50FD1">
        <w:rPr>
          <w:rFonts w:cs="Times New Roman"/>
        </w:rPr>
        <w:t>to the relatively high share of femal</w:t>
      </w:r>
      <w:r>
        <w:rPr>
          <w:rFonts w:cs="Times New Roman"/>
        </w:rPr>
        <w:t>e-headed households in Moldova</w:t>
      </w:r>
      <w:r w:rsidR="001C3B06">
        <w:rPr>
          <w:rFonts w:cs="Times New Roman"/>
        </w:rPr>
        <w:t>,</w:t>
      </w:r>
      <w:r>
        <w:rPr>
          <w:rFonts w:cs="Times New Roman"/>
        </w:rPr>
        <w:t xml:space="preserve"> </w:t>
      </w:r>
      <w:r w:rsidRPr="00B50FD1">
        <w:rPr>
          <w:rFonts w:cs="Times New Roman"/>
        </w:rPr>
        <w:t xml:space="preserve">41%, slightly higher than </w:t>
      </w:r>
      <w:r w:rsidR="001C3B06">
        <w:rPr>
          <w:rFonts w:cs="Times New Roman"/>
        </w:rPr>
        <w:t xml:space="preserve">the </w:t>
      </w:r>
      <w:r w:rsidRPr="00B50FD1">
        <w:rPr>
          <w:rFonts w:cs="Times New Roman"/>
        </w:rPr>
        <w:t>E</w:t>
      </w:r>
      <w:r>
        <w:rPr>
          <w:rFonts w:cs="Times New Roman"/>
        </w:rPr>
        <w:t xml:space="preserve">CA average.  </w:t>
      </w:r>
    </w:p>
    <w:p w14:paraId="544E0DF7" w14:textId="77777777" w:rsidR="008A2715" w:rsidRDefault="008A2715" w:rsidP="008A2715">
      <w:pPr>
        <w:spacing w:after="0" w:line="240" w:lineRule="auto"/>
        <w:jc w:val="both"/>
        <w:rPr>
          <w:rFonts w:cs="Times New Roman"/>
        </w:rPr>
      </w:pPr>
    </w:p>
    <w:p w14:paraId="517AA88D" w14:textId="77777777" w:rsidR="008A2715" w:rsidRPr="00FE0C39" w:rsidRDefault="008A2715" w:rsidP="008A2715">
      <w:pPr>
        <w:spacing w:after="0" w:line="240" w:lineRule="auto"/>
        <w:jc w:val="both"/>
        <w:rPr>
          <w:rFonts w:cs="Times New Roman"/>
          <w:b/>
          <w:i/>
          <w:sz w:val="20"/>
          <w:szCs w:val="20"/>
        </w:rPr>
      </w:pPr>
      <w:r w:rsidRPr="00FE0C39">
        <w:rPr>
          <w:rFonts w:cs="Times New Roman"/>
          <w:b/>
          <w:i/>
          <w:sz w:val="20"/>
          <w:szCs w:val="20"/>
        </w:rPr>
        <w:t xml:space="preserve">Figure </w:t>
      </w:r>
      <w:r>
        <w:rPr>
          <w:rFonts w:cs="Times New Roman"/>
          <w:b/>
          <w:i/>
          <w:sz w:val="20"/>
          <w:szCs w:val="20"/>
        </w:rPr>
        <w:t>2</w:t>
      </w:r>
      <w:r w:rsidRPr="00FE0C39">
        <w:rPr>
          <w:rFonts w:cs="Times New Roman"/>
          <w:b/>
          <w:i/>
          <w:sz w:val="20"/>
          <w:szCs w:val="20"/>
        </w:rPr>
        <w:t>: Share of female-headed households in selected ECA countries</w:t>
      </w:r>
    </w:p>
    <w:p w14:paraId="69A111AC" w14:textId="451B8A8F" w:rsidR="008A2715" w:rsidRDefault="000A532E" w:rsidP="008A2715">
      <w:pPr>
        <w:spacing w:after="0" w:line="240" w:lineRule="auto"/>
        <w:jc w:val="both"/>
        <w:rPr>
          <w:rFonts w:cs="Times New Roman"/>
        </w:rPr>
      </w:pPr>
      <w:r w:rsidRPr="00E241E0">
        <w:rPr>
          <w:rFonts w:ascii="Times New Roman" w:hAnsi="Times New Roman" w:cs="Times New Roman"/>
          <w:noProof/>
        </w:rPr>
        <w:lastRenderedPageBreak/>
        <w:drawing>
          <wp:inline distT="0" distB="0" distL="0" distR="0" wp14:anchorId="4C9F59E7" wp14:editId="1848D779">
            <wp:extent cx="4387804" cy="2598475"/>
            <wp:effectExtent l="0" t="0" r="13335"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2FD544" w14:textId="77777777" w:rsidR="008A2715" w:rsidRDefault="008A2715" w:rsidP="008A2715">
      <w:pPr>
        <w:spacing w:after="0" w:line="240" w:lineRule="auto"/>
        <w:jc w:val="both"/>
        <w:rPr>
          <w:rFonts w:cs="Times New Roman"/>
        </w:rPr>
      </w:pPr>
    </w:p>
    <w:p w14:paraId="7A07E273" w14:textId="1506B32B" w:rsidR="008A2715" w:rsidRPr="00FE0C39" w:rsidRDefault="008A2715" w:rsidP="008A2715">
      <w:pPr>
        <w:pStyle w:val="ListParagraph"/>
        <w:spacing w:after="0" w:line="240" w:lineRule="auto"/>
        <w:ind w:left="0"/>
        <w:contextualSpacing w:val="0"/>
        <w:jc w:val="both"/>
        <w:rPr>
          <w:rFonts w:cs="Times New Roman"/>
        </w:rPr>
      </w:pPr>
      <w:r w:rsidRPr="00330250">
        <w:rPr>
          <w:rFonts w:cs="Times New Roman"/>
          <w:b/>
          <w:i/>
        </w:rPr>
        <w:t>It is also important for preventing insecure and socially-disruptive labor migration</w:t>
      </w:r>
      <w:r>
        <w:rPr>
          <w:rFonts w:cs="Times New Roman"/>
        </w:rPr>
        <w:t>. Economic m</w:t>
      </w:r>
      <w:r w:rsidRPr="00FE0C39">
        <w:t>igration of women, leaving families in Moldova, has a number of negative social implications.</w:t>
      </w:r>
      <w:r w:rsidRPr="00B50FD1">
        <w:rPr>
          <w:b/>
        </w:rPr>
        <w:t xml:space="preserve"> </w:t>
      </w:r>
      <w:r w:rsidRPr="00B50FD1">
        <w:t xml:space="preserve">About 32% of all migrants are women. “Women dominate the groups of Moldovan migrants in several countries, including Italy, Greece, Israel, and Turkey, the majority being employed in the area of individual care services. These occupations offer certain possibilities for accumulating savings, but not so much knowledge, skills, and innovations. Also, these occupations may increase the risk for women to be harassed, not paid, and without any support from the networks and informal groups, since the care services are provided mainly in private houses.” (World Bank 2014b) </w:t>
      </w:r>
    </w:p>
    <w:p w14:paraId="1B874BB8" w14:textId="77777777" w:rsidR="008A2715" w:rsidRDefault="008A2715" w:rsidP="008A2715">
      <w:pPr>
        <w:spacing w:after="0" w:line="240" w:lineRule="auto"/>
        <w:rPr>
          <w:rFonts w:cs="Times New Roman"/>
        </w:rPr>
      </w:pPr>
    </w:p>
    <w:p w14:paraId="307081B9" w14:textId="1AC1EA6A" w:rsidR="008A2715" w:rsidRPr="00B50FD1" w:rsidRDefault="008A2715" w:rsidP="008A2715">
      <w:pPr>
        <w:pStyle w:val="MainParawithChapter"/>
        <w:numPr>
          <w:ilvl w:val="0"/>
          <w:numId w:val="0"/>
        </w:numPr>
        <w:jc w:val="both"/>
        <w:rPr>
          <w:rFonts w:asciiTheme="minorHAnsi" w:hAnsiTheme="minorHAnsi"/>
          <w:sz w:val="22"/>
          <w:szCs w:val="22"/>
        </w:rPr>
      </w:pPr>
      <w:r w:rsidRPr="00CE7281">
        <w:rPr>
          <w:rFonts w:asciiTheme="minorHAnsi" w:hAnsiTheme="minorHAnsi"/>
          <w:b/>
          <w:i/>
          <w:sz w:val="22"/>
          <w:szCs w:val="22"/>
        </w:rPr>
        <w:t xml:space="preserve">The effects </w:t>
      </w:r>
      <w:r w:rsidR="001C3B06" w:rsidRPr="00CE7281">
        <w:rPr>
          <w:rFonts w:asciiTheme="minorHAnsi" w:hAnsiTheme="minorHAnsi"/>
          <w:b/>
          <w:i/>
          <w:sz w:val="22"/>
          <w:szCs w:val="22"/>
        </w:rPr>
        <w:t xml:space="preserve">on children </w:t>
      </w:r>
      <w:r w:rsidRPr="00CE7281">
        <w:rPr>
          <w:rFonts w:asciiTheme="minorHAnsi" w:hAnsiTheme="minorHAnsi"/>
          <w:b/>
          <w:i/>
          <w:sz w:val="22"/>
          <w:szCs w:val="22"/>
        </w:rPr>
        <w:t>of women’s absence from home are said to be greater than men’s absence. This is relevant</w:t>
      </w:r>
      <w:r w:rsidR="001C3B06">
        <w:rPr>
          <w:rFonts w:asciiTheme="minorHAnsi" w:hAnsiTheme="minorHAnsi"/>
          <w:b/>
          <w:i/>
          <w:sz w:val="22"/>
          <w:szCs w:val="22"/>
        </w:rPr>
        <w:t>,</w:t>
      </w:r>
      <w:r w:rsidRPr="00CE7281">
        <w:rPr>
          <w:rFonts w:asciiTheme="minorHAnsi" w:hAnsiTheme="minorHAnsi"/>
          <w:i/>
          <w:sz w:val="22"/>
          <w:szCs w:val="22"/>
        </w:rPr>
        <w:t xml:space="preserve"> </w:t>
      </w:r>
      <w:r w:rsidRPr="00CE7281">
        <w:rPr>
          <w:rFonts w:asciiTheme="minorHAnsi" w:hAnsiTheme="minorHAnsi"/>
          <w:b/>
          <w:i/>
          <w:sz w:val="22"/>
          <w:szCs w:val="22"/>
        </w:rPr>
        <w:t>in particular, in areas of children’s educational achievement, nutrition, health, and psychological wellbeing.</w:t>
      </w:r>
      <w:r w:rsidRPr="00B50FD1">
        <w:rPr>
          <w:rFonts w:asciiTheme="minorHAnsi" w:hAnsiTheme="minorHAnsi"/>
          <w:sz w:val="22"/>
          <w:szCs w:val="22"/>
        </w:rPr>
        <w:t xml:space="preserve"> An analysis of 4th and 9th grade student assessments for the past academic year has shown that while the absence of either or both parents has a negative effect on the student's performance in those assessments, the impact is greater when the mother migrates. A UNICEF (2008) </w:t>
      </w:r>
      <w:r w:rsidR="001C3B06">
        <w:rPr>
          <w:rFonts w:asciiTheme="minorHAnsi" w:hAnsiTheme="minorHAnsi"/>
          <w:sz w:val="22"/>
          <w:szCs w:val="22"/>
        </w:rPr>
        <w:t>study</w:t>
      </w:r>
      <w:r w:rsidR="001C3B06" w:rsidRPr="00B50FD1">
        <w:rPr>
          <w:rFonts w:asciiTheme="minorHAnsi" w:hAnsiTheme="minorHAnsi"/>
          <w:sz w:val="22"/>
          <w:szCs w:val="22"/>
        </w:rPr>
        <w:t xml:space="preserve"> </w:t>
      </w:r>
      <w:r w:rsidR="001C3B06">
        <w:rPr>
          <w:rFonts w:asciiTheme="minorHAnsi" w:hAnsiTheme="minorHAnsi"/>
          <w:sz w:val="22"/>
          <w:szCs w:val="22"/>
        </w:rPr>
        <w:t>found</w:t>
      </w:r>
      <w:r w:rsidR="001C3B06" w:rsidRPr="00B50FD1">
        <w:rPr>
          <w:rFonts w:asciiTheme="minorHAnsi" w:hAnsiTheme="minorHAnsi"/>
          <w:sz w:val="22"/>
          <w:szCs w:val="22"/>
        </w:rPr>
        <w:t xml:space="preserve"> </w:t>
      </w:r>
      <w:r w:rsidRPr="00B50FD1">
        <w:rPr>
          <w:rFonts w:asciiTheme="minorHAnsi" w:hAnsiTheme="minorHAnsi"/>
          <w:sz w:val="22"/>
          <w:szCs w:val="22"/>
        </w:rPr>
        <w:t>that when the mother leaves, only 46% of fathers take on the role of direct care giver, whereas 64% of mothers do so if the father is absent. In cases where the mother migrates, children experience more frequent and significant changes in care (that may include also grandparents, relati</w:t>
      </w:r>
      <w:r>
        <w:rPr>
          <w:rFonts w:asciiTheme="minorHAnsi" w:hAnsiTheme="minorHAnsi"/>
          <w:sz w:val="22"/>
          <w:szCs w:val="22"/>
        </w:rPr>
        <w:t>ves, or child institutions).</w:t>
      </w:r>
      <w:r w:rsidRPr="00B50FD1">
        <w:rPr>
          <w:rFonts w:asciiTheme="minorHAnsi" w:hAnsiTheme="minorHAnsi"/>
          <w:sz w:val="22"/>
          <w:szCs w:val="22"/>
        </w:rPr>
        <w:t xml:space="preserve"> There are some indications that the situation may be worse in minority communities, many of whom tend to migrate to Russia due to language and cultural ties.  “The rate of poverty in households among migrants to Russia is almost double compared to the rate of poverty in households among migrants to the EU. This may indicate that “push” factors are more relevant for households with migrants to CIS countries and “pull” factors are more important for households with migrants to the EU.“ (World Bank 2014a)</w:t>
      </w:r>
    </w:p>
    <w:p w14:paraId="672D72AB" w14:textId="77777777" w:rsidR="008A2715" w:rsidRDefault="008A2715" w:rsidP="008A2715">
      <w:pPr>
        <w:spacing w:after="0" w:line="240" w:lineRule="auto"/>
        <w:rPr>
          <w:rFonts w:cs="Times New Roman"/>
        </w:rPr>
      </w:pPr>
    </w:p>
    <w:p w14:paraId="5594E981" w14:textId="1C4AA326" w:rsidR="008A2715" w:rsidRDefault="008A2715" w:rsidP="008A2715">
      <w:pPr>
        <w:spacing w:after="0" w:line="240" w:lineRule="auto"/>
        <w:jc w:val="both"/>
        <w:rPr>
          <w:rFonts w:cs="Times New Roman"/>
        </w:rPr>
      </w:pPr>
      <w:r w:rsidRPr="00330250">
        <w:rPr>
          <w:rFonts w:cs="Times New Roman"/>
          <w:b/>
          <w:i/>
        </w:rPr>
        <w:t>Entrepreneurship, in particular in rural areas, can be an important source of livelihoods.</w:t>
      </w:r>
      <w:r>
        <w:rPr>
          <w:rFonts w:cs="Times New Roman"/>
        </w:rPr>
        <w:t xml:space="preserve"> The Gender Equality Strategy notes that important disparities </w:t>
      </w:r>
      <w:r w:rsidRPr="00B50FD1">
        <w:rPr>
          <w:rFonts w:cs="Times New Roman"/>
        </w:rPr>
        <w:t>exist between rural and urban female employment rates</w:t>
      </w:r>
      <w:r>
        <w:rPr>
          <w:rFonts w:cs="Times New Roman"/>
        </w:rPr>
        <w:t xml:space="preserve">, and </w:t>
      </w:r>
      <w:r w:rsidRPr="00B50FD1">
        <w:rPr>
          <w:rFonts w:cs="Times New Roman"/>
        </w:rPr>
        <w:t>highlights the need for rural women empowerment</w:t>
      </w:r>
      <w:r>
        <w:rPr>
          <w:rFonts w:cs="Times New Roman"/>
        </w:rPr>
        <w:t xml:space="preserve"> as a key priority</w:t>
      </w:r>
      <w:r w:rsidRPr="00B50FD1">
        <w:rPr>
          <w:rFonts w:cs="Times New Roman"/>
        </w:rPr>
        <w:t>. Women in rural areas have fewer economic opportunities than those residing in urban areas</w:t>
      </w:r>
      <w:r w:rsidR="001C3B06">
        <w:rPr>
          <w:rFonts w:cs="Times New Roman"/>
        </w:rPr>
        <w:t>.</w:t>
      </w:r>
      <w:r w:rsidRPr="00B50FD1">
        <w:rPr>
          <w:rStyle w:val="FootnoteReference"/>
          <w:rFonts w:cs="Times New Roman"/>
        </w:rPr>
        <w:footnoteReference w:id="27"/>
      </w:r>
      <w:r w:rsidRPr="00B50FD1">
        <w:rPr>
          <w:rFonts w:cs="Times New Roman"/>
        </w:rPr>
        <w:t xml:space="preserve"> </w:t>
      </w:r>
      <w:r>
        <w:rPr>
          <w:rFonts w:cs="Times New Roman"/>
        </w:rPr>
        <w:t xml:space="preserve">In addition, agriculture is one of the sectors with high female employment, accounting for 23% of women’s employment in the country. </w:t>
      </w:r>
    </w:p>
    <w:p w14:paraId="4CCEDC78" w14:textId="77777777" w:rsidR="008A2715" w:rsidRDefault="008A2715" w:rsidP="008A2715">
      <w:pPr>
        <w:spacing w:after="0" w:line="240" w:lineRule="auto"/>
        <w:rPr>
          <w:rFonts w:cs="Times New Roman"/>
        </w:rPr>
      </w:pPr>
    </w:p>
    <w:p w14:paraId="36ECC2EF" w14:textId="42AB3FAC" w:rsidR="008A2715" w:rsidRPr="00B50FD1" w:rsidRDefault="008A2715" w:rsidP="008A2715">
      <w:pPr>
        <w:spacing w:after="0" w:line="240" w:lineRule="auto"/>
        <w:jc w:val="both"/>
        <w:rPr>
          <w:rFonts w:cs="Times New Roman"/>
          <w:color w:val="000000"/>
        </w:rPr>
      </w:pPr>
      <w:r w:rsidRPr="00851FBA">
        <w:rPr>
          <w:rFonts w:cs="Times New Roman"/>
          <w:b/>
          <w:i/>
        </w:rPr>
        <w:lastRenderedPageBreak/>
        <w:t>The Moldovan Small and Medium Enterprise Development Agency (ODIMM) has recently initiated a Women in Business program.</w:t>
      </w:r>
      <w:r>
        <w:rPr>
          <w:rFonts w:cs="Times New Roman"/>
        </w:rPr>
        <w:t xml:space="preserve"> As part of this initiative the first national survey exploring barriers to women in starting a business is being commissioned with WBG funding. Women in Moldova often </w:t>
      </w:r>
      <w:r w:rsidR="001C3B06">
        <w:rPr>
          <w:rFonts w:cs="Times New Roman"/>
        </w:rPr>
        <w:t xml:space="preserve">own </w:t>
      </w:r>
      <w:r w:rsidRPr="00B50FD1">
        <w:rPr>
          <w:rFonts w:cs="Times New Roman"/>
        </w:rPr>
        <w:t xml:space="preserve">small businesses that do not employ others. </w:t>
      </w:r>
      <w:r w:rsidR="001C3B06">
        <w:rPr>
          <w:rFonts w:cs="Times New Roman"/>
        </w:rPr>
        <w:t>E</w:t>
      </w:r>
      <w:r w:rsidRPr="00B50FD1">
        <w:rPr>
          <w:rFonts w:cs="Times New Roman"/>
        </w:rPr>
        <w:t xml:space="preserve">mployers </w:t>
      </w:r>
      <w:r w:rsidR="001C3B06">
        <w:rPr>
          <w:rFonts w:cs="Times New Roman"/>
        </w:rPr>
        <w:t>are</w:t>
      </w:r>
      <w:r w:rsidRPr="00B50FD1">
        <w:rPr>
          <w:rFonts w:cs="Times New Roman"/>
        </w:rPr>
        <w:t xml:space="preserve"> 26.9% women and 73.1 % men.</w:t>
      </w:r>
      <w:r>
        <w:rPr>
          <w:rFonts w:cs="Times New Roman"/>
        </w:rPr>
        <w:t xml:space="preserve"> One of the goals of this program would be to provide skills and training to increase the share of female business-owners as well as stimulate </w:t>
      </w:r>
      <w:r w:rsidR="001C3B06">
        <w:rPr>
          <w:rFonts w:cs="Times New Roman"/>
        </w:rPr>
        <w:t xml:space="preserve">additional </w:t>
      </w:r>
      <w:r>
        <w:rPr>
          <w:rFonts w:cs="Times New Roman"/>
        </w:rPr>
        <w:t xml:space="preserve">employment by female-owned businesses. </w:t>
      </w:r>
    </w:p>
    <w:p w14:paraId="33FF0E69" w14:textId="77777777" w:rsidR="008A2715" w:rsidRDefault="008A2715" w:rsidP="008A2715">
      <w:pPr>
        <w:spacing w:after="0" w:line="240" w:lineRule="auto"/>
        <w:rPr>
          <w:rFonts w:cs="Times New Roman"/>
        </w:rPr>
      </w:pPr>
    </w:p>
    <w:p w14:paraId="5AD8A5D7" w14:textId="4C3E6ED8" w:rsidR="008A2715" w:rsidRPr="00140F71" w:rsidRDefault="008A2715" w:rsidP="008A2715">
      <w:pPr>
        <w:spacing w:after="0" w:line="240" w:lineRule="auto"/>
        <w:jc w:val="both"/>
        <w:rPr>
          <w:rFonts w:cs="Times New Roman"/>
          <w:i/>
        </w:rPr>
      </w:pPr>
      <w:r w:rsidRPr="005D6FB7">
        <w:rPr>
          <w:rFonts w:cs="Times New Roman"/>
          <w:b/>
          <w:i/>
        </w:rPr>
        <w:t xml:space="preserve">Access to productive assets is one area where </w:t>
      </w:r>
      <w:r>
        <w:rPr>
          <w:rFonts w:cs="Times New Roman"/>
          <w:b/>
          <w:i/>
        </w:rPr>
        <w:t xml:space="preserve">attention to </w:t>
      </w:r>
      <w:r w:rsidRPr="005D6FB7">
        <w:rPr>
          <w:rFonts w:cs="Times New Roman"/>
          <w:b/>
          <w:i/>
        </w:rPr>
        <w:t xml:space="preserve">gender </w:t>
      </w:r>
      <w:r>
        <w:rPr>
          <w:rFonts w:cs="Times New Roman"/>
          <w:b/>
          <w:i/>
        </w:rPr>
        <w:t xml:space="preserve">in entrepreneurship development </w:t>
      </w:r>
      <w:r w:rsidRPr="005D6FB7">
        <w:rPr>
          <w:rFonts w:cs="Times New Roman"/>
          <w:b/>
          <w:i/>
        </w:rPr>
        <w:t>can be promoted.</w:t>
      </w:r>
      <w:r w:rsidRPr="005D6FB7">
        <w:rPr>
          <w:rFonts w:cs="Times New Roman"/>
          <w:i/>
        </w:rPr>
        <w:t xml:space="preserve">  </w:t>
      </w:r>
      <w:r w:rsidRPr="005D6FB7">
        <w:rPr>
          <w:rFonts w:cs="Times New Roman"/>
        </w:rPr>
        <w:t>Women and men have equal rights to own land and other property in Moldova. Women’s right to</w:t>
      </w:r>
      <w:r w:rsidRPr="00B50FD1">
        <w:rPr>
          <w:rFonts w:cs="Times New Roman"/>
        </w:rPr>
        <w:t xml:space="preserve"> property does not depend on their marital status. All property acquired after marriage is owned jointly by spouses, while men and women retain individual property rights on assets acquired before marriage. In practice, some discrepancies can be noted in terms of asset ownership. Women comprise 36% of agricultural landholders, but own only 19% of agricultural land (Spear et. al. 2016). </w:t>
      </w:r>
      <w:r>
        <w:rPr>
          <w:rFonts w:cs="Times New Roman"/>
          <w:i/>
        </w:rPr>
        <w:t xml:space="preserve"> </w:t>
      </w:r>
      <w:r w:rsidRPr="00FE0C39">
        <w:rPr>
          <w:rFonts w:cs="Times New Roman"/>
        </w:rPr>
        <w:t xml:space="preserve">While women and men have equal rights to credit, women often are unable to access credit because </w:t>
      </w:r>
      <w:r w:rsidR="001C3B06">
        <w:rPr>
          <w:rFonts w:cs="Times New Roman"/>
        </w:rPr>
        <w:t>they have less</w:t>
      </w:r>
      <w:r w:rsidRPr="00FE0C39">
        <w:rPr>
          <w:rFonts w:cs="Times New Roman"/>
        </w:rPr>
        <w:t xml:space="preserve"> collateral. T</w:t>
      </w:r>
      <w:r w:rsidRPr="00B50FD1">
        <w:rPr>
          <w:rFonts w:cs="Times New Roman"/>
        </w:rPr>
        <w:t xml:space="preserve">he share of women with personal bank accounts in 2011 was slightly lower than that of men (17% </w:t>
      </w:r>
      <w:r w:rsidR="001C3B06">
        <w:rPr>
          <w:rFonts w:cs="Times New Roman"/>
        </w:rPr>
        <w:t>vs.</w:t>
      </w:r>
      <w:r w:rsidR="001C3B06" w:rsidRPr="00B50FD1">
        <w:rPr>
          <w:rFonts w:cs="Times New Roman"/>
        </w:rPr>
        <w:t xml:space="preserve"> </w:t>
      </w:r>
      <w:r w:rsidRPr="00B50FD1">
        <w:rPr>
          <w:rFonts w:cs="Times New Roman"/>
        </w:rPr>
        <w:t>19%). A survey of credit applications in rural areas (Miluka, Juna 2009</w:t>
      </w:r>
      <w:r w:rsidRPr="00B50FD1">
        <w:rPr>
          <w:rStyle w:val="FootnoteReference"/>
          <w:rFonts w:cs="Times New Roman"/>
        </w:rPr>
        <w:footnoteReference w:id="28"/>
      </w:r>
      <w:r w:rsidRPr="00B50FD1">
        <w:rPr>
          <w:rFonts w:cs="Times New Roman"/>
        </w:rPr>
        <w:t xml:space="preserve">) found that 73% of applications were filed by men and only 22% by women, the rest being filed jointly. Systematic gender desegregated information on access to assets is still scarce in Moldova.  </w:t>
      </w:r>
    </w:p>
    <w:p w14:paraId="445EFED3" w14:textId="77777777" w:rsidR="008A2715" w:rsidRPr="00B50FD1" w:rsidRDefault="008A2715" w:rsidP="008A2715">
      <w:pPr>
        <w:spacing w:after="0" w:line="240" w:lineRule="auto"/>
        <w:jc w:val="both"/>
        <w:rPr>
          <w:rFonts w:cs="Times New Roman"/>
        </w:rPr>
      </w:pPr>
    </w:p>
    <w:p w14:paraId="0B62B6B4" w14:textId="77777777" w:rsidR="008A2715" w:rsidRPr="00B50FD1" w:rsidRDefault="008A2715" w:rsidP="008A2715">
      <w:pPr>
        <w:spacing w:after="0" w:line="240" w:lineRule="auto"/>
        <w:jc w:val="both"/>
        <w:rPr>
          <w:rFonts w:cs="Times New Roman"/>
          <w:b/>
        </w:rPr>
      </w:pPr>
    </w:p>
    <w:p w14:paraId="6507C6E5" w14:textId="12A07999" w:rsidR="008A2715" w:rsidRPr="00DC008A" w:rsidRDefault="008A2715" w:rsidP="008A2715">
      <w:pPr>
        <w:pStyle w:val="Heading3"/>
      </w:pPr>
      <w:bookmarkStart w:id="15" w:name="_Toc476839801"/>
      <w:r w:rsidRPr="00DC008A">
        <w:t>Voice, agency, and gender-based violence</w:t>
      </w:r>
      <w:bookmarkEnd w:id="15"/>
    </w:p>
    <w:p w14:paraId="76661F2C" w14:textId="77777777" w:rsidR="008A2715" w:rsidRPr="00B50FD1" w:rsidRDefault="008A2715" w:rsidP="008A2715">
      <w:pPr>
        <w:spacing w:after="0" w:line="240" w:lineRule="auto"/>
        <w:jc w:val="both"/>
        <w:rPr>
          <w:rFonts w:cs="Times New Roman"/>
        </w:rPr>
      </w:pPr>
    </w:p>
    <w:p w14:paraId="46C6CEF9" w14:textId="122F3069" w:rsidR="008A2715" w:rsidRPr="00B50FD1" w:rsidRDefault="008A2715" w:rsidP="008A2715">
      <w:pPr>
        <w:spacing w:after="0" w:line="240" w:lineRule="auto"/>
        <w:jc w:val="both"/>
        <w:rPr>
          <w:rFonts w:cs="Times New Roman"/>
        </w:rPr>
      </w:pPr>
      <w:r w:rsidRPr="00383B3F">
        <w:rPr>
          <w:rFonts w:cs="Times New Roman"/>
          <w:b/>
          <w:i/>
        </w:rPr>
        <w:t>Agency is about one’s ability to make choices</w:t>
      </w:r>
      <w:r w:rsidR="0053281C">
        <w:rPr>
          <w:rFonts w:cs="Times New Roman"/>
          <w:b/>
          <w:i/>
        </w:rPr>
        <w:t>,</w:t>
      </w:r>
      <w:r w:rsidRPr="00383B3F">
        <w:rPr>
          <w:rFonts w:cs="Times New Roman"/>
          <w:b/>
          <w:i/>
        </w:rPr>
        <w:t xml:space="preserve"> and to transform them into desired actions.</w:t>
      </w:r>
      <w:r w:rsidRPr="00E977D4">
        <w:rPr>
          <w:rFonts w:cs="Times New Roman"/>
          <w:i/>
        </w:rPr>
        <w:t xml:space="preserve"> </w:t>
      </w:r>
      <w:r w:rsidRPr="00B50FD1">
        <w:rPr>
          <w:rFonts w:cs="Times New Roman"/>
        </w:rPr>
        <w:t>Women’s agency influences their ability to build their human capital and take up economic opportunities. Women’s agency also matters for the welfare of their children. Without women’s participation, resources are allocated and decisions are made only to reflect men’s perspective</w:t>
      </w:r>
      <w:r w:rsidR="0053281C">
        <w:rPr>
          <w:rFonts w:cs="Times New Roman"/>
        </w:rPr>
        <w:t>s</w:t>
      </w:r>
      <w:r w:rsidRPr="00B50FD1">
        <w:rPr>
          <w:rFonts w:cs="Times New Roman"/>
        </w:rPr>
        <w:t xml:space="preserve"> and, thus, leave out the voice of the other half of the population.</w:t>
      </w:r>
    </w:p>
    <w:p w14:paraId="53FF0730" w14:textId="77777777" w:rsidR="008A2715" w:rsidRPr="00B50FD1" w:rsidRDefault="008A2715" w:rsidP="008A2715">
      <w:pPr>
        <w:spacing w:after="0" w:line="240" w:lineRule="auto"/>
        <w:jc w:val="both"/>
        <w:rPr>
          <w:rFonts w:cs="Times New Roman"/>
        </w:rPr>
      </w:pPr>
    </w:p>
    <w:p w14:paraId="79C3A961" w14:textId="4CED2985" w:rsidR="008A2715" w:rsidRPr="00B50FD1" w:rsidRDefault="008A2715" w:rsidP="008A2715">
      <w:pPr>
        <w:spacing w:after="0" w:line="240" w:lineRule="auto"/>
        <w:jc w:val="both"/>
        <w:rPr>
          <w:rFonts w:cs="Times New Roman"/>
        </w:rPr>
      </w:pPr>
      <w:r w:rsidRPr="00E977D4">
        <w:rPr>
          <w:rFonts w:cs="Times New Roman"/>
          <w:b/>
          <w:i/>
        </w:rPr>
        <w:t>Moldovan women are underrepresented in the decision making processes related to politics, public policy, and foreign relations</w:t>
      </w:r>
      <w:r w:rsidR="0053281C">
        <w:rPr>
          <w:rFonts w:cs="Times New Roman"/>
          <w:b/>
          <w:i/>
        </w:rPr>
        <w:t>.</w:t>
      </w:r>
      <w:r w:rsidRPr="00E977D4">
        <w:rPr>
          <w:rStyle w:val="FootnoteReference"/>
          <w:rFonts w:cs="Times New Roman"/>
          <w:b/>
          <w:i/>
        </w:rPr>
        <w:footnoteReference w:id="29"/>
      </w:r>
      <w:r w:rsidRPr="00B50FD1">
        <w:rPr>
          <w:rFonts w:cs="Times New Roman"/>
        </w:rPr>
        <w:t xml:space="preserve"> “Moldova has made some progress in integrating women in politics, yet representation remains low</w:t>
      </w:r>
      <w:r w:rsidRPr="00B50FD1">
        <w:rPr>
          <w:rFonts w:cs="Times New Roman"/>
          <w:b/>
        </w:rPr>
        <w:t>.</w:t>
      </w:r>
      <w:r w:rsidRPr="00B50FD1">
        <w:rPr>
          <w:rFonts w:cs="Times New Roman"/>
        </w:rPr>
        <w:t xml:space="preserve"> Women hold about 20% of seats in parliament, which is comparable to the average for most developed countries in the region. However, in 2012, only 6% of ministerial positions were held by women, and the representation of women at local levels of government is </w:t>
      </w:r>
      <w:r w:rsidR="0053281C">
        <w:rPr>
          <w:rFonts w:cs="Times New Roman"/>
        </w:rPr>
        <w:t>very</w:t>
      </w:r>
      <w:r w:rsidR="0053281C" w:rsidRPr="00B50FD1">
        <w:rPr>
          <w:rFonts w:cs="Times New Roman"/>
        </w:rPr>
        <w:t xml:space="preserve"> </w:t>
      </w:r>
      <w:r w:rsidRPr="00B50FD1">
        <w:rPr>
          <w:rFonts w:cs="Times New Roman"/>
        </w:rPr>
        <w:t xml:space="preserve">low. Women are also underrepresented among judges, and the number of female ambassadors, senior civil servants, and journalists is much lower than those in neighboring countries or in the rest of the EU.” (World Bank 2014a) </w:t>
      </w:r>
    </w:p>
    <w:p w14:paraId="6245F27C" w14:textId="77777777" w:rsidR="008A2715" w:rsidRPr="00B50FD1" w:rsidRDefault="008A2715" w:rsidP="008A2715">
      <w:pPr>
        <w:spacing w:after="0" w:line="240" w:lineRule="auto"/>
        <w:jc w:val="both"/>
        <w:rPr>
          <w:rFonts w:cs="Times New Roman"/>
        </w:rPr>
      </w:pPr>
    </w:p>
    <w:p w14:paraId="30746FD1" w14:textId="77777777" w:rsidR="008A2715" w:rsidRPr="00B50FD1" w:rsidRDefault="008A2715" w:rsidP="008A2715">
      <w:pPr>
        <w:spacing w:after="0" w:line="240" w:lineRule="auto"/>
        <w:jc w:val="both"/>
        <w:rPr>
          <w:rFonts w:cs="Times New Roman"/>
        </w:rPr>
      </w:pPr>
      <w:r w:rsidRPr="00E977D4">
        <w:rPr>
          <w:rFonts w:cs="Times New Roman"/>
          <w:b/>
          <w:i/>
        </w:rPr>
        <w:t>Moldova has one of the highest rates of human trafficking among neighboring countries and is primarily a source country.</w:t>
      </w:r>
      <w:r w:rsidRPr="00B50FD1">
        <w:rPr>
          <w:rFonts w:cs="Times New Roman"/>
        </w:rPr>
        <w:t xml:space="preserve"> The economic situation in the country and domestic violence are identified as the main reasons for the persistent problem of trafficking of women. The Government has made progress in addressing the protection of victims and the prevention of trafficking but has not shown sufficient progress in addressing widespread complicity in trafficking by law enforcement and other public officials.</w:t>
      </w:r>
    </w:p>
    <w:p w14:paraId="7DF2668F" w14:textId="77777777" w:rsidR="008A2715" w:rsidRPr="00B50FD1" w:rsidRDefault="008A2715" w:rsidP="008A2715">
      <w:pPr>
        <w:spacing w:after="0" w:line="240" w:lineRule="auto"/>
        <w:jc w:val="both"/>
        <w:rPr>
          <w:rFonts w:cs="Times New Roman"/>
        </w:rPr>
      </w:pPr>
    </w:p>
    <w:p w14:paraId="575580A5" w14:textId="0169AE74" w:rsidR="008A2715" w:rsidRDefault="008A2715" w:rsidP="008A2715">
      <w:pPr>
        <w:spacing w:after="0" w:line="240" w:lineRule="auto"/>
        <w:jc w:val="both"/>
        <w:rPr>
          <w:rFonts w:cs="Times New Roman"/>
        </w:rPr>
      </w:pPr>
      <w:r w:rsidRPr="00E977D4">
        <w:rPr>
          <w:rFonts w:cs="Times New Roman"/>
          <w:b/>
          <w:i/>
        </w:rPr>
        <w:t xml:space="preserve">Gender based violence (GBV) represents a significant issue that has a considerable negative impact on women’s physical and mental health as well as on their perception of self-esteem. </w:t>
      </w:r>
      <w:r w:rsidRPr="00B50FD1">
        <w:rPr>
          <w:rFonts w:cs="Times New Roman"/>
        </w:rPr>
        <w:t xml:space="preserve">Sexual harassment, </w:t>
      </w:r>
      <w:r w:rsidRPr="00B50FD1">
        <w:rPr>
          <w:rFonts w:cs="Times New Roman"/>
        </w:rPr>
        <w:lastRenderedPageBreak/>
        <w:t xml:space="preserve">physical aggression, and limited access to opportunities for vulnerable categories of women constitute the key forms of gender based violence in the country. Moldova is one of the highest ranking countries in ECA for prevalence of physical and sexual violence by an intimate partner. A UN study (2011) found that 63% of women had experienced </w:t>
      </w:r>
      <w:r w:rsidR="006D4AE1">
        <w:rPr>
          <w:rFonts w:cs="Times New Roman"/>
        </w:rPr>
        <w:t>emotional abuse</w:t>
      </w:r>
      <w:r w:rsidRPr="00B50FD1">
        <w:rPr>
          <w:rFonts w:cs="Times New Roman"/>
        </w:rPr>
        <w:t xml:space="preserve">, sexual or physical violence from their husband or partner and at least one in 10 has experienced economic violence. Rural, elderly, separated or divorced women were at higher risk of experiencing multiple types of violence. An increased level of tolerance towards GBV at the level of family, community, media, and society as a whole represents a major challenge for the sustainable development of the country. </w:t>
      </w:r>
    </w:p>
    <w:p w14:paraId="06352E29" w14:textId="77777777" w:rsidR="008A2715" w:rsidRDefault="008A2715" w:rsidP="008A2715">
      <w:pPr>
        <w:spacing w:after="0" w:line="240" w:lineRule="auto"/>
        <w:jc w:val="both"/>
        <w:rPr>
          <w:rFonts w:cs="Times New Roman"/>
        </w:rPr>
      </w:pPr>
    </w:p>
    <w:p w14:paraId="51AC8AFB" w14:textId="77777777" w:rsidR="00967DA0" w:rsidRPr="00E977D4" w:rsidRDefault="00967DA0" w:rsidP="00967DA0">
      <w:pPr>
        <w:spacing w:after="0" w:line="240" w:lineRule="auto"/>
        <w:jc w:val="both"/>
        <w:rPr>
          <w:rFonts w:cs="Times New Roman"/>
          <w:bCs/>
          <w:i/>
          <w:smallCaps/>
          <w:spacing w:val="6"/>
          <w:sz w:val="20"/>
          <w:szCs w:val="20"/>
        </w:rPr>
      </w:pPr>
      <w:r w:rsidRPr="00E977D4">
        <w:rPr>
          <w:rFonts w:cs="Times New Roman"/>
          <w:b/>
          <w:bCs/>
          <w:i/>
          <w:smallCaps/>
          <w:spacing w:val="6"/>
          <w:sz w:val="20"/>
          <w:szCs w:val="20"/>
        </w:rPr>
        <w:t xml:space="preserve">Figure </w:t>
      </w:r>
      <w:r>
        <w:rPr>
          <w:rFonts w:cs="Times New Roman"/>
          <w:b/>
          <w:bCs/>
          <w:i/>
          <w:smallCaps/>
          <w:spacing w:val="6"/>
          <w:sz w:val="20"/>
          <w:szCs w:val="20"/>
        </w:rPr>
        <w:t>3</w:t>
      </w:r>
      <w:r w:rsidRPr="00E977D4">
        <w:rPr>
          <w:rFonts w:cs="Times New Roman"/>
          <w:b/>
          <w:bCs/>
          <w:i/>
          <w:smallCaps/>
          <w:spacing w:val="6"/>
          <w:sz w:val="20"/>
          <w:szCs w:val="20"/>
        </w:rPr>
        <w:t>: Prevalence of physical and sexual violence by intimate partner (lifetime</w:t>
      </w:r>
      <w:r w:rsidRPr="00E977D4">
        <w:rPr>
          <w:rFonts w:cs="Times New Roman"/>
          <w:bCs/>
          <w:i/>
          <w:smallCaps/>
          <w:spacing w:val="6"/>
          <w:sz w:val="20"/>
          <w:szCs w:val="20"/>
        </w:rPr>
        <w:t>)</w:t>
      </w:r>
      <w:r w:rsidRPr="00E977D4">
        <w:rPr>
          <w:rStyle w:val="FootnoteReference"/>
          <w:rFonts w:cs="Times New Roman"/>
          <w:bCs/>
          <w:i/>
          <w:smallCaps/>
          <w:spacing w:val="6"/>
          <w:sz w:val="20"/>
          <w:szCs w:val="20"/>
        </w:rPr>
        <w:footnoteReference w:id="30"/>
      </w:r>
    </w:p>
    <w:p w14:paraId="635CB2B9" w14:textId="77777777" w:rsidR="00967DA0" w:rsidRPr="00B50FD1" w:rsidRDefault="00967DA0" w:rsidP="00967DA0">
      <w:pPr>
        <w:spacing w:after="0" w:line="240" w:lineRule="auto"/>
        <w:jc w:val="both"/>
        <w:rPr>
          <w:rFonts w:cs="Times New Roman"/>
        </w:rPr>
      </w:pPr>
      <w:r w:rsidRPr="00B50FD1">
        <w:rPr>
          <w:b/>
          <w:noProof/>
        </w:rPr>
        <mc:AlternateContent>
          <mc:Choice Requires="wps">
            <w:drawing>
              <wp:anchor distT="0" distB="0" distL="114300" distR="114300" simplePos="0" relativeHeight="251663360" behindDoc="0" locked="0" layoutInCell="1" allowOverlap="1" wp14:anchorId="7641407D" wp14:editId="40540115">
                <wp:simplePos x="0" y="0"/>
                <wp:positionH relativeFrom="column">
                  <wp:posOffset>453390</wp:posOffset>
                </wp:positionH>
                <wp:positionV relativeFrom="paragraph">
                  <wp:posOffset>138430</wp:posOffset>
                </wp:positionV>
                <wp:extent cx="266700" cy="2446638"/>
                <wp:effectExtent l="0" t="0" r="19050" b="11430"/>
                <wp:wrapNone/>
                <wp:docPr id="1" name="Oval 1"/>
                <wp:cNvGraphicFramePr/>
                <a:graphic xmlns:a="http://schemas.openxmlformats.org/drawingml/2006/main">
                  <a:graphicData uri="http://schemas.microsoft.com/office/word/2010/wordprocessingShape">
                    <wps:wsp>
                      <wps:cNvSpPr/>
                      <wps:spPr>
                        <a:xfrm>
                          <a:off x="0" y="0"/>
                          <a:ext cx="266700" cy="244663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8FEEC" id="Oval 1" o:spid="_x0000_s1026" style="position:absolute;margin-left:35.7pt;margin-top:10.9pt;width:21pt;height:19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" filled="f" strokecolor="red" strokeweight="1pt">
                <v:stroke joinstyle="miter"/>
              </v:oval>
            </w:pict>
          </mc:Fallback>
        </mc:AlternateContent>
      </w:r>
      <w:r w:rsidRPr="00B50FD1">
        <w:rPr>
          <w:noProof/>
        </w:rPr>
        <w:t xml:space="preserve"> </w:t>
      </w:r>
      <w:r w:rsidRPr="00B50FD1">
        <w:rPr>
          <w:noProof/>
        </w:rPr>
        <w:drawing>
          <wp:inline distT="0" distB="0" distL="0" distR="0" wp14:anchorId="71BA5E43" wp14:editId="15BF362A">
            <wp:extent cx="3575222" cy="247705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98677" cy="2493310"/>
                    </a:xfrm>
                    <a:prstGeom prst="rect">
                      <a:avLst/>
                    </a:prstGeom>
                  </pic:spPr>
                </pic:pic>
              </a:graphicData>
            </a:graphic>
          </wp:inline>
        </w:drawing>
      </w:r>
    </w:p>
    <w:p w14:paraId="7B4F194D" w14:textId="77777777" w:rsidR="00967DA0" w:rsidRDefault="00967DA0" w:rsidP="008A2715">
      <w:pPr>
        <w:spacing w:after="0" w:line="240" w:lineRule="auto"/>
        <w:jc w:val="both"/>
        <w:rPr>
          <w:rFonts w:cs="Times New Roman"/>
          <w:b/>
          <w:i/>
        </w:rPr>
      </w:pPr>
    </w:p>
    <w:p w14:paraId="413883CE" w14:textId="7147CC01" w:rsidR="008A2715" w:rsidRPr="00B50FD1" w:rsidRDefault="008A2715" w:rsidP="008A2715">
      <w:pPr>
        <w:spacing w:after="0" w:line="240" w:lineRule="auto"/>
        <w:jc w:val="both"/>
        <w:rPr>
          <w:rFonts w:cs="Times New Roman"/>
        </w:rPr>
      </w:pPr>
      <w:r w:rsidRPr="00E977D4">
        <w:rPr>
          <w:rFonts w:cs="Times New Roman"/>
          <w:b/>
          <w:i/>
        </w:rPr>
        <w:t xml:space="preserve">Moreover, the infrastructure and support services to survivors of violence and trafficking are in precarious </w:t>
      </w:r>
      <w:r w:rsidR="00967DA0">
        <w:rPr>
          <w:rFonts w:cs="Times New Roman"/>
          <w:b/>
          <w:i/>
        </w:rPr>
        <w:t>financial</w:t>
      </w:r>
      <w:r w:rsidR="00967DA0" w:rsidRPr="00E977D4">
        <w:rPr>
          <w:rFonts w:cs="Times New Roman"/>
          <w:b/>
          <w:i/>
        </w:rPr>
        <w:t xml:space="preserve"> </w:t>
      </w:r>
      <w:r w:rsidRPr="00E977D4">
        <w:rPr>
          <w:rFonts w:cs="Times New Roman"/>
          <w:b/>
          <w:i/>
        </w:rPr>
        <w:t>condition and face obstacles in terms of their sustainability.</w:t>
      </w:r>
      <w:r w:rsidRPr="00B50FD1">
        <w:rPr>
          <w:rFonts w:cs="Times New Roman"/>
        </w:rPr>
        <w:t xml:space="preserve"> The lack of a </w:t>
      </w:r>
      <w:r w:rsidR="004D2CE3">
        <w:rPr>
          <w:rFonts w:cs="Times New Roman"/>
        </w:rPr>
        <w:t>coordinated</w:t>
      </w:r>
      <w:r w:rsidRPr="00B50FD1">
        <w:rPr>
          <w:rFonts w:cs="Times New Roman"/>
        </w:rPr>
        <w:t xml:space="preserve"> mechanism to collect data on GBV and to evaluate the programs and polices aiming to eliminate GBV makes it difficult to assess the scope of this phenomenon</w:t>
      </w:r>
      <w:r w:rsidR="00967DA0">
        <w:rPr>
          <w:rFonts w:cs="Times New Roman"/>
        </w:rPr>
        <w:t>.</w:t>
      </w:r>
      <w:r w:rsidRPr="00B50FD1">
        <w:rPr>
          <w:rStyle w:val="FootnoteReference"/>
          <w:rFonts w:cs="Times New Roman"/>
        </w:rPr>
        <w:footnoteReference w:id="31"/>
      </w:r>
      <w:r w:rsidRPr="00B50FD1">
        <w:rPr>
          <w:rFonts w:cs="Times New Roman"/>
          <w:b/>
        </w:rPr>
        <w:t xml:space="preserve"> </w:t>
      </w:r>
      <w:r w:rsidRPr="00B50FD1">
        <w:rPr>
          <w:rFonts w:cs="Times New Roman"/>
        </w:rPr>
        <w:t>At the same time, under the country’s decentralization reforms, support centers for women are in a precarious financial situation; in principle they are supposed to be supported by local government, but in practice are reliant on donor or NGO grants.</w:t>
      </w:r>
    </w:p>
    <w:p w14:paraId="3025566B" w14:textId="77777777" w:rsidR="008A2715" w:rsidRPr="00E977D4" w:rsidRDefault="008A2715" w:rsidP="008A2715">
      <w:pPr>
        <w:spacing w:after="0" w:line="240" w:lineRule="auto"/>
        <w:jc w:val="both"/>
        <w:rPr>
          <w:rFonts w:cs="Times New Roman"/>
          <w:i/>
        </w:rPr>
      </w:pPr>
    </w:p>
    <w:p w14:paraId="5EF349BE" w14:textId="0EF19F5F" w:rsidR="008A2715" w:rsidRPr="00B50FD1" w:rsidRDefault="008A2715" w:rsidP="008A2715">
      <w:pPr>
        <w:spacing w:after="0" w:line="240" w:lineRule="auto"/>
        <w:jc w:val="both"/>
        <w:rPr>
          <w:rFonts w:cs="Times New Roman"/>
        </w:rPr>
      </w:pPr>
      <w:r w:rsidRPr="00B50FD1">
        <w:rPr>
          <w:rFonts w:cs="Times New Roman"/>
          <w:b/>
        </w:rPr>
        <w:t xml:space="preserve">Moldova has approved legislation </w:t>
      </w:r>
      <w:r w:rsidR="001A4CDA">
        <w:rPr>
          <w:rFonts w:cs="Times New Roman"/>
          <w:b/>
        </w:rPr>
        <w:t>in</w:t>
      </w:r>
      <w:r w:rsidRPr="00B50FD1">
        <w:rPr>
          <w:rFonts w:cs="Times New Roman"/>
          <w:b/>
        </w:rPr>
        <w:t xml:space="preserve"> three out of eight areas which are considered key for protecting the rights and providing equal opportunities </w:t>
      </w:r>
      <w:r w:rsidR="001A4CDA">
        <w:rPr>
          <w:rFonts w:cs="Times New Roman"/>
          <w:b/>
        </w:rPr>
        <w:t>of</w:t>
      </w:r>
      <w:r w:rsidR="001A4CDA" w:rsidRPr="00B50FD1">
        <w:rPr>
          <w:rFonts w:cs="Times New Roman"/>
          <w:b/>
        </w:rPr>
        <w:t xml:space="preserve"> </w:t>
      </w:r>
      <w:r w:rsidRPr="00B50FD1">
        <w:rPr>
          <w:rFonts w:cs="Times New Roman"/>
          <w:b/>
        </w:rPr>
        <w:t>its LGBT population</w:t>
      </w:r>
      <w:r w:rsidRPr="00B50FD1">
        <w:rPr>
          <w:rFonts w:cs="Times New Roman"/>
        </w:rPr>
        <w:t xml:space="preserve">. Homosexual acts between adults are legal, and there are equal age limits for consensual sex between homosexual and heterosexual couples. Discrimination in employment based on sexual orientation is prohibited by law; yet, there is scarce information on the enforcement of this legislation. Draft legal amendments have been approved by three parliamentary committees to criminalize the promotion of homosexuality among minors. </w:t>
      </w:r>
    </w:p>
    <w:p w14:paraId="3660EE0B" w14:textId="77777777" w:rsidR="008A2715" w:rsidRDefault="008A2715" w:rsidP="008A2715">
      <w:pPr>
        <w:spacing w:after="0" w:line="240" w:lineRule="auto"/>
        <w:jc w:val="both"/>
        <w:rPr>
          <w:rFonts w:cs="Times New Roman"/>
        </w:rPr>
      </w:pPr>
    </w:p>
    <w:p w14:paraId="3F98E4AD" w14:textId="77777777" w:rsidR="008A2715" w:rsidRDefault="008A2715" w:rsidP="008A2715">
      <w:pPr>
        <w:spacing w:after="0" w:line="240" w:lineRule="auto"/>
        <w:jc w:val="both"/>
        <w:rPr>
          <w:rFonts w:cs="Times New Roman"/>
        </w:rPr>
      </w:pPr>
    </w:p>
    <w:p w14:paraId="6789A207" w14:textId="31659C81" w:rsidR="008A2715" w:rsidRPr="000B4E3A" w:rsidRDefault="008A2715" w:rsidP="008A2715">
      <w:pPr>
        <w:pStyle w:val="Heading3"/>
      </w:pPr>
      <w:bookmarkStart w:id="16" w:name="_Toc476839802"/>
      <w:r>
        <w:t>Healthy lifestyles and behaviors</w:t>
      </w:r>
      <w:bookmarkEnd w:id="16"/>
    </w:p>
    <w:p w14:paraId="2619D6F0" w14:textId="77777777" w:rsidR="008A2715" w:rsidRPr="00B50FD1" w:rsidRDefault="008A2715" w:rsidP="008A2715">
      <w:pPr>
        <w:spacing w:after="0" w:line="240" w:lineRule="auto"/>
        <w:rPr>
          <w:rFonts w:cs="Times New Roman"/>
          <w:i/>
        </w:rPr>
      </w:pPr>
    </w:p>
    <w:p w14:paraId="48577A59" w14:textId="6A100624" w:rsidR="008A2715" w:rsidRPr="00B50FD1" w:rsidRDefault="008A2715" w:rsidP="008A2715">
      <w:pPr>
        <w:autoSpaceDE w:val="0"/>
        <w:autoSpaceDN w:val="0"/>
        <w:adjustRightInd w:val="0"/>
        <w:spacing w:after="0" w:line="240" w:lineRule="auto"/>
        <w:jc w:val="both"/>
        <w:rPr>
          <w:rFonts w:cs="Times New Roman"/>
          <w:color w:val="000000"/>
        </w:rPr>
      </w:pPr>
      <w:r w:rsidRPr="00B50FD1">
        <w:rPr>
          <w:rFonts w:cs="Times New Roman"/>
          <w:b/>
        </w:rPr>
        <w:lastRenderedPageBreak/>
        <w:t xml:space="preserve">Health outcomes and behaviors </w:t>
      </w:r>
      <w:r w:rsidR="001A4CDA">
        <w:rPr>
          <w:rFonts w:cs="Times New Roman"/>
          <w:b/>
        </w:rPr>
        <w:t>are</w:t>
      </w:r>
      <w:r w:rsidR="001A4CDA" w:rsidRPr="00B50FD1">
        <w:rPr>
          <w:rFonts w:cs="Times New Roman"/>
          <w:b/>
        </w:rPr>
        <w:t xml:space="preserve"> </w:t>
      </w:r>
      <w:r w:rsidRPr="00B50FD1">
        <w:rPr>
          <w:rFonts w:cs="Times New Roman"/>
          <w:b/>
        </w:rPr>
        <w:t>significantly worse for men than women</w:t>
      </w:r>
      <w:r w:rsidRPr="00B50FD1">
        <w:rPr>
          <w:rFonts w:cs="Times New Roman"/>
          <w:color w:val="000000"/>
        </w:rPr>
        <w:t>; s</w:t>
      </w:r>
      <w:r w:rsidRPr="00B50FD1">
        <w:rPr>
          <w:rFonts w:cs="Times New Roman"/>
          <w:b/>
          <w:color w:val="000000"/>
        </w:rPr>
        <w:t>uch discrepancy is mainly due to gender stereotypes on the value of health for boys and girls.</w:t>
      </w:r>
      <w:r w:rsidRPr="00B50FD1">
        <w:rPr>
          <w:rFonts w:cs="Times New Roman"/>
        </w:rPr>
        <w:t xml:space="preserve"> M</w:t>
      </w:r>
      <w:r w:rsidRPr="00B50FD1">
        <w:rPr>
          <w:rFonts w:cs="Times New Roman"/>
          <w:color w:val="000000"/>
        </w:rPr>
        <w:t xml:space="preserve">ortality and morbidity rates are higher among men than those among women, mainly because of unhealthy life style, accidents, drug abuse, work related traumas, and intoxication. </w:t>
      </w:r>
      <w:r w:rsidRPr="00B50FD1">
        <w:rPr>
          <w:rFonts w:cs="Times New Roman"/>
        </w:rPr>
        <w:t>The new Gender Equality Strategy highlights male health education and preventative health as priorities. WHO (2013) analysis of male-to-female death ratios suggests that male death rates have been increasing relative to female, as also supported by the figures below.</w:t>
      </w:r>
      <w:r w:rsidRPr="00B50FD1">
        <w:rPr>
          <w:rFonts w:cs="Times New Roman"/>
          <w:b/>
          <w:color w:val="000000"/>
        </w:rPr>
        <w:t xml:space="preserve"> </w:t>
      </w:r>
      <w:r w:rsidRPr="00B50FD1">
        <w:rPr>
          <w:rFonts w:cs="Times New Roman"/>
          <w:color w:val="000000"/>
        </w:rPr>
        <w:t xml:space="preserve">Men </w:t>
      </w:r>
      <w:r w:rsidR="001A4CDA">
        <w:rPr>
          <w:rFonts w:cs="Times New Roman"/>
          <w:color w:val="000000"/>
        </w:rPr>
        <w:t>use</w:t>
      </w:r>
      <w:r w:rsidRPr="00B50FD1">
        <w:rPr>
          <w:rFonts w:cs="Times New Roman"/>
          <w:color w:val="000000"/>
        </w:rPr>
        <w:t xml:space="preserve"> health care services less frequently than women. </w:t>
      </w:r>
      <w:r w:rsidR="001A4CDA">
        <w:rPr>
          <w:rFonts w:cs="Times New Roman"/>
          <w:color w:val="000000"/>
        </w:rPr>
        <w:t>Also</w:t>
      </w:r>
      <w:r w:rsidRPr="00B50FD1">
        <w:rPr>
          <w:rFonts w:cs="Times New Roman"/>
          <w:color w:val="000000"/>
        </w:rPr>
        <w:t>, the social norms and expectations, which focus on men as key providers for their families, increase the pressure for performance on men. Such tendency is reflected in an increased rate of drug abuse and suicide among men (the suicide rate among men is 5 times higher than that among women)</w:t>
      </w:r>
      <w:r w:rsidR="001A4CDA">
        <w:rPr>
          <w:rFonts w:cs="Times New Roman"/>
          <w:color w:val="000000"/>
        </w:rPr>
        <w:t>.</w:t>
      </w:r>
      <w:r w:rsidRPr="00B50FD1">
        <w:rPr>
          <w:rStyle w:val="FootnoteReference"/>
          <w:rFonts w:cs="Times New Roman"/>
          <w:color w:val="000000"/>
        </w:rPr>
        <w:footnoteReference w:id="32"/>
      </w:r>
    </w:p>
    <w:p w14:paraId="5EFD74E8" w14:textId="77777777" w:rsidR="008A2715" w:rsidRDefault="008A2715" w:rsidP="008A2715">
      <w:pPr>
        <w:autoSpaceDE w:val="0"/>
        <w:autoSpaceDN w:val="0"/>
        <w:adjustRightInd w:val="0"/>
        <w:spacing w:after="75" w:line="240" w:lineRule="auto"/>
        <w:jc w:val="both"/>
        <w:rPr>
          <w:rFonts w:cs="Times New Roman"/>
          <w:color w:val="000000"/>
        </w:rPr>
      </w:pPr>
    </w:p>
    <w:p w14:paraId="3C7ADA8C" w14:textId="77777777" w:rsidR="008A2715" w:rsidRPr="00383B3F" w:rsidRDefault="008A2715" w:rsidP="008A2715">
      <w:pPr>
        <w:autoSpaceDE w:val="0"/>
        <w:autoSpaceDN w:val="0"/>
        <w:adjustRightInd w:val="0"/>
        <w:spacing w:after="75" w:line="240" w:lineRule="auto"/>
        <w:jc w:val="both"/>
        <w:rPr>
          <w:rFonts w:cs="Times New Roman"/>
          <w:b/>
          <w:i/>
          <w:color w:val="000000"/>
          <w:sz w:val="20"/>
          <w:szCs w:val="20"/>
        </w:rPr>
      </w:pPr>
      <w:r w:rsidRPr="00383B3F">
        <w:rPr>
          <w:rFonts w:cs="Times New Roman"/>
          <w:b/>
          <w:i/>
          <w:color w:val="000000"/>
          <w:sz w:val="20"/>
          <w:szCs w:val="20"/>
        </w:rPr>
        <w:t>Figures 4 &amp; 5: Incidence of tobacco and alcohol consumption for men and women</w:t>
      </w:r>
    </w:p>
    <w:p w14:paraId="501F06C6" w14:textId="45803003" w:rsidR="008A2715" w:rsidRPr="00B50FD1" w:rsidRDefault="00872E6F" w:rsidP="008A2715">
      <w:pPr>
        <w:spacing w:after="0" w:line="240" w:lineRule="auto"/>
        <w:rPr>
          <w:rFonts w:cs="Times New Roman"/>
        </w:rPr>
      </w:pPr>
      <w:r w:rsidRPr="00B50FD1">
        <w:rPr>
          <w:rFonts w:cs="Times New Roman"/>
          <w:noProof/>
        </w:rPr>
        <w:drawing>
          <wp:inline distT="0" distB="0" distL="0" distR="0" wp14:anchorId="71213827" wp14:editId="2274310C">
            <wp:extent cx="2800350" cy="23812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8A2715" w:rsidRPr="00B50FD1">
        <w:rPr>
          <w:rFonts w:cs="Times New Roman"/>
        </w:rPr>
        <w:t xml:space="preserve">  </w:t>
      </w:r>
      <w:r w:rsidRPr="00B50FD1">
        <w:rPr>
          <w:rFonts w:cs="Times New Roman"/>
          <w:noProof/>
        </w:rPr>
        <w:drawing>
          <wp:inline distT="0" distB="0" distL="0" distR="0" wp14:anchorId="61BEB6DC" wp14:editId="6C79F29B">
            <wp:extent cx="2876550" cy="23907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53B292" w14:textId="77777777" w:rsidR="008A2715" w:rsidRPr="00383B3F" w:rsidRDefault="008A2715" w:rsidP="008A2715">
      <w:pPr>
        <w:spacing w:after="0" w:line="240" w:lineRule="auto"/>
        <w:rPr>
          <w:rFonts w:cs="Times New Roman"/>
          <w:i/>
          <w:sz w:val="20"/>
          <w:szCs w:val="20"/>
        </w:rPr>
      </w:pPr>
      <w:r w:rsidRPr="00383B3F">
        <w:rPr>
          <w:rFonts w:cs="Times New Roman"/>
          <w:i/>
          <w:sz w:val="20"/>
          <w:szCs w:val="20"/>
        </w:rPr>
        <w:t>Source: WHO, 2014</w:t>
      </w:r>
    </w:p>
    <w:p w14:paraId="12F6604F" w14:textId="77777777" w:rsidR="008A2715" w:rsidRDefault="008A2715" w:rsidP="008A2715">
      <w:pPr>
        <w:spacing w:after="0" w:line="240" w:lineRule="auto"/>
        <w:rPr>
          <w:rFonts w:cs="Times New Roman"/>
        </w:rPr>
      </w:pPr>
    </w:p>
    <w:p w14:paraId="485E758A" w14:textId="77777777" w:rsidR="008A2715" w:rsidRPr="00383B3F" w:rsidRDefault="008A2715" w:rsidP="008A2715">
      <w:pPr>
        <w:spacing w:after="0" w:line="240" w:lineRule="auto"/>
        <w:rPr>
          <w:rFonts w:cs="Times New Roman"/>
          <w:b/>
          <w:i/>
          <w:sz w:val="20"/>
          <w:szCs w:val="20"/>
        </w:rPr>
      </w:pPr>
      <w:r w:rsidRPr="00383B3F">
        <w:rPr>
          <w:rFonts w:cs="Times New Roman"/>
          <w:b/>
          <w:i/>
          <w:sz w:val="20"/>
          <w:szCs w:val="20"/>
        </w:rPr>
        <w:t>Figure 6: Life expectancy for men and women in Moldova: 2000-2012</w:t>
      </w:r>
    </w:p>
    <w:p w14:paraId="6AD008BF" w14:textId="77777777" w:rsidR="008A2715" w:rsidRPr="00B50FD1" w:rsidRDefault="008A2715" w:rsidP="008A2715">
      <w:pPr>
        <w:spacing w:after="0" w:line="240" w:lineRule="auto"/>
        <w:rPr>
          <w:rFonts w:cs="Times New Roman"/>
        </w:rPr>
      </w:pPr>
      <w:r w:rsidRPr="00B50FD1">
        <w:rPr>
          <w:rFonts w:cs="Times New Roman"/>
          <w:noProof/>
        </w:rPr>
        <w:drawing>
          <wp:inline distT="0" distB="0" distL="0" distR="0" wp14:anchorId="049A3989" wp14:editId="2B9DF08C">
            <wp:extent cx="6944893" cy="217868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6493" cy="2179187"/>
                    </a:xfrm>
                    <a:prstGeom prst="rect">
                      <a:avLst/>
                    </a:prstGeom>
                    <a:noFill/>
                    <a:ln>
                      <a:noFill/>
                    </a:ln>
                  </pic:spPr>
                </pic:pic>
              </a:graphicData>
            </a:graphic>
          </wp:inline>
        </w:drawing>
      </w:r>
    </w:p>
    <w:p w14:paraId="49EC6A84" w14:textId="77777777" w:rsidR="008A2715" w:rsidRPr="00383B3F" w:rsidRDefault="008A2715" w:rsidP="008A2715">
      <w:pPr>
        <w:spacing w:after="0" w:line="240" w:lineRule="auto"/>
        <w:rPr>
          <w:rFonts w:cs="Times New Roman"/>
          <w:i/>
          <w:sz w:val="20"/>
          <w:szCs w:val="20"/>
        </w:rPr>
      </w:pPr>
      <w:r w:rsidRPr="00383B3F">
        <w:rPr>
          <w:rFonts w:cs="Times New Roman"/>
          <w:i/>
          <w:sz w:val="20"/>
          <w:szCs w:val="20"/>
        </w:rPr>
        <w:t>Source: WHO, 2014</w:t>
      </w:r>
    </w:p>
    <w:p w14:paraId="0DBF2FC9" w14:textId="77777777" w:rsidR="008A2715" w:rsidRPr="00B50FD1" w:rsidRDefault="008A2715" w:rsidP="008A2715">
      <w:pPr>
        <w:spacing w:after="0" w:line="240" w:lineRule="auto"/>
        <w:rPr>
          <w:rFonts w:cs="Times New Roman"/>
        </w:rPr>
      </w:pPr>
    </w:p>
    <w:p w14:paraId="7A98DFB9" w14:textId="77777777" w:rsidR="008A2715" w:rsidRPr="00B50FD1" w:rsidRDefault="008A2715" w:rsidP="008A2715">
      <w:pPr>
        <w:autoSpaceDE w:val="0"/>
        <w:autoSpaceDN w:val="0"/>
        <w:adjustRightInd w:val="0"/>
        <w:spacing w:after="0" w:line="240" w:lineRule="auto"/>
        <w:jc w:val="both"/>
        <w:rPr>
          <w:rFonts w:cs="Times New Roman"/>
          <w:b/>
          <w:color w:val="000000"/>
        </w:rPr>
      </w:pPr>
    </w:p>
    <w:p w14:paraId="55CBB4C4" w14:textId="3FB02F5F" w:rsidR="008A2715" w:rsidRPr="00B50FD1" w:rsidRDefault="008A2715" w:rsidP="008A2715">
      <w:pPr>
        <w:spacing w:after="0" w:line="240" w:lineRule="auto"/>
        <w:jc w:val="both"/>
        <w:rPr>
          <w:rFonts w:cs="Times New Roman"/>
          <w:color w:val="000000"/>
        </w:rPr>
      </w:pPr>
      <w:r w:rsidRPr="00383B3F">
        <w:rPr>
          <w:rFonts w:cs="Times New Roman"/>
          <w:b/>
          <w:i/>
          <w:color w:val="000000"/>
        </w:rPr>
        <w:lastRenderedPageBreak/>
        <w:t xml:space="preserve">Public policies targeting preventive measures across sectors are </w:t>
      </w:r>
      <w:r w:rsidR="001A4CDA">
        <w:rPr>
          <w:rFonts w:cs="Times New Roman"/>
          <w:b/>
          <w:i/>
          <w:color w:val="000000"/>
        </w:rPr>
        <w:t>generally</w:t>
      </w:r>
      <w:r w:rsidR="001A4CDA" w:rsidRPr="00383B3F">
        <w:rPr>
          <w:rFonts w:cs="Times New Roman"/>
          <w:b/>
          <w:i/>
          <w:color w:val="000000"/>
        </w:rPr>
        <w:t xml:space="preserve"> </w:t>
      </w:r>
      <w:r w:rsidRPr="00383B3F">
        <w:rPr>
          <w:rFonts w:cs="Times New Roman"/>
          <w:b/>
          <w:i/>
          <w:color w:val="000000"/>
        </w:rPr>
        <w:t>not gender responsive.</w:t>
      </w:r>
      <w:r w:rsidRPr="00B50FD1">
        <w:rPr>
          <w:rFonts w:cs="Times New Roman"/>
          <w:color w:val="000000"/>
        </w:rPr>
        <w:t xml:space="preserve"> The Gender Equality Strategy points to the lack of gender mechanisms which could guide policy making in the health care sector. At the same time, the sectoral public policies, which directly influence public health, need to be reviewed in terms of gender dimensions</w:t>
      </w:r>
      <w:r w:rsidR="001A4CDA">
        <w:rPr>
          <w:rFonts w:cs="Times New Roman"/>
          <w:color w:val="000000"/>
        </w:rPr>
        <w:t>.</w:t>
      </w:r>
      <w:r w:rsidRPr="00B50FD1">
        <w:rPr>
          <w:rStyle w:val="FootnoteReference"/>
          <w:rFonts w:cs="Times New Roman"/>
          <w:color w:val="000000"/>
        </w:rPr>
        <w:footnoteReference w:id="33"/>
      </w:r>
    </w:p>
    <w:p w14:paraId="60107BDF" w14:textId="77777777" w:rsidR="008A2715" w:rsidRPr="00B50FD1" w:rsidRDefault="008A2715"/>
    <w:sectPr w:rsidR="008A2715" w:rsidRPr="00B50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8105" w14:textId="77777777" w:rsidR="00106B12" w:rsidRDefault="00106B12" w:rsidP="00D57BD0">
      <w:pPr>
        <w:spacing w:after="0" w:line="240" w:lineRule="auto"/>
      </w:pPr>
      <w:r>
        <w:separator/>
      </w:r>
    </w:p>
  </w:endnote>
  <w:endnote w:type="continuationSeparator" w:id="0">
    <w:p w14:paraId="1DEA0837" w14:textId="77777777" w:rsidR="00106B12" w:rsidRDefault="00106B12" w:rsidP="00D5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94033"/>
      <w:docPartObj>
        <w:docPartGallery w:val="Page Numbers (Bottom of Page)"/>
        <w:docPartUnique/>
      </w:docPartObj>
    </w:sdtPr>
    <w:sdtEndPr>
      <w:rPr>
        <w:noProof/>
      </w:rPr>
    </w:sdtEndPr>
    <w:sdtContent>
      <w:p w14:paraId="258C43ED" w14:textId="77777777" w:rsidR="008B1D54" w:rsidRDefault="008B1D54">
        <w:pPr>
          <w:pStyle w:val="Footer"/>
          <w:jc w:val="center"/>
        </w:pPr>
        <w:r>
          <w:fldChar w:fldCharType="begin"/>
        </w:r>
        <w:r>
          <w:instrText xml:space="preserve"> PAGE   \* MERGEFORMAT </w:instrText>
        </w:r>
        <w:r>
          <w:fldChar w:fldCharType="separate"/>
        </w:r>
        <w:r w:rsidR="007220C7">
          <w:rPr>
            <w:noProof/>
          </w:rPr>
          <w:t>4</w:t>
        </w:r>
        <w:r>
          <w:rPr>
            <w:noProof/>
          </w:rPr>
          <w:fldChar w:fldCharType="end"/>
        </w:r>
      </w:p>
    </w:sdtContent>
  </w:sdt>
  <w:p w14:paraId="1116910D" w14:textId="77777777" w:rsidR="008B1D54" w:rsidRDefault="008B1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F93A3" w14:textId="77777777" w:rsidR="00106B12" w:rsidRDefault="00106B12" w:rsidP="00D57BD0">
      <w:pPr>
        <w:spacing w:after="0" w:line="240" w:lineRule="auto"/>
      </w:pPr>
      <w:r>
        <w:separator/>
      </w:r>
    </w:p>
  </w:footnote>
  <w:footnote w:type="continuationSeparator" w:id="0">
    <w:p w14:paraId="77A60909" w14:textId="77777777" w:rsidR="00106B12" w:rsidRDefault="00106B12" w:rsidP="00D57BD0">
      <w:pPr>
        <w:spacing w:after="0" w:line="240" w:lineRule="auto"/>
      </w:pPr>
      <w:r>
        <w:continuationSeparator/>
      </w:r>
    </w:p>
  </w:footnote>
  <w:footnote w:id="1">
    <w:p w14:paraId="1F00332A" w14:textId="77777777" w:rsidR="008B1D54" w:rsidRDefault="008B1D54">
      <w:pPr>
        <w:pStyle w:val="FootnoteText"/>
      </w:pPr>
      <w:r>
        <w:rPr>
          <w:rStyle w:val="FootnoteReference"/>
        </w:rPr>
        <w:footnoteRef/>
      </w:r>
      <w:r>
        <w:t xml:space="preserve"> One of two pilot CGAPs in ECA region along with Armenia.</w:t>
      </w:r>
    </w:p>
  </w:footnote>
  <w:footnote w:id="2">
    <w:p w14:paraId="449C26E7" w14:textId="29162D9C" w:rsidR="008B1D54" w:rsidRDefault="008B1D54">
      <w:pPr>
        <w:pStyle w:val="FootnoteText"/>
      </w:pPr>
      <w:r>
        <w:rPr>
          <w:rStyle w:val="FootnoteReference"/>
        </w:rPr>
        <w:footnoteRef/>
      </w:r>
      <w:r>
        <w:t xml:space="preserve"> A more detailed analysis of gender issues in Moldova is presented in Annex. World Bank. (2014a) is the latest  comprehensive Country Gender Assessment  conducted by the World Bank in Moldova. </w:t>
      </w:r>
    </w:p>
  </w:footnote>
  <w:footnote w:id="3">
    <w:p w14:paraId="65B79CE2" w14:textId="7DEB6582" w:rsidR="008B1D54" w:rsidRDefault="008B1D54">
      <w:pPr>
        <w:pStyle w:val="FootnoteText"/>
      </w:pPr>
      <w:r>
        <w:rPr>
          <w:rStyle w:val="FootnoteReference"/>
        </w:rPr>
        <w:footnoteRef/>
      </w:r>
      <w:r>
        <w:t xml:space="preserve"> </w:t>
      </w:r>
      <w:r>
        <w:rPr>
          <w:rFonts w:ascii="Times New Roman" w:hAnsi="Times New Roman" w:cs="Times New Roman"/>
          <w:sz w:val="18"/>
          <w:szCs w:val="18"/>
        </w:rPr>
        <w:t>World Economic Forum, 2016. Moldova ranks 26</w:t>
      </w:r>
      <w:r w:rsidRPr="009A406B">
        <w:rPr>
          <w:rFonts w:ascii="Times New Roman" w:hAnsi="Times New Roman" w:cs="Times New Roman"/>
          <w:sz w:val="18"/>
          <w:szCs w:val="18"/>
          <w:vertAlign w:val="superscript"/>
        </w:rPr>
        <w:t>th</w:t>
      </w:r>
      <w:r>
        <w:rPr>
          <w:rFonts w:ascii="Times New Roman" w:hAnsi="Times New Roman" w:cs="Times New Roman"/>
          <w:sz w:val="18"/>
          <w:szCs w:val="18"/>
        </w:rPr>
        <w:t xml:space="preserve"> on gender equality overall, 15</w:t>
      </w:r>
      <w:r w:rsidRPr="007617D7">
        <w:rPr>
          <w:rFonts w:ascii="Times New Roman" w:hAnsi="Times New Roman" w:cs="Times New Roman"/>
          <w:sz w:val="18"/>
          <w:szCs w:val="18"/>
          <w:vertAlign w:val="superscript"/>
        </w:rPr>
        <w:t>th</w:t>
      </w:r>
      <w:r>
        <w:rPr>
          <w:rFonts w:ascii="Times New Roman" w:hAnsi="Times New Roman" w:cs="Times New Roman"/>
          <w:sz w:val="18"/>
          <w:szCs w:val="18"/>
        </w:rPr>
        <w:t xml:space="preserve"> on Economic Participation and Opportunity; 52</w:t>
      </w:r>
      <w:r w:rsidRPr="007617D7">
        <w:rPr>
          <w:rFonts w:ascii="Times New Roman" w:hAnsi="Times New Roman" w:cs="Times New Roman"/>
          <w:sz w:val="18"/>
          <w:szCs w:val="18"/>
          <w:vertAlign w:val="superscript"/>
        </w:rPr>
        <w:t>nd</w:t>
      </w:r>
      <w:r>
        <w:rPr>
          <w:rFonts w:ascii="Times New Roman" w:hAnsi="Times New Roman" w:cs="Times New Roman"/>
          <w:sz w:val="18"/>
          <w:szCs w:val="18"/>
        </w:rPr>
        <w:t xml:space="preserve">  on Educational Attainment; 40</w:t>
      </w:r>
      <w:r w:rsidRPr="007617D7">
        <w:rPr>
          <w:rFonts w:ascii="Times New Roman" w:hAnsi="Times New Roman" w:cs="Times New Roman"/>
          <w:sz w:val="18"/>
          <w:szCs w:val="18"/>
          <w:vertAlign w:val="superscript"/>
        </w:rPr>
        <w:t>th</w:t>
      </w:r>
      <w:r>
        <w:rPr>
          <w:rFonts w:ascii="Times New Roman" w:hAnsi="Times New Roman" w:cs="Times New Roman"/>
          <w:sz w:val="18"/>
          <w:szCs w:val="18"/>
        </w:rPr>
        <w:t xml:space="preserve">  on Health and Survival; and 58</w:t>
      </w:r>
      <w:r w:rsidRPr="009A406B">
        <w:rPr>
          <w:rFonts w:ascii="Times New Roman" w:hAnsi="Times New Roman" w:cs="Times New Roman"/>
          <w:sz w:val="18"/>
          <w:szCs w:val="18"/>
          <w:vertAlign w:val="superscript"/>
        </w:rPr>
        <w:t>th</w:t>
      </w:r>
      <w:r>
        <w:rPr>
          <w:rFonts w:ascii="Times New Roman" w:hAnsi="Times New Roman" w:cs="Times New Roman"/>
          <w:sz w:val="18"/>
          <w:szCs w:val="18"/>
        </w:rPr>
        <w:t xml:space="preserve">  on Political Empowerment. Moldova’s ranking has declined from the previous year – from 18 to 26</w:t>
      </w:r>
      <w:r w:rsidRPr="007617D7">
        <w:rPr>
          <w:rFonts w:ascii="Times New Roman" w:hAnsi="Times New Roman" w:cs="Times New Roman"/>
          <w:sz w:val="18"/>
          <w:szCs w:val="18"/>
          <w:vertAlign w:val="superscript"/>
        </w:rPr>
        <w:t>th</w:t>
      </w:r>
      <w:r>
        <w:rPr>
          <w:rFonts w:ascii="Times New Roman" w:hAnsi="Times New Roman" w:cs="Times New Roman"/>
          <w:sz w:val="18"/>
          <w:szCs w:val="18"/>
        </w:rPr>
        <w:t xml:space="preserve">. </w:t>
      </w:r>
      <w:hyperlink r:id="rId1" w:history="1">
        <w:r w:rsidRPr="003C4196">
          <w:rPr>
            <w:rStyle w:val="Hyperlink"/>
            <w:rFonts w:ascii="Times New Roman" w:hAnsi="Times New Roman" w:cs="Times New Roman"/>
            <w:sz w:val="18"/>
            <w:szCs w:val="18"/>
          </w:rPr>
          <w:t>http://www3.weforum.org/docs/GGGR16/WEF_Global_Gender_Gap_Report_2016.pdf</w:t>
        </w:r>
      </w:hyperlink>
      <w:r>
        <w:rPr>
          <w:rFonts w:ascii="Times New Roman" w:hAnsi="Times New Roman" w:cs="Times New Roman"/>
          <w:sz w:val="18"/>
          <w:szCs w:val="18"/>
        </w:rPr>
        <w:t xml:space="preserve">  </w:t>
      </w:r>
    </w:p>
  </w:footnote>
  <w:footnote w:id="4">
    <w:p w14:paraId="500A8702" w14:textId="77777777" w:rsidR="008B1D54" w:rsidRDefault="008B1D54">
      <w:pPr>
        <w:pStyle w:val="FootnoteText"/>
      </w:pPr>
      <w:r>
        <w:rPr>
          <w:rStyle w:val="FootnoteReference"/>
        </w:rPr>
        <w:footnoteRef/>
      </w:r>
      <w:r>
        <w:t xml:space="preserve"> </w:t>
      </w:r>
      <w:r w:rsidRPr="00C64558">
        <w:rPr>
          <w:rFonts w:ascii="Times New Roman" w:hAnsi="Times New Roman" w:cs="Times New Roman"/>
          <w:sz w:val="18"/>
          <w:szCs w:val="18"/>
        </w:rPr>
        <w:t>Law 196 introduces the so-called “urgent restriction order” which gives police officers prerogative to order offender’s exclusion from the household on the spot; it also provides for free legal assistance to victims, and a website to raise awareness about services offered.</w:t>
      </w:r>
      <w:r>
        <w:t xml:space="preserve"> </w:t>
      </w:r>
    </w:p>
  </w:footnote>
  <w:footnote w:id="5">
    <w:p w14:paraId="6CEDDB29" w14:textId="19D14937" w:rsidR="008B1D54" w:rsidRPr="003C0E89" w:rsidRDefault="008B1D54" w:rsidP="00F65F49">
      <w:pPr>
        <w:autoSpaceDE w:val="0"/>
        <w:autoSpaceDN w:val="0"/>
        <w:adjustRightInd w:val="0"/>
        <w:spacing w:after="0" w:line="240" w:lineRule="auto"/>
        <w:rPr>
          <w:rFonts w:ascii="Times New Roman" w:hAnsi="Times New Roman" w:cs="Times New Roman"/>
          <w:sz w:val="18"/>
          <w:szCs w:val="18"/>
        </w:rPr>
      </w:pPr>
      <w:r w:rsidRPr="003C0E89">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E6853">
        <w:rPr>
          <w:rFonts w:ascii="Times New Roman" w:hAnsi="Times New Roman" w:cs="Times New Roman"/>
          <w:sz w:val="18"/>
          <w:szCs w:val="18"/>
        </w:rPr>
        <w:t xml:space="preserve">The </w:t>
      </w:r>
      <w:r>
        <w:rPr>
          <w:rFonts w:ascii="Times New Roman" w:hAnsi="Times New Roman" w:cs="Times New Roman"/>
          <w:sz w:val="18"/>
          <w:szCs w:val="18"/>
        </w:rPr>
        <w:t xml:space="preserve">National </w:t>
      </w:r>
      <w:r w:rsidRPr="00DE6853">
        <w:rPr>
          <w:rFonts w:ascii="Times New Roman" w:hAnsi="Times New Roman" w:cs="Times New Roman"/>
          <w:color w:val="000000"/>
          <w:sz w:val="18"/>
          <w:szCs w:val="18"/>
        </w:rPr>
        <w:t xml:space="preserve">Gender Equality Index </w:t>
      </w:r>
      <w:r>
        <w:rPr>
          <w:rFonts w:ascii="Times New Roman" w:hAnsi="Times New Roman" w:cs="Times New Roman"/>
          <w:color w:val="000000"/>
          <w:sz w:val="18"/>
          <w:szCs w:val="18"/>
        </w:rPr>
        <w:t xml:space="preserve">was developed by a Moldovan think tank, Partnership for Development Center, as a way to measure progress of the National Gender Equality Strategy. More details available at:   </w:t>
      </w:r>
      <w:hyperlink r:id="rId2" w:history="1">
        <w:r w:rsidRPr="003C0E89">
          <w:rPr>
            <w:rStyle w:val="Hyperlink"/>
            <w:rFonts w:ascii="Times New Roman" w:hAnsi="Times New Roman" w:cs="Times New Roman"/>
            <w:sz w:val="18"/>
            <w:szCs w:val="18"/>
          </w:rPr>
          <w:t>http://www.progen.md/?pag=n&amp;opa=view&amp;id=333&amp;tip=publicatii&amp;start=&amp;</w:t>
        </w:r>
      </w:hyperlink>
    </w:p>
  </w:footnote>
  <w:footnote w:id="6">
    <w:p w14:paraId="7BFDA2EF" w14:textId="77777777" w:rsidR="008B1D54" w:rsidRPr="003C0E89" w:rsidRDefault="008B1D54" w:rsidP="00F65F49">
      <w:pPr>
        <w:autoSpaceDE w:val="0"/>
        <w:autoSpaceDN w:val="0"/>
        <w:adjustRightInd w:val="0"/>
        <w:spacing w:after="0" w:line="240" w:lineRule="auto"/>
        <w:rPr>
          <w:rFonts w:ascii="Times New Roman" w:hAnsi="Times New Roman" w:cs="Times New Roman"/>
          <w:sz w:val="18"/>
          <w:szCs w:val="18"/>
        </w:rPr>
      </w:pPr>
      <w:r w:rsidRPr="003C0E89">
        <w:rPr>
          <w:rStyle w:val="FootnoteReference"/>
          <w:rFonts w:ascii="Times New Roman" w:hAnsi="Times New Roman" w:cs="Times New Roman"/>
          <w:sz w:val="18"/>
          <w:szCs w:val="18"/>
        </w:rPr>
        <w:footnoteRef/>
      </w:r>
      <w:r w:rsidRPr="003C0E89">
        <w:rPr>
          <w:rFonts w:ascii="Times New Roman" w:hAnsi="Times New Roman" w:cs="Times New Roman"/>
          <w:sz w:val="18"/>
          <w:szCs w:val="18"/>
        </w:rPr>
        <w:t xml:space="preserve"> Recommendations for the National Strategy on Labor Force Participation 2017-2021, study conducted by Partnership for Development Center with support of East-European Foundation</w:t>
      </w:r>
    </w:p>
  </w:footnote>
  <w:footnote w:id="7">
    <w:p w14:paraId="7CF31CB2" w14:textId="0B33E699" w:rsidR="008B1D54" w:rsidRPr="00F65F49" w:rsidRDefault="008B1D54" w:rsidP="007617D7">
      <w:pPr>
        <w:spacing w:after="0" w:line="240" w:lineRule="auto"/>
        <w:rPr>
          <w:rFonts w:cs="Times New Roman"/>
        </w:rPr>
      </w:pPr>
      <w:r>
        <w:rPr>
          <w:rStyle w:val="FootnoteReference"/>
        </w:rPr>
        <w:footnoteRef/>
      </w:r>
      <w:r>
        <w:t xml:space="preserve"> </w:t>
      </w:r>
      <w:r w:rsidRPr="007617D7">
        <w:rPr>
          <w:rFonts w:ascii="Times New Roman" w:hAnsi="Times New Roman" w:cs="Times New Roman"/>
          <w:sz w:val="18"/>
          <w:szCs w:val="18"/>
        </w:rPr>
        <w:t>Evidence based on: World Bank Country Gender Assessment (2014), World Bank Systematic Country Diagnostic (2015), Moldova National Gender Equality Strategy (2017), Moldova Gender Equality Portal (</w:t>
      </w:r>
      <w:hyperlink r:id="rId3" w:history="1">
        <w:r w:rsidRPr="007617D7">
          <w:rPr>
            <w:rStyle w:val="Hyperlink"/>
            <w:rFonts w:ascii="Times New Roman" w:hAnsi="Times New Roman" w:cs="Times New Roman"/>
            <w:sz w:val="18"/>
            <w:szCs w:val="18"/>
          </w:rPr>
          <w:t>http://egalitatedegen.md/en/</w:t>
        </w:r>
      </w:hyperlink>
      <w:r w:rsidRPr="007617D7">
        <w:rPr>
          <w:rFonts w:ascii="Times New Roman" w:hAnsi="Times New Roman" w:cs="Times New Roman"/>
          <w:sz w:val="18"/>
          <w:szCs w:val="18"/>
        </w:rPr>
        <w:t xml:space="preserve">), reports by local and international organizations (UN WOMEN, Sida, Women’s Law Center, </w:t>
      </w:r>
      <w:r>
        <w:rPr>
          <w:rFonts w:ascii="Times New Roman" w:hAnsi="Times New Roman" w:cs="Times New Roman"/>
          <w:sz w:val="18"/>
          <w:szCs w:val="18"/>
        </w:rPr>
        <w:t xml:space="preserve">Partnership for Development Center, </w:t>
      </w:r>
      <w:r w:rsidRPr="007617D7">
        <w:rPr>
          <w:rFonts w:ascii="Times New Roman" w:hAnsi="Times New Roman" w:cs="Times New Roman"/>
          <w:sz w:val="18"/>
          <w:szCs w:val="18"/>
        </w:rPr>
        <w:t>Soros Foundation, see Bibliography attached)</w:t>
      </w:r>
    </w:p>
  </w:footnote>
  <w:footnote w:id="8">
    <w:p w14:paraId="3EEA29B3" w14:textId="77777777" w:rsidR="008B1D54" w:rsidRDefault="008B1D54">
      <w:pPr>
        <w:pStyle w:val="FootnoteText"/>
      </w:pPr>
      <w:r>
        <w:rPr>
          <w:rStyle w:val="FootnoteReference"/>
        </w:rPr>
        <w:footnoteRef/>
      </w:r>
      <w:r>
        <w:t xml:space="preserve"> </w:t>
      </w:r>
      <w:r w:rsidRPr="00D82486">
        <w:rPr>
          <w:rFonts w:ascii="Times New Roman" w:hAnsi="Times New Roman" w:cs="Times New Roman"/>
          <w:sz w:val="18"/>
          <w:szCs w:val="18"/>
        </w:rPr>
        <w:t>As an example, in last year’s presid</w:t>
      </w:r>
      <w:r>
        <w:rPr>
          <w:rFonts w:ascii="Times New Roman" w:hAnsi="Times New Roman" w:cs="Times New Roman"/>
          <w:sz w:val="18"/>
          <w:szCs w:val="18"/>
        </w:rPr>
        <w:t>ential election</w:t>
      </w:r>
      <w:r w:rsidRPr="00D82486">
        <w:rPr>
          <w:rFonts w:ascii="Times New Roman" w:hAnsi="Times New Roman" w:cs="Times New Roman"/>
          <w:sz w:val="18"/>
          <w:szCs w:val="18"/>
        </w:rPr>
        <w:t xml:space="preserve"> the marital</w:t>
      </w:r>
      <w:r>
        <w:rPr>
          <w:rFonts w:ascii="Times New Roman" w:hAnsi="Times New Roman" w:cs="Times New Roman"/>
          <w:sz w:val="18"/>
          <w:szCs w:val="18"/>
        </w:rPr>
        <w:t xml:space="preserve"> and motherhood status</w:t>
      </w:r>
      <w:r w:rsidRPr="00D82486">
        <w:rPr>
          <w:rFonts w:ascii="Times New Roman" w:hAnsi="Times New Roman" w:cs="Times New Roman"/>
          <w:sz w:val="18"/>
          <w:szCs w:val="18"/>
        </w:rPr>
        <w:t xml:space="preserve"> of one of the leading candidates was an important </w:t>
      </w:r>
      <w:r>
        <w:rPr>
          <w:rFonts w:ascii="Times New Roman" w:hAnsi="Times New Roman" w:cs="Times New Roman"/>
          <w:sz w:val="18"/>
          <w:szCs w:val="18"/>
        </w:rPr>
        <w:t>part of the political an</w:t>
      </w:r>
      <w:r w:rsidRPr="00D82486">
        <w:rPr>
          <w:rFonts w:ascii="Times New Roman" w:hAnsi="Times New Roman" w:cs="Times New Roman"/>
          <w:sz w:val="18"/>
          <w:szCs w:val="18"/>
        </w:rPr>
        <w:t xml:space="preserve">d media campaign by her opposition. </w:t>
      </w:r>
      <w:hyperlink r:id="rId4" w:history="1">
        <w:r w:rsidRPr="00D82486">
          <w:rPr>
            <w:rStyle w:val="Hyperlink"/>
            <w:rFonts w:ascii="Times New Roman" w:hAnsi="Times New Roman" w:cs="Times New Roman"/>
            <w:sz w:val="18"/>
            <w:szCs w:val="18"/>
          </w:rPr>
          <w:t>http://www.rferl.org/a/moldova-sandu-smears-orthodox-church-pro-eu-candidate-russia/28108474.html</w:t>
        </w:r>
      </w:hyperlink>
      <w:r>
        <w:t xml:space="preserve"> </w:t>
      </w:r>
    </w:p>
  </w:footnote>
  <w:footnote w:id="9">
    <w:p w14:paraId="2C3E6CAE" w14:textId="77777777" w:rsidR="008B1D54" w:rsidRPr="00F62382" w:rsidRDefault="008B1D54" w:rsidP="009366B8">
      <w:pPr>
        <w:pStyle w:val="FootnoteText"/>
        <w:rPr>
          <w:rFonts w:ascii="Times New Roman" w:hAnsi="Times New Roman" w:cs="Times New Roman"/>
          <w:sz w:val="18"/>
          <w:szCs w:val="18"/>
        </w:rPr>
      </w:pPr>
      <w:r w:rsidRPr="00F62382">
        <w:rPr>
          <w:rStyle w:val="FootnoteReference"/>
          <w:rFonts w:ascii="Times New Roman" w:hAnsi="Times New Roman" w:cs="Times New Roman"/>
          <w:sz w:val="18"/>
          <w:szCs w:val="18"/>
        </w:rPr>
        <w:footnoteRef/>
      </w:r>
      <w:r w:rsidRPr="00F62382">
        <w:rPr>
          <w:rFonts w:ascii="Times New Roman" w:hAnsi="Times New Roman" w:cs="Times New Roman"/>
          <w:sz w:val="18"/>
          <w:szCs w:val="18"/>
        </w:rPr>
        <w:t xml:space="preserve"> http://www.mmpsf.gov.md/ro/content/strategia-pentru-asigurarea-egalitatii-de-gen-republica-moldova-pentru-anii-2016-2020</w:t>
      </w:r>
    </w:p>
  </w:footnote>
  <w:footnote w:id="10">
    <w:p w14:paraId="2071F3CE" w14:textId="77777777" w:rsidR="008B1D54" w:rsidRPr="003C0E89" w:rsidRDefault="008B1D54" w:rsidP="004C5F79">
      <w:pPr>
        <w:pStyle w:val="FootnoteText"/>
        <w:rPr>
          <w:rFonts w:ascii="Times New Roman" w:hAnsi="Times New Roman" w:cs="Times New Roman"/>
          <w:sz w:val="18"/>
          <w:szCs w:val="18"/>
        </w:rPr>
      </w:pPr>
      <w:r w:rsidRPr="003C0E89">
        <w:rPr>
          <w:rStyle w:val="FootnoteReference"/>
          <w:rFonts w:ascii="Times New Roman" w:hAnsi="Times New Roman" w:cs="Times New Roman"/>
          <w:sz w:val="18"/>
          <w:szCs w:val="18"/>
        </w:rPr>
        <w:footnoteRef/>
      </w:r>
      <w:r w:rsidRPr="003C0E89">
        <w:rPr>
          <w:rFonts w:ascii="Times New Roman" w:hAnsi="Times New Roman" w:cs="Times New Roman"/>
          <w:sz w:val="18"/>
          <w:szCs w:val="18"/>
        </w:rPr>
        <w:t xml:space="preserve"> UN WOMEN, </w:t>
      </w:r>
      <w:hyperlink r:id="rId5" w:history="1">
        <w:r w:rsidRPr="003C0E89">
          <w:rPr>
            <w:rStyle w:val="Hyperlink"/>
            <w:rFonts w:ascii="Times New Roman" w:hAnsi="Times New Roman" w:cs="Times New Roman"/>
            <w:sz w:val="18"/>
            <w:szCs w:val="18"/>
          </w:rPr>
          <w:t>http://eca.unwomen.org/en/news/stories/2016/06/moldova-takes-historic-step-to-promote-gender-equality-in-politics</w:t>
        </w:r>
      </w:hyperlink>
      <w:r w:rsidRPr="003C0E89">
        <w:rPr>
          <w:rFonts w:ascii="Times New Roman" w:hAnsi="Times New Roman" w:cs="Times New Roman"/>
          <w:sz w:val="18"/>
          <w:szCs w:val="18"/>
        </w:rPr>
        <w:t xml:space="preserve"> </w:t>
      </w:r>
    </w:p>
  </w:footnote>
  <w:footnote w:id="11">
    <w:p w14:paraId="4EA2F137" w14:textId="77777777" w:rsidR="008B1D54" w:rsidRPr="00110004" w:rsidRDefault="008B1D54" w:rsidP="004C5F79">
      <w:pPr>
        <w:pStyle w:val="FootnoteText"/>
        <w:rPr>
          <w:rFonts w:ascii="Times New Roman" w:hAnsi="Times New Roman" w:cs="Times New Roman"/>
          <w:sz w:val="18"/>
          <w:szCs w:val="18"/>
        </w:rPr>
      </w:pPr>
      <w:r w:rsidRPr="00110004">
        <w:rPr>
          <w:rStyle w:val="FootnoteReference"/>
          <w:rFonts w:ascii="Times New Roman" w:hAnsi="Times New Roman" w:cs="Times New Roman"/>
          <w:sz w:val="18"/>
          <w:szCs w:val="18"/>
        </w:rPr>
        <w:footnoteRef/>
      </w:r>
      <w:r w:rsidRPr="00110004">
        <w:rPr>
          <w:rFonts w:ascii="Times New Roman" w:hAnsi="Times New Roman" w:cs="Times New Roman"/>
          <w:sz w:val="18"/>
          <w:szCs w:val="18"/>
        </w:rPr>
        <w:t xml:space="preserve"> </w:t>
      </w:r>
      <w:hyperlink r:id="rId6" w:history="1">
        <w:r w:rsidRPr="00110004">
          <w:rPr>
            <w:rStyle w:val="Hyperlink"/>
            <w:rFonts w:ascii="Times New Roman" w:hAnsi="Times New Roman" w:cs="Times New Roman"/>
            <w:sz w:val="18"/>
            <w:szCs w:val="18"/>
          </w:rPr>
          <w:t>http://egalitatedegen.md/noi/</w:t>
        </w:r>
      </w:hyperlink>
    </w:p>
  </w:footnote>
  <w:footnote w:id="12">
    <w:p w14:paraId="10633C0A" w14:textId="77777777" w:rsidR="008B1D54" w:rsidRPr="008A2A06" w:rsidRDefault="008B1D54" w:rsidP="00715CC3">
      <w:pPr>
        <w:pStyle w:val="FootnoteText"/>
        <w:rPr>
          <w:rFonts w:ascii="Times New Roman" w:hAnsi="Times New Roman" w:cs="Times New Roman"/>
          <w:sz w:val="18"/>
          <w:szCs w:val="18"/>
        </w:rPr>
      </w:pPr>
      <w:r w:rsidRPr="008A2A06">
        <w:rPr>
          <w:rStyle w:val="FootnoteReference"/>
          <w:rFonts w:ascii="Times New Roman" w:hAnsi="Times New Roman" w:cs="Times New Roman"/>
          <w:sz w:val="18"/>
          <w:szCs w:val="18"/>
        </w:rPr>
        <w:footnoteRef/>
      </w:r>
      <w:r w:rsidRPr="008A2A06">
        <w:rPr>
          <w:rFonts w:ascii="Times New Roman" w:hAnsi="Times New Roman" w:cs="Times New Roman"/>
          <w:sz w:val="18"/>
          <w:szCs w:val="18"/>
        </w:rPr>
        <w:t xml:space="preserve"> Gender Equality Strategy , 2016-2020</w:t>
      </w:r>
    </w:p>
  </w:footnote>
  <w:footnote w:id="13">
    <w:p w14:paraId="4A030DB8" w14:textId="1856D40D" w:rsidR="008B1D54" w:rsidRPr="008A2A06" w:rsidRDefault="008B1D54" w:rsidP="005F4627">
      <w:pPr>
        <w:pStyle w:val="FootnoteText"/>
        <w:rPr>
          <w:rFonts w:ascii="Times New Roman" w:hAnsi="Times New Roman" w:cs="Times New Roman"/>
          <w:sz w:val="18"/>
          <w:szCs w:val="18"/>
        </w:rPr>
      </w:pPr>
      <w:r w:rsidRPr="008A2A06">
        <w:rPr>
          <w:rStyle w:val="FootnoteReference"/>
          <w:rFonts w:ascii="Times New Roman" w:hAnsi="Times New Roman" w:cs="Times New Roman"/>
          <w:sz w:val="18"/>
          <w:szCs w:val="18"/>
        </w:rPr>
        <w:footnoteRef/>
      </w:r>
      <w:r w:rsidRPr="008A2A06">
        <w:rPr>
          <w:rFonts w:ascii="Times New Roman" w:hAnsi="Times New Roman" w:cs="Times New Roman"/>
          <w:sz w:val="18"/>
          <w:szCs w:val="18"/>
        </w:rPr>
        <w:t xml:space="preserve"> Based on a portfolio review of 15 active Investment Project Financing (IPFs) implemented in Moldova in the course of the CPS FY14-17. The review does not include TF projects. The assessment is based on preparation and appraisal documents (e.g., PADs, CN</w:t>
      </w:r>
      <w:r>
        <w:rPr>
          <w:rFonts w:ascii="Times New Roman" w:hAnsi="Times New Roman" w:cs="Times New Roman"/>
          <w:sz w:val="18"/>
          <w:szCs w:val="18"/>
        </w:rPr>
        <w:t>s</w:t>
      </w:r>
      <w:r w:rsidRPr="008A2A06">
        <w:rPr>
          <w:rFonts w:ascii="Times New Roman" w:hAnsi="Times New Roman" w:cs="Times New Roman"/>
          <w:sz w:val="18"/>
          <w:szCs w:val="18"/>
        </w:rPr>
        <w:t xml:space="preserve">, </w:t>
      </w:r>
      <w:r>
        <w:rPr>
          <w:rFonts w:ascii="Times New Roman" w:hAnsi="Times New Roman" w:cs="Times New Roman"/>
          <w:sz w:val="18"/>
          <w:szCs w:val="18"/>
        </w:rPr>
        <w:t xml:space="preserve">and </w:t>
      </w:r>
      <w:r w:rsidRPr="008A2A06">
        <w:rPr>
          <w:rFonts w:ascii="Times New Roman" w:hAnsi="Times New Roman" w:cs="Times New Roman"/>
          <w:sz w:val="18"/>
          <w:szCs w:val="18"/>
        </w:rPr>
        <w:t>PID</w:t>
      </w:r>
      <w:r>
        <w:rPr>
          <w:rFonts w:ascii="Times New Roman" w:hAnsi="Times New Roman" w:cs="Times New Roman"/>
          <w:sz w:val="18"/>
          <w:szCs w:val="18"/>
        </w:rPr>
        <w:t>s</w:t>
      </w:r>
      <w:r w:rsidRPr="008A2A06">
        <w:rPr>
          <w:rFonts w:ascii="Times New Roman" w:hAnsi="Times New Roman" w:cs="Times New Roman"/>
          <w:sz w:val="18"/>
          <w:szCs w:val="18"/>
        </w:rPr>
        <w:t>) and available implementation and supervision documents (e.g., ISRs, AM</w:t>
      </w:r>
      <w:r>
        <w:rPr>
          <w:rFonts w:ascii="Times New Roman" w:hAnsi="Times New Roman" w:cs="Times New Roman"/>
          <w:sz w:val="18"/>
          <w:szCs w:val="18"/>
        </w:rPr>
        <w:t>s</w:t>
      </w:r>
      <w:r w:rsidRPr="008A2A06">
        <w:rPr>
          <w:rFonts w:ascii="Times New Roman" w:hAnsi="Times New Roman" w:cs="Times New Roman"/>
          <w:sz w:val="18"/>
          <w:szCs w:val="18"/>
        </w:rPr>
        <w:t xml:space="preserve">, </w:t>
      </w:r>
      <w:r>
        <w:rPr>
          <w:rFonts w:ascii="Times New Roman" w:hAnsi="Times New Roman" w:cs="Times New Roman"/>
          <w:sz w:val="18"/>
          <w:szCs w:val="18"/>
        </w:rPr>
        <w:t xml:space="preserve">and </w:t>
      </w:r>
      <w:r w:rsidRPr="008A2A06">
        <w:rPr>
          <w:rFonts w:ascii="Times New Roman" w:hAnsi="Times New Roman" w:cs="Times New Roman"/>
          <w:sz w:val="18"/>
          <w:szCs w:val="18"/>
        </w:rPr>
        <w:t>POM</w:t>
      </w:r>
      <w:r>
        <w:rPr>
          <w:rFonts w:ascii="Times New Roman" w:hAnsi="Times New Roman" w:cs="Times New Roman"/>
          <w:sz w:val="18"/>
          <w:szCs w:val="18"/>
        </w:rPr>
        <w:t>s</w:t>
      </w:r>
      <w:r w:rsidRPr="008A2A06">
        <w:rPr>
          <w:rFonts w:ascii="Times New Roman" w:hAnsi="Times New Roman" w:cs="Times New Roman"/>
          <w:sz w:val="18"/>
          <w:szCs w:val="18"/>
        </w:rPr>
        <w:t xml:space="preserve">) recorded in </w:t>
      </w:r>
      <w:r>
        <w:rPr>
          <w:rFonts w:ascii="Times New Roman" w:hAnsi="Times New Roman" w:cs="Times New Roman"/>
          <w:sz w:val="18"/>
          <w:szCs w:val="18"/>
        </w:rPr>
        <w:t xml:space="preserve">the </w:t>
      </w:r>
      <w:r w:rsidRPr="008A2A06">
        <w:rPr>
          <w:rFonts w:ascii="Times New Roman" w:hAnsi="Times New Roman" w:cs="Times New Roman"/>
          <w:sz w:val="18"/>
          <w:szCs w:val="18"/>
        </w:rPr>
        <w:t xml:space="preserve">Operations Portal. Ratings have been cross-checked with data from </w:t>
      </w:r>
      <w:r>
        <w:rPr>
          <w:rFonts w:ascii="Times New Roman" w:hAnsi="Times New Roman" w:cs="Times New Roman"/>
          <w:sz w:val="18"/>
          <w:szCs w:val="18"/>
        </w:rPr>
        <w:t xml:space="preserve">the </w:t>
      </w:r>
      <w:r w:rsidRPr="008A2A06">
        <w:rPr>
          <w:rFonts w:ascii="Times New Roman" w:hAnsi="Times New Roman" w:cs="Times New Roman"/>
          <w:sz w:val="18"/>
          <w:szCs w:val="18"/>
        </w:rPr>
        <w:t>Gender CCSA.</w:t>
      </w:r>
    </w:p>
  </w:footnote>
  <w:footnote w:id="14">
    <w:p w14:paraId="72322D9F" w14:textId="2A5AEA60" w:rsidR="008B1D54" w:rsidRPr="008A2A06" w:rsidRDefault="008B1D54" w:rsidP="0042200C">
      <w:pPr>
        <w:pStyle w:val="FootnoteText"/>
        <w:rPr>
          <w:rFonts w:ascii="Times New Roman" w:hAnsi="Times New Roman" w:cs="Times New Roman"/>
          <w:sz w:val="18"/>
          <w:szCs w:val="18"/>
        </w:rPr>
      </w:pPr>
      <w:r w:rsidRPr="008A2A06">
        <w:rPr>
          <w:rStyle w:val="FootnoteReference"/>
          <w:rFonts w:ascii="Times New Roman" w:hAnsi="Times New Roman" w:cs="Times New Roman"/>
          <w:sz w:val="18"/>
          <w:szCs w:val="18"/>
        </w:rPr>
        <w:footnoteRef/>
      </w:r>
      <w:r w:rsidRPr="008A2A06">
        <w:rPr>
          <w:rFonts w:ascii="Times New Roman" w:hAnsi="Times New Roman" w:cs="Times New Roman"/>
          <w:sz w:val="18"/>
          <w:szCs w:val="18"/>
        </w:rPr>
        <w:t xml:space="preserve"> Local Roads Improvement Project, Tax Administration Project, </w:t>
      </w:r>
      <w:r>
        <w:rPr>
          <w:rFonts w:ascii="Times New Roman" w:hAnsi="Times New Roman" w:cs="Times New Roman"/>
          <w:sz w:val="18"/>
          <w:szCs w:val="18"/>
        </w:rPr>
        <w:t xml:space="preserve">and </w:t>
      </w:r>
      <w:r w:rsidRPr="008A2A06">
        <w:rPr>
          <w:rFonts w:ascii="Times New Roman" w:hAnsi="Times New Roman" w:cs="Times New Roman"/>
          <w:sz w:val="18"/>
          <w:szCs w:val="18"/>
        </w:rPr>
        <w:t xml:space="preserve">District Heating Efficiency Improvement Project. </w:t>
      </w:r>
    </w:p>
  </w:footnote>
  <w:footnote w:id="15">
    <w:p w14:paraId="0A0D2E8B" w14:textId="7CDE260F" w:rsidR="008B1D54" w:rsidRPr="00200C3D" w:rsidRDefault="008B1D54" w:rsidP="0042200C">
      <w:pPr>
        <w:pStyle w:val="FootnoteText"/>
        <w:rPr>
          <w:rFonts w:ascii="Times New Roman" w:hAnsi="Times New Roman" w:cs="Times New Roman"/>
          <w:sz w:val="18"/>
          <w:szCs w:val="18"/>
        </w:rPr>
      </w:pPr>
      <w:r w:rsidRPr="008A2A06">
        <w:rPr>
          <w:rStyle w:val="FootnoteReference"/>
          <w:rFonts w:ascii="Times New Roman" w:hAnsi="Times New Roman" w:cs="Times New Roman"/>
          <w:sz w:val="18"/>
          <w:szCs w:val="18"/>
        </w:rPr>
        <w:footnoteRef/>
      </w:r>
      <w:r w:rsidRPr="008A2A06">
        <w:rPr>
          <w:rFonts w:ascii="Times New Roman" w:hAnsi="Times New Roman" w:cs="Times New Roman"/>
          <w:sz w:val="18"/>
          <w:szCs w:val="18"/>
        </w:rPr>
        <w:t xml:space="preserve"> Moldova Health Transformation Project, Moldova Education Reform AF, </w:t>
      </w:r>
      <w:r>
        <w:rPr>
          <w:rFonts w:ascii="Times New Roman" w:hAnsi="Times New Roman" w:cs="Times New Roman"/>
          <w:sz w:val="18"/>
          <w:szCs w:val="18"/>
        </w:rPr>
        <w:t xml:space="preserve">and </w:t>
      </w:r>
      <w:r w:rsidRPr="008A2A06">
        <w:rPr>
          <w:rFonts w:ascii="Times New Roman" w:hAnsi="Times New Roman" w:cs="Times New Roman"/>
          <w:sz w:val="18"/>
          <w:szCs w:val="18"/>
        </w:rPr>
        <w:t>Agriculture Competitiveness Project.</w:t>
      </w:r>
      <w:r w:rsidRPr="00200C3D">
        <w:rPr>
          <w:rFonts w:ascii="Times New Roman" w:hAnsi="Times New Roman" w:cs="Times New Roman"/>
          <w:sz w:val="18"/>
          <w:szCs w:val="18"/>
        </w:rPr>
        <w:t xml:space="preserve"> </w:t>
      </w:r>
    </w:p>
  </w:footnote>
  <w:footnote w:id="16">
    <w:p w14:paraId="36BF2EB0" w14:textId="77777777" w:rsidR="008B1D54" w:rsidRDefault="008B1D54" w:rsidP="0042200C">
      <w:pPr>
        <w:pStyle w:val="FootnoteText"/>
        <w:rPr>
          <w:sz w:val="24"/>
          <w:szCs w:val="24"/>
        </w:rPr>
      </w:pPr>
      <w:r w:rsidRPr="00200C3D">
        <w:rPr>
          <w:rStyle w:val="FootnoteReference"/>
          <w:rFonts w:ascii="Times New Roman" w:hAnsi="Times New Roman" w:cs="Times New Roman"/>
          <w:sz w:val="18"/>
          <w:szCs w:val="18"/>
        </w:rPr>
        <w:footnoteRef/>
      </w:r>
      <w:r w:rsidRPr="00200C3D">
        <w:rPr>
          <w:rFonts w:ascii="Times New Roman" w:hAnsi="Times New Roman" w:cs="Times New Roman"/>
          <w:sz w:val="18"/>
          <w:szCs w:val="18"/>
        </w:rPr>
        <w:t xml:space="preserve"> DPOs are not included in the charts presented here.</w:t>
      </w:r>
    </w:p>
  </w:footnote>
  <w:footnote w:id="17">
    <w:p w14:paraId="47DDE460" w14:textId="64B62E45" w:rsidR="008B1D54" w:rsidRDefault="008B1D54">
      <w:pPr>
        <w:pStyle w:val="FootnoteText"/>
      </w:pPr>
      <w:r>
        <w:rPr>
          <w:rStyle w:val="FootnoteReference"/>
        </w:rPr>
        <w:footnoteRef/>
      </w:r>
      <w:r>
        <w:t xml:space="preserve"> This project envisaged including Moldova, and helping to develop beekeeping / honey production value chain and supporting female producers in this value chain; currently the project is being prepared for Armenia. </w:t>
      </w:r>
    </w:p>
  </w:footnote>
  <w:footnote w:id="18">
    <w:p w14:paraId="5F6EE582" w14:textId="77777777" w:rsidR="008B1D54" w:rsidRDefault="008B1D54">
      <w:pPr>
        <w:pStyle w:val="FootnoteText"/>
      </w:pPr>
      <w:r>
        <w:rPr>
          <w:rStyle w:val="FootnoteReference"/>
        </w:rPr>
        <w:footnoteRef/>
      </w:r>
      <w:r>
        <w:t xml:space="preserve"> Practice proposed in Armenia CGAP </w:t>
      </w:r>
    </w:p>
  </w:footnote>
  <w:footnote w:id="19">
    <w:p w14:paraId="6521F20A" w14:textId="77777777" w:rsidR="008B1D54" w:rsidRDefault="008B1D54" w:rsidP="008A2715">
      <w:pPr>
        <w:pStyle w:val="FootnoteText"/>
      </w:pPr>
      <w:r>
        <w:rPr>
          <w:rStyle w:val="FootnoteReference"/>
        </w:rPr>
        <w:footnoteRef/>
      </w:r>
      <w:r>
        <w:t xml:space="preserve"> Min of Education Statistics for university enrollment by field and gender for 2015-2016: </w:t>
      </w:r>
      <w:hyperlink r:id="rId7" w:history="1">
        <w:r w:rsidRPr="0057424E">
          <w:rPr>
            <w:rStyle w:val="Hyperlink"/>
          </w:rPr>
          <w:t>http://www.statistica.md/public/files/publicatii_electronice/Educatia/Educatia_RM_2016.pdf</w:t>
        </w:r>
      </w:hyperlink>
    </w:p>
  </w:footnote>
  <w:footnote w:id="20">
    <w:p w14:paraId="624F58E6" w14:textId="77777777" w:rsidR="008B1D54" w:rsidRPr="00200C3D" w:rsidRDefault="008B1D54" w:rsidP="008A2715">
      <w:pPr>
        <w:pStyle w:val="FootnoteText"/>
        <w:rPr>
          <w:rFonts w:ascii="Times New Roman" w:hAnsi="Times New Roman" w:cs="Times New Roman"/>
          <w:sz w:val="18"/>
          <w:szCs w:val="18"/>
        </w:rPr>
      </w:pPr>
      <w:r w:rsidRPr="00200C3D">
        <w:rPr>
          <w:rStyle w:val="FootnoteReference"/>
          <w:rFonts w:ascii="Times New Roman" w:hAnsi="Times New Roman" w:cs="Times New Roman"/>
          <w:sz w:val="18"/>
          <w:szCs w:val="18"/>
        </w:rPr>
        <w:footnoteRef/>
      </w:r>
      <w:r w:rsidRPr="00200C3D">
        <w:rPr>
          <w:rFonts w:ascii="Times New Roman" w:hAnsi="Times New Roman" w:cs="Times New Roman"/>
          <w:sz w:val="18"/>
          <w:szCs w:val="18"/>
        </w:rPr>
        <w:t xml:space="preserve"> </w:t>
      </w:r>
      <w:r w:rsidRPr="00A01140">
        <w:rPr>
          <w:rFonts w:ascii="Times New Roman" w:hAnsi="Times New Roman" w:cs="Times New Roman"/>
          <w:color w:val="000000"/>
          <w:sz w:val="18"/>
          <w:szCs w:val="18"/>
        </w:rPr>
        <w:t>Based on Europe’s Digital Agenda and Europe 2020 Initiative, the ICT sector would bring an additional profit of 9 billion euro if women would be engaged more efficiently in technological occupations.</w:t>
      </w:r>
    </w:p>
  </w:footnote>
  <w:footnote w:id="21">
    <w:p w14:paraId="191265A5" w14:textId="77777777" w:rsidR="008B1D54" w:rsidRDefault="008B1D54" w:rsidP="008A2715">
      <w:pPr>
        <w:pStyle w:val="FootnoteText"/>
      </w:pPr>
      <w:r w:rsidRPr="00A01140">
        <w:rPr>
          <w:rStyle w:val="FootnoteReference"/>
          <w:rFonts w:ascii="Times New Roman" w:hAnsi="Times New Roman" w:cs="Times New Roman"/>
          <w:sz w:val="18"/>
          <w:szCs w:val="18"/>
        </w:rPr>
        <w:footnoteRef/>
      </w:r>
      <w:r w:rsidRPr="00A01140">
        <w:rPr>
          <w:rFonts w:ascii="Times New Roman" w:hAnsi="Times New Roman" w:cs="Times New Roman"/>
          <w:sz w:val="18"/>
          <w:szCs w:val="18"/>
        </w:rPr>
        <w:t xml:space="preserve"> National Gender Equality Strategy 2016-2020</w:t>
      </w:r>
    </w:p>
  </w:footnote>
  <w:footnote w:id="22">
    <w:p w14:paraId="71D2289B" w14:textId="246E7F86" w:rsidR="008B1D54" w:rsidRPr="00DE6853" w:rsidRDefault="008B1D54" w:rsidP="008A2715">
      <w:pPr>
        <w:autoSpaceDE w:val="0"/>
        <w:autoSpaceDN w:val="0"/>
        <w:adjustRightInd w:val="0"/>
        <w:spacing w:after="0" w:line="240" w:lineRule="auto"/>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The </w:t>
      </w:r>
      <w:r w:rsidRPr="00DE6853">
        <w:rPr>
          <w:rFonts w:ascii="Times New Roman" w:hAnsi="Times New Roman" w:cs="Times New Roman"/>
          <w:color w:val="000000"/>
          <w:sz w:val="18"/>
          <w:szCs w:val="18"/>
        </w:rPr>
        <w:t xml:space="preserve">Gender Equality Index in the labor market was calculated based on 5 indicators: occupation rate; occupation rate of the population aged 25-49; people who have at least 1 child aged 0-6, vertical segregation, horizontal segregation, and informal occupation rate, except </w:t>
      </w:r>
      <w:r>
        <w:rPr>
          <w:rFonts w:ascii="Times New Roman" w:hAnsi="Times New Roman" w:cs="Times New Roman"/>
          <w:color w:val="000000"/>
          <w:sz w:val="18"/>
          <w:szCs w:val="18"/>
        </w:rPr>
        <w:t xml:space="preserve">in the </w:t>
      </w:r>
      <w:r w:rsidRPr="00DE6853">
        <w:rPr>
          <w:rFonts w:ascii="Times New Roman" w:hAnsi="Times New Roman" w:cs="Times New Roman"/>
          <w:color w:val="000000"/>
          <w:sz w:val="18"/>
          <w:szCs w:val="18"/>
        </w:rPr>
        <w:t xml:space="preserve">agriculture field. More details on </w:t>
      </w:r>
      <w:r>
        <w:rPr>
          <w:rFonts w:ascii="Times New Roman" w:hAnsi="Times New Roman" w:cs="Times New Roman"/>
          <w:color w:val="000000"/>
          <w:sz w:val="18"/>
          <w:szCs w:val="18"/>
        </w:rPr>
        <w:t xml:space="preserve">the </w:t>
      </w:r>
      <w:r w:rsidRPr="00DE6853">
        <w:rPr>
          <w:rFonts w:ascii="Times New Roman" w:hAnsi="Times New Roman" w:cs="Times New Roman"/>
          <w:color w:val="000000"/>
          <w:sz w:val="18"/>
          <w:szCs w:val="18"/>
        </w:rPr>
        <w:t xml:space="preserve">Gender Equality Index </w:t>
      </w:r>
      <w:r>
        <w:rPr>
          <w:rFonts w:ascii="Times New Roman" w:hAnsi="Times New Roman" w:cs="Times New Roman"/>
          <w:color w:val="000000"/>
          <w:sz w:val="18"/>
          <w:szCs w:val="18"/>
        </w:rPr>
        <w:t xml:space="preserve">can be found </w:t>
      </w:r>
      <w:r w:rsidRPr="00DE6853">
        <w:rPr>
          <w:rFonts w:ascii="Times New Roman" w:hAnsi="Times New Roman" w:cs="Times New Roman"/>
          <w:color w:val="000000"/>
          <w:sz w:val="18"/>
          <w:szCs w:val="18"/>
        </w:rPr>
        <w:t>at ht</w:t>
      </w:r>
      <w:r w:rsidRPr="00DE6853">
        <w:rPr>
          <w:rFonts w:ascii="Times New Roman" w:hAnsi="Times New Roman" w:cs="Times New Roman"/>
          <w:color w:val="0000FF"/>
          <w:sz w:val="18"/>
          <w:szCs w:val="18"/>
        </w:rPr>
        <w:t>tp://progen.md/files/7562_raport_indexul_egalitatii_gen_2015final.pdf</w:t>
      </w:r>
    </w:p>
  </w:footnote>
  <w:footnote w:id="23">
    <w:p w14:paraId="266CAEF5" w14:textId="3E1F08AD" w:rsidR="008B1D54" w:rsidRPr="00DE6853" w:rsidRDefault="008B1D54" w:rsidP="008A2715">
      <w:pPr>
        <w:pStyle w:val="FootnoteText"/>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Recommendations for the National Strategy on Labor Force Participation 2017-2021, study conducted by Partnership for Development Center with support of </w:t>
      </w:r>
      <w:r>
        <w:rPr>
          <w:rFonts w:ascii="Times New Roman" w:hAnsi="Times New Roman" w:cs="Times New Roman"/>
          <w:sz w:val="18"/>
          <w:szCs w:val="18"/>
        </w:rPr>
        <w:t xml:space="preserve">the </w:t>
      </w:r>
      <w:r w:rsidRPr="00DE6853">
        <w:rPr>
          <w:rFonts w:ascii="Times New Roman" w:hAnsi="Times New Roman" w:cs="Times New Roman"/>
          <w:sz w:val="18"/>
          <w:szCs w:val="18"/>
        </w:rPr>
        <w:t>East-European Foundation</w:t>
      </w:r>
    </w:p>
  </w:footnote>
  <w:footnote w:id="24">
    <w:p w14:paraId="3280AF2B" w14:textId="731680EF" w:rsidR="008B1D54" w:rsidRPr="00C57519" w:rsidRDefault="008B1D54" w:rsidP="008A2715">
      <w:pPr>
        <w:pStyle w:val="FootnoteText"/>
        <w:rPr>
          <w:rFonts w:ascii="Times New Roman" w:hAnsi="Times New Roman" w:cs="Times New Roman"/>
        </w:rPr>
      </w:pPr>
      <w:r w:rsidRPr="00C57519">
        <w:rPr>
          <w:rStyle w:val="FootnoteReference"/>
          <w:rFonts w:ascii="Times New Roman" w:hAnsi="Times New Roman" w:cs="Times New Roman"/>
        </w:rPr>
        <w:footnoteRef/>
      </w:r>
      <w:r w:rsidRPr="00C57519">
        <w:rPr>
          <w:rFonts w:ascii="Times New Roman" w:hAnsi="Times New Roman" w:cs="Times New Roman"/>
        </w:rPr>
        <w:t xml:space="preserve"> </w:t>
      </w:r>
      <w:r w:rsidRPr="00C57519">
        <w:rPr>
          <w:rFonts w:ascii="Times New Roman" w:hAnsi="Times New Roman" w:cs="Times New Roman"/>
          <w:sz w:val="18"/>
          <w:szCs w:val="18"/>
        </w:rPr>
        <w:t>In 2013, 15% of women returned to work</w:t>
      </w:r>
      <w:r>
        <w:rPr>
          <w:rFonts w:ascii="Times New Roman" w:hAnsi="Times New Roman" w:cs="Times New Roman"/>
          <w:sz w:val="18"/>
          <w:szCs w:val="18"/>
        </w:rPr>
        <w:t>.</w:t>
      </w:r>
      <w:r w:rsidRPr="00C57519">
        <w:rPr>
          <w:rFonts w:ascii="Times New Roman" w:hAnsi="Times New Roman" w:cs="Times New Roman"/>
          <w:sz w:val="18"/>
          <w:szCs w:val="18"/>
        </w:rPr>
        <w:t xml:space="preserve"> </w:t>
      </w:r>
      <w:r>
        <w:rPr>
          <w:rFonts w:ascii="Times New Roman" w:hAnsi="Times New Roman" w:cs="Times New Roman"/>
          <w:sz w:val="18"/>
          <w:szCs w:val="18"/>
        </w:rPr>
        <w:t>I</w:t>
      </w:r>
      <w:r w:rsidRPr="00C57519">
        <w:rPr>
          <w:rFonts w:ascii="Times New Roman" w:hAnsi="Times New Roman" w:cs="Times New Roman"/>
          <w:sz w:val="18"/>
          <w:szCs w:val="18"/>
        </w:rPr>
        <w:t>n 2014</w:t>
      </w:r>
      <w:r>
        <w:rPr>
          <w:rFonts w:ascii="Times New Roman" w:hAnsi="Times New Roman" w:cs="Times New Roman"/>
          <w:sz w:val="18"/>
          <w:szCs w:val="18"/>
        </w:rPr>
        <w:t>,</w:t>
      </w:r>
      <w:r w:rsidRPr="00C57519">
        <w:rPr>
          <w:rFonts w:ascii="Times New Roman" w:hAnsi="Times New Roman" w:cs="Times New Roman"/>
          <w:sz w:val="18"/>
          <w:szCs w:val="18"/>
        </w:rPr>
        <w:t xml:space="preserve"> this number </w:t>
      </w:r>
      <w:r>
        <w:rPr>
          <w:rFonts w:ascii="Times New Roman" w:hAnsi="Times New Roman" w:cs="Times New Roman"/>
          <w:sz w:val="18"/>
          <w:szCs w:val="18"/>
        </w:rPr>
        <w:t>declined to</w:t>
      </w:r>
      <w:r w:rsidRPr="00C57519">
        <w:rPr>
          <w:rFonts w:ascii="Times New Roman" w:hAnsi="Times New Roman" w:cs="Times New Roman"/>
          <w:sz w:val="18"/>
          <w:szCs w:val="18"/>
        </w:rPr>
        <w:t xml:space="preserve"> 11% (Moldova Social Report, 2014)</w:t>
      </w:r>
      <w:r>
        <w:rPr>
          <w:rFonts w:ascii="Times New Roman" w:hAnsi="Times New Roman" w:cs="Times New Roman"/>
          <w:sz w:val="18"/>
          <w:szCs w:val="18"/>
        </w:rPr>
        <w:t>.</w:t>
      </w:r>
    </w:p>
  </w:footnote>
  <w:footnote w:id="25">
    <w:p w14:paraId="0DCCC703" w14:textId="77777777" w:rsidR="008B1D54" w:rsidRPr="00DE6853" w:rsidRDefault="008B1D54" w:rsidP="008A2715">
      <w:pPr>
        <w:pStyle w:val="FootnoteText"/>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Source: </w:t>
      </w:r>
      <w:r w:rsidRPr="00DE6853">
        <w:rPr>
          <w:rFonts w:ascii="Times New Roman" w:hAnsi="Times New Roman" w:cs="Times New Roman"/>
          <w:iCs/>
          <w:sz w:val="18"/>
          <w:szCs w:val="18"/>
        </w:rPr>
        <w:t>OECD Family Database cited by PDC in its study</w:t>
      </w:r>
      <w:r w:rsidRPr="00DE6853">
        <w:rPr>
          <w:rFonts w:ascii="Times New Roman" w:hAnsi="Times New Roman" w:cs="Times New Roman"/>
          <w:i/>
          <w:iCs/>
          <w:sz w:val="18"/>
          <w:szCs w:val="18"/>
        </w:rPr>
        <w:t xml:space="preserve"> </w:t>
      </w:r>
      <w:hyperlink r:id="rId8" w:history="1">
        <w:r w:rsidRPr="00DE6853">
          <w:rPr>
            <w:rStyle w:val="Hyperlink"/>
            <w:rFonts w:ascii="Times New Roman" w:hAnsi="Times New Roman" w:cs="Times New Roman"/>
            <w:sz w:val="18"/>
            <w:szCs w:val="18"/>
          </w:rPr>
          <w:t>http://progen.md/files/7562_raport_indexul_egalitatii_gen_2015final.pdf</w:t>
        </w:r>
      </w:hyperlink>
    </w:p>
  </w:footnote>
  <w:footnote w:id="26">
    <w:p w14:paraId="03FB6F06" w14:textId="77777777" w:rsidR="008B1D54" w:rsidRPr="00DE6853" w:rsidRDefault="008B1D54" w:rsidP="008A2715">
      <w:pPr>
        <w:pStyle w:val="FootnoteText"/>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Omnibus</w:t>
      </w:r>
      <w:r w:rsidRPr="00DE6853">
        <w:rPr>
          <w:rFonts w:ascii="Times New Roman" w:hAnsi="Times New Roman" w:cs="Times New Roman"/>
          <w:sz w:val="18"/>
          <w:szCs w:val="18"/>
        </w:rPr>
        <w:t xml:space="preserve"> Survey, Center for Development Partnership,</w:t>
      </w:r>
      <w:r w:rsidRPr="00DE6853">
        <w:rPr>
          <w:rFonts w:ascii="Times New Roman" w:hAnsi="Times New Roman" w:cs="Times New Roman"/>
          <w:color w:val="000000"/>
          <w:sz w:val="18"/>
          <w:szCs w:val="18"/>
        </w:rPr>
        <w:t xml:space="preserve"> 2015</w:t>
      </w:r>
    </w:p>
  </w:footnote>
  <w:footnote w:id="27">
    <w:p w14:paraId="5FDEDDBE" w14:textId="77777777" w:rsidR="008B1D54" w:rsidRPr="00DE6853" w:rsidRDefault="008B1D54" w:rsidP="008A2715">
      <w:pPr>
        <w:pStyle w:val="FootnoteText"/>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Gender Equality Strategy, 2016-2020</w:t>
      </w:r>
    </w:p>
  </w:footnote>
  <w:footnote w:id="28">
    <w:p w14:paraId="03EDB471" w14:textId="77777777" w:rsidR="008B1D54" w:rsidRDefault="008B1D54" w:rsidP="008A2715">
      <w:pPr>
        <w:pStyle w:val="FootnoteText"/>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Cited in Moldova Social Institutions and Gender Index (SIGI) </w:t>
      </w:r>
      <w:hyperlink r:id="rId9" w:history="1">
        <w:r w:rsidRPr="00DE6853">
          <w:rPr>
            <w:rStyle w:val="Hyperlink"/>
            <w:rFonts w:ascii="Times New Roman" w:hAnsi="Times New Roman" w:cs="Times New Roman"/>
            <w:sz w:val="18"/>
            <w:szCs w:val="18"/>
          </w:rPr>
          <w:t>http://www.genderindex.org/country/moldova</w:t>
        </w:r>
      </w:hyperlink>
      <w:r w:rsidRPr="00F62382">
        <w:rPr>
          <w:rFonts w:ascii="Times New Roman" w:hAnsi="Times New Roman" w:cs="Times New Roman"/>
        </w:rPr>
        <w:t xml:space="preserve"> </w:t>
      </w:r>
    </w:p>
  </w:footnote>
  <w:footnote w:id="29">
    <w:p w14:paraId="5130148A" w14:textId="77777777" w:rsidR="008B1D54" w:rsidRDefault="008B1D54" w:rsidP="008A2715">
      <w:pPr>
        <w:pStyle w:val="FootnoteText"/>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Ibid</w:t>
      </w:r>
    </w:p>
  </w:footnote>
  <w:footnote w:id="30">
    <w:p w14:paraId="638DAC9E" w14:textId="77777777" w:rsidR="008B1D54" w:rsidRPr="00DE6853" w:rsidRDefault="008B1D54" w:rsidP="00967DA0">
      <w:pPr>
        <w:spacing w:after="0" w:line="240" w:lineRule="auto"/>
        <w:jc w:val="both"/>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Compiled by the United Nations Statistics Division from Demographic and Health Surveys (DHS), Reproductive Health Surveys (RHS) and Multiple Indicator Cluster Surveys (MICS).(ICF International, 2014, CDC, 2014 and UNICEF, 2014c).</w:t>
      </w:r>
    </w:p>
    <w:p w14:paraId="4D240E8D" w14:textId="77777777" w:rsidR="008B1D54" w:rsidRPr="00E53C3A" w:rsidRDefault="008B1D54" w:rsidP="00967DA0">
      <w:pPr>
        <w:spacing w:after="0" w:line="240" w:lineRule="auto"/>
        <w:jc w:val="both"/>
        <w:rPr>
          <w:rFonts w:ascii="Times New Roman" w:hAnsi="Times New Roman" w:cs="Times New Roman"/>
          <w:sz w:val="16"/>
        </w:rPr>
      </w:pPr>
      <w:r w:rsidRPr="00DE6853">
        <w:rPr>
          <w:rFonts w:ascii="Times New Roman" w:hAnsi="Times New Roman" w:cs="Times New Roman"/>
          <w:sz w:val="18"/>
          <w:szCs w:val="18"/>
        </w:rPr>
        <w:t>Taken from:  UNWomen 2015. World’s Women. New York</w:t>
      </w:r>
      <w:r>
        <w:rPr>
          <w:rFonts w:ascii="Times New Roman" w:hAnsi="Times New Roman" w:cs="Times New Roman"/>
          <w:sz w:val="18"/>
          <w:szCs w:val="18"/>
        </w:rPr>
        <w:t>, c</w:t>
      </w:r>
      <w:r w:rsidRPr="00DE6853">
        <w:rPr>
          <w:rFonts w:ascii="Times New Roman" w:hAnsi="Times New Roman" w:cs="Times New Roman"/>
          <w:sz w:val="18"/>
          <w:szCs w:val="18"/>
        </w:rPr>
        <w:t>ited in World Bank. 2016. ECA RGAP 17-20 DRAFT</w:t>
      </w:r>
    </w:p>
  </w:footnote>
  <w:footnote w:id="31">
    <w:p w14:paraId="3C90C288" w14:textId="77777777" w:rsidR="008B1D54" w:rsidRPr="00DE6853" w:rsidRDefault="008B1D54" w:rsidP="008A2715">
      <w:pPr>
        <w:pStyle w:val="FootnoteText"/>
        <w:rPr>
          <w:rFonts w:ascii="Times New Roman" w:hAnsi="Times New Roman" w:cs="Times New Roman"/>
          <w:sz w:val="18"/>
          <w:szCs w:val="18"/>
        </w:rPr>
      </w:pPr>
      <w:r w:rsidRPr="00DE6853">
        <w:rPr>
          <w:rStyle w:val="FootnoteReference"/>
          <w:rFonts w:ascii="Times New Roman" w:hAnsi="Times New Roman" w:cs="Times New Roman"/>
          <w:sz w:val="18"/>
          <w:szCs w:val="18"/>
        </w:rPr>
        <w:footnoteRef/>
      </w:r>
      <w:r w:rsidRPr="00DE6853">
        <w:rPr>
          <w:rFonts w:ascii="Times New Roman" w:hAnsi="Times New Roman" w:cs="Times New Roman"/>
          <w:sz w:val="18"/>
          <w:szCs w:val="18"/>
        </w:rPr>
        <w:t xml:space="preserve"> Gender Equality Strategy, 2016-2020</w:t>
      </w:r>
    </w:p>
  </w:footnote>
  <w:footnote w:id="32">
    <w:p w14:paraId="4F0745EA" w14:textId="77777777" w:rsidR="008B1D54" w:rsidRDefault="008B1D54" w:rsidP="008A2715">
      <w:pPr>
        <w:pStyle w:val="FootnoteText"/>
      </w:pPr>
      <w:r>
        <w:rPr>
          <w:rStyle w:val="FootnoteReference"/>
        </w:rPr>
        <w:footnoteRef/>
      </w:r>
      <w:r>
        <w:t xml:space="preserve"> </w:t>
      </w:r>
      <w:r w:rsidRPr="00DE6853">
        <w:rPr>
          <w:rFonts w:ascii="Times New Roman" w:hAnsi="Times New Roman" w:cs="Times New Roman"/>
          <w:sz w:val="18"/>
          <w:szCs w:val="18"/>
        </w:rPr>
        <w:t>Gender Equality Strategy, 2016-2020</w:t>
      </w:r>
    </w:p>
  </w:footnote>
  <w:footnote w:id="33">
    <w:p w14:paraId="6512037D" w14:textId="77777777" w:rsidR="008B1D54" w:rsidRPr="00F62382" w:rsidRDefault="008B1D54" w:rsidP="008A2715">
      <w:pPr>
        <w:pStyle w:val="FootnoteText"/>
        <w:rPr>
          <w:rFonts w:ascii="Times New Roman" w:hAnsi="Times New Roman" w:cs="Times New Roman"/>
        </w:rPr>
      </w:pPr>
      <w:r w:rsidRPr="00F62382">
        <w:rPr>
          <w:rStyle w:val="FootnoteReference"/>
          <w:rFonts w:ascii="Times New Roman" w:hAnsi="Times New Roman" w:cs="Times New Roman"/>
        </w:rPr>
        <w:footnoteRef/>
      </w:r>
      <w:r w:rsidRPr="00F62382">
        <w:rPr>
          <w:rFonts w:ascii="Times New Roman" w:hAnsi="Times New Roman" w:cs="Times New Roman"/>
        </w:rPr>
        <w:t xml:space="preserve"> </w:t>
      </w:r>
      <w:r w:rsidRPr="00DE6853">
        <w:rPr>
          <w:rFonts w:ascii="Times New Roman" w:hAnsi="Times New Roman" w:cs="Times New Roman"/>
          <w:sz w:val="18"/>
          <w:szCs w:val="18"/>
        </w:rPr>
        <w:t>Gender Equality Strategy, 2016-2020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91"/>
    <w:multiLevelType w:val="hybridMultilevel"/>
    <w:tmpl w:val="862A7134"/>
    <w:lvl w:ilvl="0" w:tplc="A74E02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00976"/>
    <w:multiLevelType w:val="hybridMultilevel"/>
    <w:tmpl w:val="D2BA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90F56"/>
    <w:multiLevelType w:val="hybridMultilevel"/>
    <w:tmpl w:val="96945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5EE8"/>
    <w:multiLevelType w:val="hybridMultilevel"/>
    <w:tmpl w:val="7C845DBE"/>
    <w:lvl w:ilvl="0" w:tplc="ABF0C5E8">
      <w:start w:val="1"/>
      <w:numFmt w:val="bullet"/>
      <w:lvlText w:val="•"/>
      <w:lvlJc w:val="left"/>
      <w:pPr>
        <w:tabs>
          <w:tab w:val="num" w:pos="720"/>
        </w:tabs>
        <w:ind w:left="720" w:hanging="360"/>
      </w:pPr>
      <w:rPr>
        <w:rFonts w:ascii="Arial" w:hAnsi="Arial" w:hint="default"/>
      </w:rPr>
    </w:lvl>
    <w:lvl w:ilvl="1" w:tplc="0DE0C250" w:tentative="1">
      <w:start w:val="1"/>
      <w:numFmt w:val="bullet"/>
      <w:lvlText w:val="•"/>
      <w:lvlJc w:val="left"/>
      <w:pPr>
        <w:tabs>
          <w:tab w:val="num" w:pos="1440"/>
        </w:tabs>
        <w:ind w:left="1440" w:hanging="360"/>
      </w:pPr>
      <w:rPr>
        <w:rFonts w:ascii="Arial" w:hAnsi="Arial" w:hint="default"/>
      </w:rPr>
    </w:lvl>
    <w:lvl w:ilvl="2" w:tplc="09C4DF74" w:tentative="1">
      <w:start w:val="1"/>
      <w:numFmt w:val="bullet"/>
      <w:lvlText w:val="•"/>
      <w:lvlJc w:val="left"/>
      <w:pPr>
        <w:tabs>
          <w:tab w:val="num" w:pos="2160"/>
        </w:tabs>
        <w:ind w:left="2160" w:hanging="360"/>
      </w:pPr>
      <w:rPr>
        <w:rFonts w:ascii="Arial" w:hAnsi="Arial" w:hint="default"/>
      </w:rPr>
    </w:lvl>
    <w:lvl w:ilvl="3" w:tplc="069AC60C" w:tentative="1">
      <w:start w:val="1"/>
      <w:numFmt w:val="bullet"/>
      <w:lvlText w:val="•"/>
      <w:lvlJc w:val="left"/>
      <w:pPr>
        <w:tabs>
          <w:tab w:val="num" w:pos="2880"/>
        </w:tabs>
        <w:ind w:left="2880" w:hanging="360"/>
      </w:pPr>
      <w:rPr>
        <w:rFonts w:ascii="Arial" w:hAnsi="Arial" w:hint="default"/>
      </w:rPr>
    </w:lvl>
    <w:lvl w:ilvl="4" w:tplc="4546E0BC" w:tentative="1">
      <w:start w:val="1"/>
      <w:numFmt w:val="bullet"/>
      <w:lvlText w:val="•"/>
      <w:lvlJc w:val="left"/>
      <w:pPr>
        <w:tabs>
          <w:tab w:val="num" w:pos="3600"/>
        </w:tabs>
        <w:ind w:left="3600" w:hanging="360"/>
      </w:pPr>
      <w:rPr>
        <w:rFonts w:ascii="Arial" w:hAnsi="Arial" w:hint="default"/>
      </w:rPr>
    </w:lvl>
    <w:lvl w:ilvl="5" w:tplc="25360572" w:tentative="1">
      <w:start w:val="1"/>
      <w:numFmt w:val="bullet"/>
      <w:lvlText w:val="•"/>
      <w:lvlJc w:val="left"/>
      <w:pPr>
        <w:tabs>
          <w:tab w:val="num" w:pos="4320"/>
        </w:tabs>
        <w:ind w:left="4320" w:hanging="360"/>
      </w:pPr>
      <w:rPr>
        <w:rFonts w:ascii="Arial" w:hAnsi="Arial" w:hint="default"/>
      </w:rPr>
    </w:lvl>
    <w:lvl w:ilvl="6" w:tplc="26BEC5C8" w:tentative="1">
      <w:start w:val="1"/>
      <w:numFmt w:val="bullet"/>
      <w:lvlText w:val="•"/>
      <w:lvlJc w:val="left"/>
      <w:pPr>
        <w:tabs>
          <w:tab w:val="num" w:pos="5040"/>
        </w:tabs>
        <w:ind w:left="5040" w:hanging="360"/>
      </w:pPr>
      <w:rPr>
        <w:rFonts w:ascii="Arial" w:hAnsi="Arial" w:hint="default"/>
      </w:rPr>
    </w:lvl>
    <w:lvl w:ilvl="7" w:tplc="219CB9BE" w:tentative="1">
      <w:start w:val="1"/>
      <w:numFmt w:val="bullet"/>
      <w:lvlText w:val="•"/>
      <w:lvlJc w:val="left"/>
      <w:pPr>
        <w:tabs>
          <w:tab w:val="num" w:pos="5760"/>
        </w:tabs>
        <w:ind w:left="5760" w:hanging="360"/>
      </w:pPr>
      <w:rPr>
        <w:rFonts w:ascii="Arial" w:hAnsi="Arial" w:hint="default"/>
      </w:rPr>
    </w:lvl>
    <w:lvl w:ilvl="8" w:tplc="64080B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B78F0"/>
    <w:multiLevelType w:val="hybridMultilevel"/>
    <w:tmpl w:val="DDE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A3898"/>
    <w:multiLevelType w:val="hybridMultilevel"/>
    <w:tmpl w:val="4D08A07E"/>
    <w:lvl w:ilvl="0" w:tplc="8452A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1939"/>
    <w:multiLevelType w:val="hybridMultilevel"/>
    <w:tmpl w:val="345C1372"/>
    <w:lvl w:ilvl="0" w:tplc="3F44814E">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243F92"/>
    <w:multiLevelType w:val="hybridMultilevel"/>
    <w:tmpl w:val="188E6A0E"/>
    <w:lvl w:ilvl="0" w:tplc="0732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71D61"/>
    <w:multiLevelType w:val="hybridMultilevel"/>
    <w:tmpl w:val="B2B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61073"/>
    <w:multiLevelType w:val="hybridMultilevel"/>
    <w:tmpl w:val="0B5C2AE4"/>
    <w:lvl w:ilvl="0" w:tplc="A642D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9639B"/>
    <w:multiLevelType w:val="hybridMultilevel"/>
    <w:tmpl w:val="03504E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332C"/>
    <w:multiLevelType w:val="hybridMultilevel"/>
    <w:tmpl w:val="5762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3D6"/>
    <w:multiLevelType w:val="hybridMultilevel"/>
    <w:tmpl w:val="56763FC2"/>
    <w:lvl w:ilvl="0" w:tplc="03FAF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33496"/>
    <w:multiLevelType w:val="hybridMultilevel"/>
    <w:tmpl w:val="7010A99C"/>
    <w:lvl w:ilvl="0" w:tplc="68088B38">
      <w:start w:val="1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D40AD"/>
    <w:multiLevelType w:val="hybridMultilevel"/>
    <w:tmpl w:val="79B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07D82"/>
    <w:multiLevelType w:val="hybridMultilevel"/>
    <w:tmpl w:val="FA84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3941"/>
    <w:multiLevelType w:val="hybridMultilevel"/>
    <w:tmpl w:val="49BE5D9E"/>
    <w:lvl w:ilvl="0" w:tplc="F16C554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55AA1"/>
    <w:multiLevelType w:val="hybridMultilevel"/>
    <w:tmpl w:val="0B08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32ACA"/>
    <w:multiLevelType w:val="hybridMultilevel"/>
    <w:tmpl w:val="0010D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11663"/>
    <w:multiLevelType w:val="multilevel"/>
    <w:tmpl w:val="A8BCA8A0"/>
    <w:lvl w:ilvl="0">
      <w:start w:val="1"/>
      <w:numFmt w:val="decimal"/>
      <w:pStyle w:val="Heading1"/>
      <w:lvlText w:val="CHAPTER %1"/>
      <w:lvlJc w:val="left"/>
      <w:pPr>
        <w:tabs>
          <w:tab w:val="num" w:pos="7372"/>
        </w:tabs>
        <w:ind w:left="7732" w:hanging="360"/>
      </w:pPr>
      <w:rPr>
        <w:rFonts w:ascii="Times New Roman Bold" w:hAnsi="Times New Roman Bold" w:cs="Times New Roman" w:hint="default"/>
        <w:b/>
        <w:bCs w:val="0"/>
        <w:i w:val="0"/>
        <w:iCs w:val="0"/>
        <w:caps w:val="0"/>
        <w:smallCaps/>
        <w:strike w:val="0"/>
        <w:dstrike w:val="0"/>
        <w:vanish w:val="0"/>
        <w:color w:val="000000"/>
        <w:spacing w:val="0"/>
        <w:kern w:val="0"/>
        <w:position w:val="0"/>
        <w:sz w:val="28"/>
        <w:szCs w:val="28"/>
        <w:u w:val="none"/>
        <w:vertAlign w:val="baseline"/>
        <w:em w:val="none"/>
      </w:rPr>
    </w:lvl>
    <w:lvl w:ilvl="1">
      <w:start w:val="1"/>
      <w:numFmt w:val="decimal"/>
      <w:pStyle w:val="MainParawithChapter"/>
      <w:lvlText w:val="%1.%2"/>
      <w:lvlJc w:val="left"/>
      <w:pPr>
        <w:tabs>
          <w:tab w:val="num" w:pos="720"/>
        </w:tabs>
        <w:ind w:left="0" w:firstLine="0"/>
      </w:pPr>
      <w:rPr>
        <w:rFonts w:ascii="Times New Roman" w:hAnsi="Times New Roman" w:hint="default"/>
        <w:b w:val="0"/>
        <w:i w:val="0"/>
        <w:sz w:val="22"/>
        <w:szCs w:val="22"/>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0" w15:restartNumberingAfterBreak="0">
    <w:nsid w:val="7D0A2EE4"/>
    <w:multiLevelType w:val="hybridMultilevel"/>
    <w:tmpl w:val="4F840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4"/>
  </w:num>
  <w:num w:numId="5">
    <w:abstractNumId w:val="18"/>
  </w:num>
  <w:num w:numId="6">
    <w:abstractNumId w:val="12"/>
  </w:num>
  <w:num w:numId="7">
    <w:abstractNumId w:val="5"/>
  </w:num>
  <w:num w:numId="8">
    <w:abstractNumId w:val="4"/>
  </w:num>
  <w:num w:numId="9">
    <w:abstractNumId w:val="10"/>
  </w:num>
  <w:num w:numId="10">
    <w:abstractNumId w:val="2"/>
  </w:num>
  <w:num w:numId="11">
    <w:abstractNumId w:val="17"/>
  </w:num>
  <w:num w:numId="12">
    <w:abstractNumId w:val="11"/>
  </w:num>
  <w:num w:numId="13">
    <w:abstractNumId w:val="1"/>
  </w:num>
  <w:num w:numId="14">
    <w:abstractNumId w:val="0"/>
  </w:num>
  <w:num w:numId="15">
    <w:abstractNumId w:val="9"/>
  </w:num>
  <w:num w:numId="16">
    <w:abstractNumId w:val="16"/>
  </w:num>
  <w:num w:numId="17">
    <w:abstractNumId w:val="6"/>
  </w:num>
  <w:num w:numId="18">
    <w:abstractNumId w:val="7"/>
  </w:num>
  <w:num w:numId="19">
    <w:abstractNumId w:val="3"/>
  </w:num>
  <w:num w:numId="20">
    <w:abstractNumId w:val="13"/>
  </w:num>
  <w:num w:numId="21">
    <w:abstractNumId w:val="20"/>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C6"/>
    <w:rsid w:val="00000D9D"/>
    <w:rsid w:val="00001510"/>
    <w:rsid w:val="00011D80"/>
    <w:rsid w:val="000138D8"/>
    <w:rsid w:val="0002307D"/>
    <w:rsid w:val="000317B5"/>
    <w:rsid w:val="00035B44"/>
    <w:rsid w:val="00040E4F"/>
    <w:rsid w:val="00043F1C"/>
    <w:rsid w:val="00046341"/>
    <w:rsid w:val="000512A6"/>
    <w:rsid w:val="000523E5"/>
    <w:rsid w:val="00052B02"/>
    <w:rsid w:val="0006469B"/>
    <w:rsid w:val="00067826"/>
    <w:rsid w:val="00071813"/>
    <w:rsid w:val="0008061F"/>
    <w:rsid w:val="00086356"/>
    <w:rsid w:val="00087761"/>
    <w:rsid w:val="00092610"/>
    <w:rsid w:val="00093D7B"/>
    <w:rsid w:val="00093F2A"/>
    <w:rsid w:val="0009462E"/>
    <w:rsid w:val="000963EA"/>
    <w:rsid w:val="000972B7"/>
    <w:rsid w:val="000A1A20"/>
    <w:rsid w:val="000A335E"/>
    <w:rsid w:val="000A532E"/>
    <w:rsid w:val="000B0DC7"/>
    <w:rsid w:val="000B234D"/>
    <w:rsid w:val="000B4E3A"/>
    <w:rsid w:val="000B6CA7"/>
    <w:rsid w:val="000C3CDC"/>
    <w:rsid w:val="000C5970"/>
    <w:rsid w:val="000C618B"/>
    <w:rsid w:val="000D2BB6"/>
    <w:rsid w:val="000D2EC3"/>
    <w:rsid w:val="000E34D6"/>
    <w:rsid w:val="000E4D21"/>
    <w:rsid w:val="000F4509"/>
    <w:rsid w:val="00100C4D"/>
    <w:rsid w:val="00103D4E"/>
    <w:rsid w:val="00106B12"/>
    <w:rsid w:val="00110004"/>
    <w:rsid w:val="00117658"/>
    <w:rsid w:val="00117E7F"/>
    <w:rsid w:val="001209DD"/>
    <w:rsid w:val="00120C91"/>
    <w:rsid w:val="0012651A"/>
    <w:rsid w:val="001266BE"/>
    <w:rsid w:val="00140F71"/>
    <w:rsid w:val="00157523"/>
    <w:rsid w:val="00161D9B"/>
    <w:rsid w:val="00164DE0"/>
    <w:rsid w:val="00177E75"/>
    <w:rsid w:val="00190025"/>
    <w:rsid w:val="00193200"/>
    <w:rsid w:val="001A4CDA"/>
    <w:rsid w:val="001A68D8"/>
    <w:rsid w:val="001B2767"/>
    <w:rsid w:val="001C05BD"/>
    <w:rsid w:val="001C117C"/>
    <w:rsid w:val="001C2A56"/>
    <w:rsid w:val="001C3B06"/>
    <w:rsid w:val="001C71C7"/>
    <w:rsid w:val="001C7B3A"/>
    <w:rsid w:val="001C7BDD"/>
    <w:rsid w:val="001E0CFB"/>
    <w:rsid w:val="001E6203"/>
    <w:rsid w:val="001E673A"/>
    <w:rsid w:val="001E7402"/>
    <w:rsid w:val="001F2AC4"/>
    <w:rsid w:val="001F2EE4"/>
    <w:rsid w:val="001F3382"/>
    <w:rsid w:val="00200C3D"/>
    <w:rsid w:val="002054E8"/>
    <w:rsid w:val="00213314"/>
    <w:rsid w:val="002159CB"/>
    <w:rsid w:val="00216C26"/>
    <w:rsid w:val="002412AF"/>
    <w:rsid w:val="0024240B"/>
    <w:rsid w:val="00243C0F"/>
    <w:rsid w:val="0024646F"/>
    <w:rsid w:val="00250FF6"/>
    <w:rsid w:val="00256D35"/>
    <w:rsid w:val="00260AD8"/>
    <w:rsid w:val="002649AA"/>
    <w:rsid w:val="00286667"/>
    <w:rsid w:val="00291930"/>
    <w:rsid w:val="00297E8F"/>
    <w:rsid w:val="002A3899"/>
    <w:rsid w:val="002B795E"/>
    <w:rsid w:val="002C3014"/>
    <w:rsid w:val="002D3A46"/>
    <w:rsid w:val="002E4146"/>
    <w:rsid w:val="003018E1"/>
    <w:rsid w:val="003039F5"/>
    <w:rsid w:val="00307AC6"/>
    <w:rsid w:val="00311BCC"/>
    <w:rsid w:val="00315DD1"/>
    <w:rsid w:val="00315FB7"/>
    <w:rsid w:val="00316A74"/>
    <w:rsid w:val="003224AC"/>
    <w:rsid w:val="00324FCC"/>
    <w:rsid w:val="00326969"/>
    <w:rsid w:val="00330250"/>
    <w:rsid w:val="00332A15"/>
    <w:rsid w:val="00336E3E"/>
    <w:rsid w:val="00341F5C"/>
    <w:rsid w:val="00345337"/>
    <w:rsid w:val="00346594"/>
    <w:rsid w:val="0035231F"/>
    <w:rsid w:val="0035628F"/>
    <w:rsid w:val="00360250"/>
    <w:rsid w:val="00367426"/>
    <w:rsid w:val="00371E4D"/>
    <w:rsid w:val="00383B3F"/>
    <w:rsid w:val="00386623"/>
    <w:rsid w:val="0039001D"/>
    <w:rsid w:val="003A091F"/>
    <w:rsid w:val="003A3ECE"/>
    <w:rsid w:val="003A722D"/>
    <w:rsid w:val="003A7315"/>
    <w:rsid w:val="003B22ED"/>
    <w:rsid w:val="003B4235"/>
    <w:rsid w:val="003B4F6C"/>
    <w:rsid w:val="003B5F33"/>
    <w:rsid w:val="003C43DC"/>
    <w:rsid w:val="003C45EF"/>
    <w:rsid w:val="003C77F7"/>
    <w:rsid w:val="003E14C9"/>
    <w:rsid w:val="003E7EB5"/>
    <w:rsid w:val="003F07EE"/>
    <w:rsid w:val="00404F18"/>
    <w:rsid w:val="0042200C"/>
    <w:rsid w:val="004261D6"/>
    <w:rsid w:val="00430723"/>
    <w:rsid w:val="00432222"/>
    <w:rsid w:val="00443854"/>
    <w:rsid w:val="00451824"/>
    <w:rsid w:val="0046768D"/>
    <w:rsid w:val="00470EEF"/>
    <w:rsid w:val="00476627"/>
    <w:rsid w:val="00482EC2"/>
    <w:rsid w:val="0048754A"/>
    <w:rsid w:val="00495419"/>
    <w:rsid w:val="004A2F0F"/>
    <w:rsid w:val="004A49C4"/>
    <w:rsid w:val="004A597B"/>
    <w:rsid w:val="004A68D9"/>
    <w:rsid w:val="004B2811"/>
    <w:rsid w:val="004B294F"/>
    <w:rsid w:val="004C10B9"/>
    <w:rsid w:val="004C5F79"/>
    <w:rsid w:val="004D1973"/>
    <w:rsid w:val="004D1B12"/>
    <w:rsid w:val="004D230F"/>
    <w:rsid w:val="004D2CE3"/>
    <w:rsid w:val="004E3794"/>
    <w:rsid w:val="004E6B68"/>
    <w:rsid w:val="00503330"/>
    <w:rsid w:val="00503710"/>
    <w:rsid w:val="00507D42"/>
    <w:rsid w:val="0053281C"/>
    <w:rsid w:val="0053514A"/>
    <w:rsid w:val="00535AC3"/>
    <w:rsid w:val="00537A2D"/>
    <w:rsid w:val="0054495A"/>
    <w:rsid w:val="00546933"/>
    <w:rsid w:val="00547AF2"/>
    <w:rsid w:val="00551474"/>
    <w:rsid w:val="005543A5"/>
    <w:rsid w:val="00562468"/>
    <w:rsid w:val="00562DCA"/>
    <w:rsid w:val="00566CE2"/>
    <w:rsid w:val="005700BB"/>
    <w:rsid w:val="00571B33"/>
    <w:rsid w:val="00572FA4"/>
    <w:rsid w:val="00573F90"/>
    <w:rsid w:val="005951DE"/>
    <w:rsid w:val="005A18A1"/>
    <w:rsid w:val="005A1CDB"/>
    <w:rsid w:val="005A6920"/>
    <w:rsid w:val="005B0423"/>
    <w:rsid w:val="005B2736"/>
    <w:rsid w:val="005B3DD2"/>
    <w:rsid w:val="005B5AF4"/>
    <w:rsid w:val="005B5CEC"/>
    <w:rsid w:val="005D4DED"/>
    <w:rsid w:val="005D56DD"/>
    <w:rsid w:val="005D6FB7"/>
    <w:rsid w:val="005E50F5"/>
    <w:rsid w:val="005F4627"/>
    <w:rsid w:val="00602BB1"/>
    <w:rsid w:val="00620081"/>
    <w:rsid w:val="00621D4A"/>
    <w:rsid w:val="00631665"/>
    <w:rsid w:val="0063332E"/>
    <w:rsid w:val="00661131"/>
    <w:rsid w:val="00664E06"/>
    <w:rsid w:val="00681067"/>
    <w:rsid w:val="006813D3"/>
    <w:rsid w:val="00681722"/>
    <w:rsid w:val="0069083A"/>
    <w:rsid w:val="00692F8F"/>
    <w:rsid w:val="006A3A81"/>
    <w:rsid w:val="006A6167"/>
    <w:rsid w:val="006A7494"/>
    <w:rsid w:val="006B2582"/>
    <w:rsid w:val="006C0729"/>
    <w:rsid w:val="006C18DA"/>
    <w:rsid w:val="006C2BE5"/>
    <w:rsid w:val="006C5697"/>
    <w:rsid w:val="006D0CC1"/>
    <w:rsid w:val="006D4AE1"/>
    <w:rsid w:val="006F4121"/>
    <w:rsid w:val="006F433E"/>
    <w:rsid w:val="006F4F69"/>
    <w:rsid w:val="00701006"/>
    <w:rsid w:val="00710072"/>
    <w:rsid w:val="00711363"/>
    <w:rsid w:val="007126D5"/>
    <w:rsid w:val="00714997"/>
    <w:rsid w:val="00715CC3"/>
    <w:rsid w:val="007166A4"/>
    <w:rsid w:val="007220C7"/>
    <w:rsid w:val="0073139B"/>
    <w:rsid w:val="00735BA7"/>
    <w:rsid w:val="00737305"/>
    <w:rsid w:val="007413A8"/>
    <w:rsid w:val="00742B47"/>
    <w:rsid w:val="00743E10"/>
    <w:rsid w:val="0074690C"/>
    <w:rsid w:val="007555E2"/>
    <w:rsid w:val="00757A70"/>
    <w:rsid w:val="007617D7"/>
    <w:rsid w:val="00764AAA"/>
    <w:rsid w:val="00770C32"/>
    <w:rsid w:val="00771E0D"/>
    <w:rsid w:val="007838AA"/>
    <w:rsid w:val="007852F6"/>
    <w:rsid w:val="00787A65"/>
    <w:rsid w:val="0079014C"/>
    <w:rsid w:val="00792053"/>
    <w:rsid w:val="0079355F"/>
    <w:rsid w:val="00794E72"/>
    <w:rsid w:val="00794FA3"/>
    <w:rsid w:val="007A1FBF"/>
    <w:rsid w:val="007A3018"/>
    <w:rsid w:val="007A3135"/>
    <w:rsid w:val="007B165C"/>
    <w:rsid w:val="007B6C79"/>
    <w:rsid w:val="007C1185"/>
    <w:rsid w:val="007C27D8"/>
    <w:rsid w:val="007C29C8"/>
    <w:rsid w:val="007C2C33"/>
    <w:rsid w:val="007C3559"/>
    <w:rsid w:val="007C3C2C"/>
    <w:rsid w:val="007E122A"/>
    <w:rsid w:val="007E27F6"/>
    <w:rsid w:val="007E29A3"/>
    <w:rsid w:val="007E7615"/>
    <w:rsid w:val="007E77CA"/>
    <w:rsid w:val="008124F2"/>
    <w:rsid w:val="008203D2"/>
    <w:rsid w:val="008226B4"/>
    <w:rsid w:val="00827369"/>
    <w:rsid w:val="0083181E"/>
    <w:rsid w:val="0083305D"/>
    <w:rsid w:val="008365C0"/>
    <w:rsid w:val="00841223"/>
    <w:rsid w:val="008428E7"/>
    <w:rsid w:val="00842C57"/>
    <w:rsid w:val="00851FBA"/>
    <w:rsid w:val="00852D7F"/>
    <w:rsid w:val="00856D4D"/>
    <w:rsid w:val="008617E1"/>
    <w:rsid w:val="00861F59"/>
    <w:rsid w:val="00867E51"/>
    <w:rsid w:val="00872E6F"/>
    <w:rsid w:val="008817C1"/>
    <w:rsid w:val="008852EC"/>
    <w:rsid w:val="008A2715"/>
    <w:rsid w:val="008A2A06"/>
    <w:rsid w:val="008A4D54"/>
    <w:rsid w:val="008B0057"/>
    <w:rsid w:val="008B1C68"/>
    <w:rsid w:val="008B1D54"/>
    <w:rsid w:val="008B2F0C"/>
    <w:rsid w:val="008C0978"/>
    <w:rsid w:val="008C1942"/>
    <w:rsid w:val="008C6F28"/>
    <w:rsid w:val="008D1CB4"/>
    <w:rsid w:val="008E2F8E"/>
    <w:rsid w:val="008E66AE"/>
    <w:rsid w:val="008F0091"/>
    <w:rsid w:val="008F0F83"/>
    <w:rsid w:val="008F1814"/>
    <w:rsid w:val="008F2D02"/>
    <w:rsid w:val="008F3413"/>
    <w:rsid w:val="008F7CD8"/>
    <w:rsid w:val="00902649"/>
    <w:rsid w:val="00904354"/>
    <w:rsid w:val="0091152B"/>
    <w:rsid w:val="00920803"/>
    <w:rsid w:val="00932A19"/>
    <w:rsid w:val="00932D51"/>
    <w:rsid w:val="009366B8"/>
    <w:rsid w:val="0093729F"/>
    <w:rsid w:val="00940596"/>
    <w:rsid w:val="00951A5E"/>
    <w:rsid w:val="00962FAC"/>
    <w:rsid w:val="00965A38"/>
    <w:rsid w:val="00967DA0"/>
    <w:rsid w:val="009730F0"/>
    <w:rsid w:val="00974333"/>
    <w:rsid w:val="00982884"/>
    <w:rsid w:val="00987246"/>
    <w:rsid w:val="00995400"/>
    <w:rsid w:val="0099735B"/>
    <w:rsid w:val="009A3251"/>
    <w:rsid w:val="009A406B"/>
    <w:rsid w:val="009B452A"/>
    <w:rsid w:val="009B62FE"/>
    <w:rsid w:val="009C2C13"/>
    <w:rsid w:val="009D2BB6"/>
    <w:rsid w:val="009D538C"/>
    <w:rsid w:val="009D60F6"/>
    <w:rsid w:val="009F2658"/>
    <w:rsid w:val="009F57CD"/>
    <w:rsid w:val="009F5EC5"/>
    <w:rsid w:val="00A001C7"/>
    <w:rsid w:val="00A01140"/>
    <w:rsid w:val="00A012B6"/>
    <w:rsid w:val="00A013EC"/>
    <w:rsid w:val="00A043D6"/>
    <w:rsid w:val="00A06AF0"/>
    <w:rsid w:val="00A11A0D"/>
    <w:rsid w:val="00A13297"/>
    <w:rsid w:val="00A218E5"/>
    <w:rsid w:val="00A25A2B"/>
    <w:rsid w:val="00A35AA4"/>
    <w:rsid w:val="00A376A2"/>
    <w:rsid w:val="00A378C4"/>
    <w:rsid w:val="00A458E0"/>
    <w:rsid w:val="00A53528"/>
    <w:rsid w:val="00A55988"/>
    <w:rsid w:val="00A55A5B"/>
    <w:rsid w:val="00A61767"/>
    <w:rsid w:val="00A6626E"/>
    <w:rsid w:val="00A700BF"/>
    <w:rsid w:val="00A71639"/>
    <w:rsid w:val="00A84811"/>
    <w:rsid w:val="00A91117"/>
    <w:rsid w:val="00A9127A"/>
    <w:rsid w:val="00A923D5"/>
    <w:rsid w:val="00A9430F"/>
    <w:rsid w:val="00A964F3"/>
    <w:rsid w:val="00AA0C0B"/>
    <w:rsid w:val="00AB1081"/>
    <w:rsid w:val="00AB20E7"/>
    <w:rsid w:val="00AB5585"/>
    <w:rsid w:val="00AB7262"/>
    <w:rsid w:val="00AB7353"/>
    <w:rsid w:val="00AC7F60"/>
    <w:rsid w:val="00AD22EF"/>
    <w:rsid w:val="00AD4EB0"/>
    <w:rsid w:val="00AD6771"/>
    <w:rsid w:val="00AF4ACC"/>
    <w:rsid w:val="00AF7145"/>
    <w:rsid w:val="00B12113"/>
    <w:rsid w:val="00B17E47"/>
    <w:rsid w:val="00B20347"/>
    <w:rsid w:val="00B255E8"/>
    <w:rsid w:val="00B26077"/>
    <w:rsid w:val="00B26519"/>
    <w:rsid w:val="00B42A23"/>
    <w:rsid w:val="00B433FB"/>
    <w:rsid w:val="00B50FD1"/>
    <w:rsid w:val="00B74089"/>
    <w:rsid w:val="00B7640B"/>
    <w:rsid w:val="00BA145E"/>
    <w:rsid w:val="00BB0DC8"/>
    <w:rsid w:val="00BB45F8"/>
    <w:rsid w:val="00BB5C00"/>
    <w:rsid w:val="00BD07C7"/>
    <w:rsid w:val="00BD14A1"/>
    <w:rsid w:val="00BD6FE4"/>
    <w:rsid w:val="00BE0E99"/>
    <w:rsid w:val="00BE7013"/>
    <w:rsid w:val="00BF13C5"/>
    <w:rsid w:val="00C00787"/>
    <w:rsid w:val="00C01C4D"/>
    <w:rsid w:val="00C02268"/>
    <w:rsid w:val="00C135F2"/>
    <w:rsid w:val="00C219B9"/>
    <w:rsid w:val="00C26D60"/>
    <w:rsid w:val="00C270E1"/>
    <w:rsid w:val="00C36D3A"/>
    <w:rsid w:val="00C45EF0"/>
    <w:rsid w:val="00C53A18"/>
    <w:rsid w:val="00C57519"/>
    <w:rsid w:val="00C64558"/>
    <w:rsid w:val="00C646A4"/>
    <w:rsid w:val="00C73DCF"/>
    <w:rsid w:val="00C74317"/>
    <w:rsid w:val="00C74853"/>
    <w:rsid w:val="00C82A66"/>
    <w:rsid w:val="00C8348B"/>
    <w:rsid w:val="00C9608E"/>
    <w:rsid w:val="00C97155"/>
    <w:rsid w:val="00CA030E"/>
    <w:rsid w:val="00CA23B3"/>
    <w:rsid w:val="00CB0A9F"/>
    <w:rsid w:val="00CB3EE1"/>
    <w:rsid w:val="00CB7187"/>
    <w:rsid w:val="00CC0A65"/>
    <w:rsid w:val="00CC5216"/>
    <w:rsid w:val="00CC7469"/>
    <w:rsid w:val="00CD1C5C"/>
    <w:rsid w:val="00CD2644"/>
    <w:rsid w:val="00CD3FEF"/>
    <w:rsid w:val="00CD5778"/>
    <w:rsid w:val="00CE7281"/>
    <w:rsid w:val="00CF1E65"/>
    <w:rsid w:val="00CF6028"/>
    <w:rsid w:val="00CF72CE"/>
    <w:rsid w:val="00D0353B"/>
    <w:rsid w:val="00D06B04"/>
    <w:rsid w:val="00D17013"/>
    <w:rsid w:val="00D2129B"/>
    <w:rsid w:val="00D26639"/>
    <w:rsid w:val="00D30BF1"/>
    <w:rsid w:val="00D31496"/>
    <w:rsid w:val="00D32306"/>
    <w:rsid w:val="00D3255E"/>
    <w:rsid w:val="00D42468"/>
    <w:rsid w:val="00D4492B"/>
    <w:rsid w:val="00D57BD0"/>
    <w:rsid w:val="00D673E5"/>
    <w:rsid w:val="00D677E1"/>
    <w:rsid w:val="00D704E5"/>
    <w:rsid w:val="00D7214C"/>
    <w:rsid w:val="00D75C09"/>
    <w:rsid w:val="00D767FA"/>
    <w:rsid w:val="00D82486"/>
    <w:rsid w:val="00D83ECF"/>
    <w:rsid w:val="00D86611"/>
    <w:rsid w:val="00D97C6A"/>
    <w:rsid w:val="00DA1331"/>
    <w:rsid w:val="00DB5197"/>
    <w:rsid w:val="00DB7F7B"/>
    <w:rsid w:val="00DC008A"/>
    <w:rsid w:val="00DC11FA"/>
    <w:rsid w:val="00DD28EF"/>
    <w:rsid w:val="00DE34C3"/>
    <w:rsid w:val="00DE4ECC"/>
    <w:rsid w:val="00DF0F4C"/>
    <w:rsid w:val="00DF129D"/>
    <w:rsid w:val="00E00FD1"/>
    <w:rsid w:val="00E05D31"/>
    <w:rsid w:val="00E1301E"/>
    <w:rsid w:val="00E20361"/>
    <w:rsid w:val="00E36517"/>
    <w:rsid w:val="00E41DD7"/>
    <w:rsid w:val="00E470D1"/>
    <w:rsid w:val="00E50020"/>
    <w:rsid w:val="00E51D4A"/>
    <w:rsid w:val="00E56C86"/>
    <w:rsid w:val="00E626B6"/>
    <w:rsid w:val="00E65850"/>
    <w:rsid w:val="00E65A9A"/>
    <w:rsid w:val="00E67584"/>
    <w:rsid w:val="00E710B5"/>
    <w:rsid w:val="00E72325"/>
    <w:rsid w:val="00E80008"/>
    <w:rsid w:val="00E8103B"/>
    <w:rsid w:val="00E945D8"/>
    <w:rsid w:val="00E977D4"/>
    <w:rsid w:val="00E97BB9"/>
    <w:rsid w:val="00EA39E1"/>
    <w:rsid w:val="00EA7BF2"/>
    <w:rsid w:val="00EB72BE"/>
    <w:rsid w:val="00ED25C6"/>
    <w:rsid w:val="00EE4775"/>
    <w:rsid w:val="00EE48CF"/>
    <w:rsid w:val="00EF3440"/>
    <w:rsid w:val="00F00F63"/>
    <w:rsid w:val="00F0209F"/>
    <w:rsid w:val="00F058E7"/>
    <w:rsid w:val="00F11038"/>
    <w:rsid w:val="00F15A6D"/>
    <w:rsid w:val="00F20D44"/>
    <w:rsid w:val="00F22565"/>
    <w:rsid w:val="00F24BD1"/>
    <w:rsid w:val="00F24E3C"/>
    <w:rsid w:val="00F25050"/>
    <w:rsid w:val="00F32581"/>
    <w:rsid w:val="00F327A3"/>
    <w:rsid w:val="00F4008D"/>
    <w:rsid w:val="00F42769"/>
    <w:rsid w:val="00F51FD6"/>
    <w:rsid w:val="00F55578"/>
    <w:rsid w:val="00F60EB5"/>
    <w:rsid w:val="00F64D0C"/>
    <w:rsid w:val="00F654FD"/>
    <w:rsid w:val="00F6587A"/>
    <w:rsid w:val="00F65F49"/>
    <w:rsid w:val="00F77EEE"/>
    <w:rsid w:val="00F81CE3"/>
    <w:rsid w:val="00F82D8D"/>
    <w:rsid w:val="00F837CD"/>
    <w:rsid w:val="00F907F9"/>
    <w:rsid w:val="00F9122F"/>
    <w:rsid w:val="00FA23E1"/>
    <w:rsid w:val="00FB0066"/>
    <w:rsid w:val="00FB0664"/>
    <w:rsid w:val="00FB4694"/>
    <w:rsid w:val="00FB7661"/>
    <w:rsid w:val="00FC0879"/>
    <w:rsid w:val="00FC36FB"/>
    <w:rsid w:val="00FD674F"/>
    <w:rsid w:val="00FD7AE5"/>
    <w:rsid w:val="00FE0C39"/>
    <w:rsid w:val="00FE273B"/>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50AB6"/>
  <w15:docId w15:val="{5C7214C9-2D02-4FBD-A2AB-34EE960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D0"/>
  </w:style>
  <w:style w:type="paragraph" w:styleId="Heading1">
    <w:name w:val="heading 1"/>
    <w:aliases w:val="(Text)"/>
    <w:basedOn w:val="Normal"/>
    <w:next w:val="Normal"/>
    <w:link w:val="Heading1Char"/>
    <w:qFormat/>
    <w:rsid w:val="00D57BD0"/>
    <w:pPr>
      <w:keepNext/>
      <w:numPr>
        <w:numId w:val="1"/>
      </w:numPr>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uiPriority w:val="9"/>
    <w:unhideWhenUsed/>
    <w:qFormat/>
    <w:rsid w:val="003A73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66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xt) Char"/>
    <w:basedOn w:val="DefaultParagraphFont"/>
    <w:link w:val="Heading1"/>
    <w:rsid w:val="00D57BD0"/>
    <w:rPr>
      <w:rFonts w:ascii="Times New Roman" w:eastAsia="Times New Roman" w:hAnsi="Times New Roman" w:cs="Times New Roman"/>
      <w:i/>
      <w:iCs/>
      <w:sz w:val="24"/>
      <w:szCs w:val="24"/>
    </w:rPr>
  </w:style>
  <w:style w:type="paragraph" w:styleId="FootnoteText">
    <w:name w:val="footnote text"/>
    <w:basedOn w:val="Normal"/>
    <w:link w:val="FootnoteTextChar"/>
    <w:uiPriority w:val="99"/>
    <w:unhideWhenUsed/>
    <w:rsid w:val="00D57BD0"/>
    <w:pPr>
      <w:spacing w:after="0" w:line="240" w:lineRule="auto"/>
    </w:pPr>
    <w:rPr>
      <w:sz w:val="20"/>
      <w:szCs w:val="20"/>
    </w:rPr>
  </w:style>
  <w:style w:type="character" w:customStyle="1" w:styleId="FootnoteTextChar">
    <w:name w:val="Footnote Text Char"/>
    <w:basedOn w:val="DefaultParagraphFont"/>
    <w:link w:val="FootnoteText"/>
    <w:uiPriority w:val="99"/>
    <w:rsid w:val="00D57BD0"/>
    <w:rPr>
      <w:sz w:val="20"/>
      <w:szCs w:val="20"/>
    </w:rPr>
  </w:style>
  <w:style w:type="character" w:styleId="FootnoteReference">
    <w:name w:val="footnote reference"/>
    <w:basedOn w:val="DefaultParagraphFont"/>
    <w:uiPriority w:val="99"/>
    <w:unhideWhenUsed/>
    <w:rsid w:val="00D57BD0"/>
    <w:rPr>
      <w:vertAlign w:val="superscript"/>
    </w:rPr>
  </w:style>
  <w:style w:type="table" w:styleId="TableGrid">
    <w:name w:val="Table Grid"/>
    <w:basedOn w:val="TableNormal"/>
    <w:uiPriority w:val="39"/>
    <w:rsid w:val="00D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Paragraph,Bullets,Akapit z listą BS,List Paragraph (numbered (a)),List_Paragraph,Multilevel para_II,MC Paragraphe Liste,Colorful List - Accent 11,List Bullet-OpsManual,References"/>
    <w:basedOn w:val="Normal"/>
    <w:link w:val="ListParagraphChar"/>
    <w:uiPriority w:val="34"/>
    <w:qFormat/>
    <w:rsid w:val="00D57BD0"/>
    <w:pPr>
      <w:ind w:left="720"/>
      <w:contextualSpacing/>
    </w:pPr>
  </w:style>
  <w:style w:type="character" w:customStyle="1" w:styleId="ListParagraphChar">
    <w:name w:val="List Paragraph Char"/>
    <w:aliases w:val="List Paragraph1 Char,Recommendation Char,List Paragraph11 Char,Paragraph Char,Bullets Char,Akapit z listą BS Char,List Paragraph (numbered (a)) Char,List_Paragraph Char,Multilevel para_II Char,MC Paragraphe Liste Char,References Char"/>
    <w:basedOn w:val="DefaultParagraphFont"/>
    <w:link w:val="ListParagraph"/>
    <w:uiPriority w:val="34"/>
    <w:locked/>
    <w:rsid w:val="00D57BD0"/>
  </w:style>
  <w:style w:type="paragraph" w:customStyle="1" w:styleId="MainParawithChapter">
    <w:name w:val="Main Para with Chapter#"/>
    <w:basedOn w:val="Normal"/>
    <w:rsid w:val="00D57BD0"/>
    <w:pPr>
      <w:numPr>
        <w:ilvl w:val="1"/>
        <w:numId w:val="1"/>
      </w:numPr>
      <w:spacing w:after="0" w:line="240" w:lineRule="auto"/>
    </w:pPr>
    <w:rPr>
      <w:rFonts w:ascii="Times New Roman" w:eastAsia="Times New Roman" w:hAnsi="Times New Roman" w:cs="Times New Roman"/>
      <w:sz w:val="24"/>
      <w:szCs w:val="24"/>
    </w:rPr>
  </w:style>
  <w:style w:type="paragraph" w:customStyle="1" w:styleId="Sub-Para1underXY">
    <w:name w:val="Sub-Para 1 under X.Y"/>
    <w:basedOn w:val="Normal"/>
    <w:rsid w:val="00D57BD0"/>
    <w:pPr>
      <w:numPr>
        <w:ilvl w:val="2"/>
        <w:numId w:val="1"/>
      </w:numPr>
      <w:spacing w:after="0" w:line="240" w:lineRule="auto"/>
    </w:pPr>
    <w:rPr>
      <w:rFonts w:ascii="Times New Roman" w:eastAsia="Times New Roman" w:hAnsi="Times New Roman" w:cs="Times New Roman"/>
      <w:sz w:val="24"/>
      <w:szCs w:val="24"/>
    </w:rPr>
  </w:style>
  <w:style w:type="paragraph" w:customStyle="1" w:styleId="Sub-Para2underXY">
    <w:name w:val="Sub-Para 2 under X.Y"/>
    <w:basedOn w:val="Normal"/>
    <w:rsid w:val="00D57BD0"/>
    <w:pPr>
      <w:numPr>
        <w:ilvl w:val="3"/>
        <w:numId w:val="1"/>
      </w:numPr>
      <w:spacing w:after="0" w:line="240" w:lineRule="auto"/>
    </w:pPr>
    <w:rPr>
      <w:rFonts w:ascii="Times New Roman" w:eastAsia="Times New Roman" w:hAnsi="Times New Roman" w:cs="Times New Roman"/>
      <w:sz w:val="24"/>
      <w:szCs w:val="24"/>
    </w:rPr>
  </w:style>
  <w:style w:type="paragraph" w:customStyle="1" w:styleId="Sub-Para3underXY">
    <w:name w:val="Sub-Para 3 under X.Y"/>
    <w:basedOn w:val="Normal"/>
    <w:rsid w:val="00D57BD0"/>
    <w:pPr>
      <w:numPr>
        <w:ilvl w:val="4"/>
        <w:numId w:val="1"/>
      </w:numPr>
      <w:spacing w:after="0" w:line="240" w:lineRule="auto"/>
    </w:pPr>
    <w:rPr>
      <w:rFonts w:ascii="Times New Roman" w:eastAsia="Times New Roman" w:hAnsi="Times New Roman" w:cs="Times New Roman"/>
      <w:sz w:val="24"/>
      <w:szCs w:val="24"/>
    </w:rPr>
  </w:style>
  <w:style w:type="paragraph" w:customStyle="1" w:styleId="Sub-Para4underXY">
    <w:name w:val="Sub-Para 4 under X.Y"/>
    <w:basedOn w:val="Normal"/>
    <w:rsid w:val="00D57BD0"/>
    <w:pPr>
      <w:numPr>
        <w:ilvl w:val="5"/>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D0"/>
  </w:style>
  <w:style w:type="paragraph" w:styleId="Footer">
    <w:name w:val="footer"/>
    <w:basedOn w:val="Normal"/>
    <w:link w:val="FooterChar"/>
    <w:uiPriority w:val="99"/>
    <w:unhideWhenUsed/>
    <w:rsid w:val="00D5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D0"/>
  </w:style>
  <w:style w:type="character" w:customStyle="1" w:styleId="CaptionChar">
    <w:name w:val="Caption Char"/>
    <w:basedOn w:val="DefaultParagraphFont"/>
    <w:link w:val="Caption"/>
    <w:uiPriority w:val="35"/>
    <w:semiHidden/>
    <w:locked/>
    <w:rsid w:val="00D57BD0"/>
    <w:rPr>
      <w:b/>
      <w:bCs/>
      <w:smallCaps/>
      <w:color w:val="595959"/>
    </w:rPr>
  </w:style>
  <w:style w:type="paragraph" w:styleId="Caption">
    <w:name w:val="caption"/>
    <w:basedOn w:val="Normal"/>
    <w:link w:val="CaptionChar"/>
    <w:uiPriority w:val="35"/>
    <w:semiHidden/>
    <w:unhideWhenUsed/>
    <w:qFormat/>
    <w:rsid w:val="00D57BD0"/>
    <w:pPr>
      <w:spacing w:after="200" w:line="240" w:lineRule="auto"/>
    </w:pPr>
    <w:rPr>
      <w:b/>
      <w:bCs/>
      <w:smallCaps/>
      <w:color w:val="595959"/>
    </w:rPr>
  </w:style>
  <w:style w:type="character" w:customStyle="1" w:styleId="BalloonTextChar">
    <w:name w:val="Balloon Text Char"/>
    <w:basedOn w:val="DefaultParagraphFont"/>
    <w:link w:val="BalloonText"/>
    <w:uiPriority w:val="99"/>
    <w:semiHidden/>
    <w:rsid w:val="00D57BD0"/>
    <w:rPr>
      <w:rFonts w:ascii="Segoe UI" w:hAnsi="Segoe UI" w:cs="Segoe UI"/>
      <w:sz w:val="18"/>
      <w:szCs w:val="18"/>
    </w:rPr>
  </w:style>
  <w:style w:type="paragraph" w:styleId="BalloonText">
    <w:name w:val="Balloon Text"/>
    <w:basedOn w:val="Normal"/>
    <w:link w:val="BalloonTextChar"/>
    <w:uiPriority w:val="99"/>
    <w:semiHidden/>
    <w:unhideWhenUsed/>
    <w:rsid w:val="00D57BD0"/>
    <w:pPr>
      <w:spacing w:after="0" w:line="240" w:lineRule="auto"/>
    </w:pPr>
    <w:rPr>
      <w:rFonts w:ascii="Segoe UI" w:hAnsi="Segoe UI" w:cs="Segoe UI"/>
      <w:sz w:val="18"/>
      <w:szCs w:val="18"/>
    </w:rPr>
  </w:style>
  <w:style w:type="table" w:customStyle="1" w:styleId="PlainTable21">
    <w:name w:val="Plain Table 21"/>
    <w:basedOn w:val="TableNormal"/>
    <w:uiPriority w:val="42"/>
    <w:rsid w:val="00D57B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57BD0"/>
    <w:rPr>
      <w:color w:val="0563C1" w:themeColor="hyperlink"/>
      <w:u w:val="single"/>
    </w:rPr>
  </w:style>
  <w:style w:type="character" w:customStyle="1" w:styleId="EndnoteTextChar">
    <w:name w:val="Endnote Text Char"/>
    <w:basedOn w:val="DefaultParagraphFont"/>
    <w:link w:val="EndnoteText"/>
    <w:uiPriority w:val="99"/>
    <w:semiHidden/>
    <w:rsid w:val="00D57BD0"/>
    <w:rPr>
      <w:sz w:val="20"/>
      <w:szCs w:val="20"/>
    </w:rPr>
  </w:style>
  <w:style w:type="paragraph" w:styleId="EndnoteText">
    <w:name w:val="endnote text"/>
    <w:basedOn w:val="Normal"/>
    <w:link w:val="EndnoteTextChar"/>
    <w:uiPriority w:val="99"/>
    <w:semiHidden/>
    <w:unhideWhenUsed/>
    <w:rsid w:val="00D57B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57BD0"/>
    <w:rPr>
      <w:sz w:val="20"/>
      <w:szCs w:val="20"/>
    </w:rPr>
  </w:style>
  <w:style w:type="paragraph" w:styleId="CommentText">
    <w:name w:val="annotation text"/>
    <w:basedOn w:val="Normal"/>
    <w:link w:val="CommentTextChar"/>
    <w:uiPriority w:val="99"/>
    <w:semiHidden/>
    <w:unhideWhenUsed/>
    <w:rsid w:val="00D57BD0"/>
    <w:pPr>
      <w:spacing w:line="240" w:lineRule="auto"/>
    </w:pPr>
    <w:rPr>
      <w:sz w:val="20"/>
      <w:szCs w:val="20"/>
    </w:rPr>
  </w:style>
  <w:style w:type="character" w:customStyle="1" w:styleId="CommentSubjectChar">
    <w:name w:val="Comment Subject Char"/>
    <w:basedOn w:val="CommentTextChar"/>
    <w:link w:val="CommentSubject"/>
    <w:uiPriority w:val="99"/>
    <w:semiHidden/>
    <w:rsid w:val="00D57BD0"/>
    <w:rPr>
      <w:b/>
      <w:bCs/>
      <w:sz w:val="20"/>
      <w:szCs w:val="20"/>
    </w:rPr>
  </w:style>
  <w:style w:type="paragraph" w:styleId="CommentSubject">
    <w:name w:val="annotation subject"/>
    <w:basedOn w:val="CommentText"/>
    <w:next w:val="CommentText"/>
    <w:link w:val="CommentSubjectChar"/>
    <w:uiPriority w:val="99"/>
    <w:semiHidden/>
    <w:unhideWhenUsed/>
    <w:rsid w:val="00D57BD0"/>
    <w:rPr>
      <w:b/>
      <w:bCs/>
    </w:rPr>
  </w:style>
  <w:style w:type="paragraph" w:customStyle="1" w:styleId="Default">
    <w:name w:val="Default"/>
    <w:rsid w:val="00D57BD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57BD0"/>
    <w:pPr>
      <w:spacing w:after="0" w:line="240" w:lineRule="auto"/>
    </w:pPr>
  </w:style>
  <w:style w:type="paragraph" w:styleId="NormalWeb">
    <w:name w:val="Normal (Web)"/>
    <w:basedOn w:val="Normal"/>
    <w:uiPriority w:val="99"/>
    <w:unhideWhenUsed/>
    <w:rsid w:val="00D57BD0"/>
    <w:pPr>
      <w:spacing w:after="0" w:line="240" w:lineRule="auto"/>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731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A7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31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F3382"/>
    <w:rPr>
      <w:sz w:val="16"/>
      <w:szCs w:val="16"/>
    </w:rPr>
  </w:style>
  <w:style w:type="character" w:customStyle="1" w:styleId="Heading3Char">
    <w:name w:val="Heading 3 Char"/>
    <w:basedOn w:val="DefaultParagraphFont"/>
    <w:link w:val="Heading3"/>
    <w:uiPriority w:val="9"/>
    <w:rsid w:val="009366B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10004"/>
    <w:rPr>
      <w:color w:val="954F72" w:themeColor="followedHyperlink"/>
      <w:u w:val="single"/>
    </w:rPr>
  </w:style>
  <w:style w:type="paragraph" w:styleId="TOCHeading">
    <w:name w:val="TOC Heading"/>
    <w:basedOn w:val="Heading1"/>
    <w:next w:val="Normal"/>
    <w:uiPriority w:val="39"/>
    <w:unhideWhenUsed/>
    <w:qFormat/>
    <w:rsid w:val="00CE7281"/>
    <w:pPr>
      <w:keepLines/>
      <w:numPr>
        <w:numId w:val="0"/>
      </w:numPr>
      <w:spacing w:before="240" w:line="259" w:lineRule="auto"/>
      <w:outlineLvl w:val="9"/>
    </w:pPr>
    <w:rPr>
      <w:rFonts w:asciiTheme="majorHAnsi" w:eastAsiaTheme="majorEastAsia" w:hAnsiTheme="majorHAnsi" w:cstheme="majorBidi"/>
      <w:i w:val="0"/>
      <w:iCs w:val="0"/>
      <w:color w:val="2E74B5" w:themeColor="accent1" w:themeShade="BF"/>
      <w:sz w:val="32"/>
      <w:szCs w:val="32"/>
    </w:rPr>
  </w:style>
  <w:style w:type="paragraph" w:styleId="TOC2">
    <w:name w:val="toc 2"/>
    <w:basedOn w:val="Normal"/>
    <w:next w:val="Normal"/>
    <w:autoRedefine/>
    <w:uiPriority w:val="39"/>
    <w:unhideWhenUsed/>
    <w:rsid w:val="00CE7281"/>
    <w:pPr>
      <w:spacing w:after="100"/>
      <w:ind w:left="220"/>
    </w:pPr>
  </w:style>
  <w:style w:type="paragraph" w:styleId="TOC3">
    <w:name w:val="toc 3"/>
    <w:basedOn w:val="Normal"/>
    <w:next w:val="Normal"/>
    <w:autoRedefine/>
    <w:uiPriority w:val="39"/>
    <w:unhideWhenUsed/>
    <w:rsid w:val="00CE7281"/>
    <w:pPr>
      <w:spacing w:after="100"/>
      <w:ind w:left="440"/>
    </w:pPr>
  </w:style>
  <w:style w:type="paragraph" w:customStyle="1" w:styleId="p1">
    <w:name w:val="p1"/>
    <w:basedOn w:val="Normal"/>
    <w:rsid w:val="00A55A5B"/>
    <w:pPr>
      <w:spacing w:after="0" w:line="240" w:lineRule="auto"/>
    </w:pPr>
    <w:rPr>
      <w:rFonts w:ascii="Helvetica" w:hAnsi="Helvetica" w:cs="Times New Roman"/>
      <w:color w:val="333333"/>
      <w:sz w:val="23"/>
      <w:szCs w:val="23"/>
    </w:rPr>
  </w:style>
  <w:style w:type="character" w:customStyle="1" w:styleId="s1">
    <w:name w:val="s1"/>
    <w:basedOn w:val="DefaultParagraphFont"/>
    <w:rsid w:val="00A5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9652">
      <w:bodyDiv w:val="1"/>
      <w:marLeft w:val="0"/>
      <w:marRight w:val="0"/>
      <w:marTop w:val="0"/>
      <w:marBottom w:val="0"/>
      <w:divBdr>
        <w:top w:val="none" w:sz="0" w:space="0" w:color="auto"/>
        <w:left w:val="none" w:sz="0" w:space="0" w:color="auto"/>
        <w:bottom w:val="none" w:sz="0" w:space="0" w:color="auto"/>
        <w:right w:val="none" w:sz="0" w:space="0" w:color="auto"/>
      </w:divBdr>
    </w:div>
    <w:div w:id="261376943">
      <w:bodyDiv w:val="1"/>
      <w:marLeft w:val="0"/>
      <w:marRight w:val="0"/>
      <w:marTop w:val="0"/>
      <w:marBottom w:val="0"/>
      <w:divBdr>
        <w:top w:val="none" w:sz="0" w:space="0" w:color="auto"/>
        <w:left w:val="none" w:sz="0" w:space="0" w:color="auto"/>
        <w:bottom w:val="none" w:sz="0" w:space="0" w:color="auto"/>
        <w:right w:val="none" w:sz="0" w:space="0" w:color="auto"/>
      </w:divBdr>
    </w:div>
    <w:div w:id="295112581">
      <w:bodyDiv w:val="1"/>
      <w:marLeft w:val="0"/>
      <w:marRight w:val="0"/>
      <w:marTop w:val="0"/>
      <w:marBottom w:val="0"/>
      <w:divBdr>
        <w:top w:val="none" w:sz="0" w:space="0" w:color="auto"/>
        <w:left w:val="none" w:sz="0" w:space="0" w:color="auto"/>
        <w:bottom w:val="none" w:sz="0" w:space="0" w:color="auto"/>
        <w:right w:val="none" w:sz="0" w:space="0" w:color="auto"/>
      </w:divBdr>
    </w:div>
    <w:div w:id="341854665">
      <w:bodyDiv w:val="1"/>
      <w:marLeft w:val="0"/>
      <w:marRight w:val="0"/>
      <w:marTop w:val="0"/>
      <w:marBottom w:val="0"/>
      <w:divBdr>
        <w:top w:val="none" w:sz="0" w:space="0" w:color="auto"/>
        <w:left w:val="none" w:sz="0" w:space="0" w:color="auto"/>
        <w:bottom w:val="none" w:sz="0" w:space="0" w:color="auto"/>
        <w:right w:val="none" w:sz="0" w:space="0" w:color="auto"/>
      </w:divBdr>
    </w:div>
    <w:div w:id="517693852">
      <w:bodyDiv w:val="1"/>
      <w:marLeft w:val="0"/>
      <w:marRight w:val="0"/>
      <w:marTop w:val="0"/>
      <w:marBottom w:val="0"/>
      <w:divBdr>
        <w:top w:val="none" w:sz="0" w:space="0" w:color="auto"/>
        <w:left w:val="none" w:sz="0" w:space="0" w:color="auto"/>
        <w:bottom w:val="none" w:sz="0" w:space="0" w:color="auto"/>
        <w:right w:val="none" w:sz="0" w:space="0" w:color="auto"/>
      </w:divBdr>
    </w:div>
    <w:div w:id="562983948">
      <w:bodyDiv w:val="1"/>
      <w:marLeft w:val="0"/>
      <w:marRight w:val="0"/>
      <w:marTop w:val="0"/>
      <w:marBottom w:val="0"/>
      <w:divBdr>
        <w:top w:val="none" w:sz="0" w:space="0" w:color="auto"/>
        <w:left w:val="none" w:sz="0" w:space="0" w:color="auto"/>
        <w:bottom w:val="none" w:sz="0" w:space="0" w:color="auto"/>
        <w:right w:val="none" w:sz="0" w:space="0" w:color="auto"/>
      </w:divBdr>
    </w:div>
    <w:div w:id="743066209">
      <w:bodyDiv w:val="1"/>
      <w:marLeft w:val="0"/>
      <w:marRight w:val="0"/>
      <w:marTop w:val="0"/>
      <w:marBottom w:val="0"/>
      <w:divBdr>
        <w:top w:val="none" w:sz="0" w:space="0" w:color="auto"/>
        <w:left w:val="none" w:sz="0" w:space="0" w:color="auto"/>
        <w:bottom w:val="none" w:sz="0" w:space="0" w:color="auto"/>
        <w:right w:val="none" w:sz="0" w:space="0" w:color="auto"/>
      </w:divBdr>
    </w:div>
    <w:div w:id="828136434">
      <w:bodyDiv w:val="1"/>
      <w:marLeft w:val="0"/>
      <w:marRight w:val="0"/>
      <w:marTop w:val="0"/>
      <w:marBottom w:val="0"/>
      <w:divBdr>
        <w:top w:val="none" w:sz="0" w:space="0" w:color="auto"/>
        <w:left w:val="none" w:sz="0" w:space="0" w:color="auto"/>
        <w:bottom w:val="none" w:sz="0" w:space="0" w:color="auto"/>
        <w:right w:val="none" w:sz="0" w:space="0" w:color="auto"/>
      </w:divBdr>
    </w:div>
    <w:div w:id="18224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progen.md/files/4823_cpd_set_de_recomandari_snofm_2017-2021.pdf" TargetMode="External"/><Relationship Id="rId23" Type="http://schemas.openxmlformats.org/officeDocument/2006/relationships/theme" Target="theme/theme1.xml"/><Relationship Id="rId10" Type="http://schemas.openxmlformats.org/officeDocument/2006/relationships/hyperlink" Target="mailto:pubrights@worldbank.org"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copyright.com" TargetMode="External"/><Relationship Id="rId14" Type="http://schemas.openxmlformats.org/officeDocument/2006/relationships/hyperlink" Target="http://egalitatedegen.md/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rogen.md/files/7562_raport_indexul_egalitatii_gen_2015final.pdf" TargetMode="External"/><Relationship Id="rId3" Type="http://schemas.openxmlformats.org/officeDocument/2006/relationships/hyperlink" Target="http://egalitatedegen.md/en/" TargetMode="External"/><Relationship Id="rId7" Type="http://schemas.openxmlformats.org/officeDocument/2006/relationships/hyperlink" Target="http://www.statistica.md/public/files/publicatii_electronice/Educatia/Educatia_RM_2016.pdf" TargetMode="External"/><Relationship Id="rId2" Type="http://schemas.openxmlformats.org/officeDocument/2006/relationships/hyperlink" Target="http://www.progen.md/?pag=n&amp;opa=view&amp;id=333&amp;tip=publicatii&amp;start=&amp;" TargetMode="External"/><Relationship Id="rId1" Type="http://schemas.openxmlformats.org/officeDocument/2006/relationships/hyperlink" Target="http://www3.weforum.org/docs/GGGR16/WEF_Global_Gender_Gap_Report_2016.pdf" TargetMode="External"/><Relationship Id="rId6" Type="http://schemas.openxmlformats.org/officeDocument/2006/relationships/hyperlink" Target="http://egalitatedegen.md/noi/" TargetMode="External"/><Relationship Id="rId5" Type="http://schemas.openxmlformats.org/officeDocument/2006/relationships/hyperlink" Target="http://eca.unwomen.org/en/news/stories/2016/06/moldova-takes-historic-step-to-promote-gender-equality-in-politics" TargetMode="External"/><Relationship Id="rId4" Type="http://schemas.openxmlformats.org/officeDocument/2006/relationships/hyperlink" Target="http://www.rferl.org/a/moldova-sandu-smears-orthodox-church-pro-eu-candidate-russia/28108474.html" TargetMode="External"/><Relationship Id="rId9" Type="http://schemas.openxmlformats.org/officeDocument/2006/relationships/hyperlink" Target="http://www.genderindex.org/country/moldov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304104\Box%20Sync\Moldova%20CGAP\Moldova%20CPS%20CLR%20Gender%20portfolio%20review%20Jan%208%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a:t>
            </a:r>
            <a:r>
              <a:rPr lang="en-US" sz="1100" baseline="0"/>
              <a:t> projects active in CPS 14-17 period that incorporate gender in each dimension </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Hoja1!$D$25</c:f>
              <c:strCache>
                <c:ptCount val="1"/>
                <c:pt idx="0">
                  <c:v>Yes (%)</c:v>
                </c:pt>
              </c:strCache>
            </c:strRef>
          </c:tx>
          <c:spPr>
            <a:solidFill>
              <a:schemeClr val="accent1"/>
            </a:solidFill>
            <a:ln>
              <a:noFill/>
            </a:ln>
            <a:effectLst/>
          </c:spPr>
          <c:invertIfNegative val="0"/>
          <c:cat>
            <c:strRef>
              <c:f>Hoja1!$C$26:$C$29</c:f>
              <c:strCache>
                <c:ptCount val="4"/>
                <c:pt idx="0">
                  <c:v>Analysis</c:v>
                </c:pt>
                <c:pt idx="1">
                  <c:v>Action</c:v>
                </c:pt>
                <c:pt idx="2">
                  <c:v>Monitoring</c:v>
                </c:pt>
                <c:pt idx="3">
                  <c:v>Gender-informed overall</c:v>
                </c:pt>
              </c:strCache>
            </c:strRef>
          </c:cat>
          <c:val>
            <c:numRef>
              <c:f>Hoja1!$D$26:$D$29</c:f>
              <c:numCache>
                <c:formatCode>General</c:formatCode>
                <c:ptCount val="4"/>
                <c:pt idx="0">
                  <c:v>66.599999999999994</c:v>
                </c:pt>
                <c:pt idx="1">
                  <c:v>53.3</c:v>
                </c:pt>
                <c:pt idx="2">
                  <c:v>86.6</c:v>
                </c:pt>
                <c:pt idx="3">
                  <c:v>80</c:v>
                </c:pt>
              </c:numCache>
            </c:numRef>
          </c:val>
        </c:ser>
        <c:dLbls>
          <c:showLegendKey val="0"/>
          <c:showVal val="0"/>
          <c:showCatName val="0"/>
          <c:showSerName val="0"/>
          <c:showPercent val="0"/>
          <c:showBubbleSize val="0"/>
        </c:dLbls>
        <c:gapWidth val="219"/>
        <c:overlap val="-27"/>
        <c:axId val="505909832"/>
        <c:axId val="401556952"/>
      </c:barChart>
      <c:catAx>
        <c:axId val="50590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1556952"/>
        <c:crosses val="autoZero"/>
        <c:auto val="1"/>
        <c:lblAlgn val="ctr"/>
        <c:lblOffset val="100"/>
        <c:noMultiLvlLbl val="0"/>
      </c:catAx>
      <c:valAx>
        <c:axId val="401556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909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 projects by date of approval that incorporate gender in each dimension</a:t>
            </a:r>
          </a:p>
        </c:rich>
      </c:tx>
      <c:layout>
        <c:manualLayout>
          <c:xMode val="edge"/>
          <c:yMode val="edge"/>
          <c:x val="0.10367436743674401"/>
          <c:y val="3.43347639484977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Hoja1!$K$13</c:f>
              <c:strCache>
                <c:ptCount val="1"/>
                <c:pt idx="0">
                  <c:v>approved 2011-13</c:v>
                </c:pt>
              </c:strCache>
            </c:strRef>
          </c:tx>
          <c:spPr>
            <a:solidFill>
              <a:schemeClr val="accent1"/>
            </a:solidFill>
            <a:ln>
              <a:noFill/>
            </a:ln>
            <a:effectLst/>
          </c:spPr>
          <c:invertIfNegative val="0"/>
          <c:cat>
            <c:strRef>
              <c:f>Hoja1!$L$12:$N$12</c:f>
              <c:strCache>
                <c:ptCount val="3"/>
                <c:pt idx="0">
                  <c:v>analysis</c:v>
                </c:pt>
                <c:pt idx="1">
                  <c:v>action</c:v>
                </c:pt>
                <c:pt idx="2">
                  <c:v>M&amp;E</c:v>
                </c:pt>
              </c:strCache>
            </c:strRef>
          </c:cat>
          <c:val>
            <c:numRef>
              <c:f>Hoja1!$L$13:$N$13</c:f>
              <c:numCache>
                <c:formatCode>General</c:formatCode>
                <c:ptCount val="3"/>
                <c:pt idx="0">
                  <c:v>37.5</c:v>
                </c:pt>
                <c:pt idx="1">
                  <c:v>50</c:v>
                </c:pt>
                <c:pt idx="2">
                  <c:v>62.5</c:v>
                </c:pt>
              </c:numCache>
            </c:numRef>
          </c:val>
        </c:ser>
        <c:ser>
          <c:idx val="1"/>
          <c:order val="1"/>
          <c:tx>
            <c:strRef>
              <c:f>Hoja1!$K$14</c:f>
              <c:strCache>
                <c:ptCount val="1"/>
                <c:pt idx="0">
                  <c:v>approved 2014-17</c:v>
                </c:pt>
              </c:strCache>
            </c:strRef>
          </c:tx>
          <c:spPr>
            <a:solidFill>
              <a:schemeClr val="accent2"/>
            </a:solidFill>
            <a:ln>
              <a:noFill/>
            </a:ln>
            <a:effectLst/>
          </c:spPr>
          <c:invertIfNegative val="0"/>
          <c:cat>
            <c:strRef>
              <c:f>Hoja1!$L$12:$N$12</c:f>
              <c:strCache>
                <c:ptCount val="3"/>
                <c:pt idx="0">
                  <c:v>analysis</c:v>
                </c:pt>
                <c:pt idx="1">
                  <c:v>action</c:v>
                </c:pt>
                <c:pt idx="2">
                  <c:v>M&amp;E</c:v>
                </c:pt>
              </c:strCache>
            </c:strRef>
          </c:cat>
          <c:val>
            <c:numRef>
              <c:f>Hoja1!$L$14:$N$14</c:f>
              <c:numCache>
                <c:formatCode>General</c:formatCode>
                <c:ptCount val="3"/>
                <c:pt idx="0">
                  <c:v>100</c:v>
                </c:pt>
                <c:pt idx="1">
                  <c:v>57.1</c:v>
                </c:pt>
                <c:pt idx="2">
                  <c:v>100</c:v>
                </c:pt>
              </c:numCache>
            </c:numRef>
          </c:val>
        </c:ser>
        <c:dLbls>
          <c:showLegendKey val="0"/>
          <c:showVal val="0"/>
          <c:showCatName val="0"/>
          <c:showSerName val="0"/>
          <c:showPercent val="0"/>
          <c:showBubbleSize val="0"/>
        </c:dLbls>
        <c:gapWidth val="219"/>
        <c:overlap val="-27"/>
        <c:axId val="401557736"/>
        <c:axId val="401558128"/>
      </c:barChart>
      <c:catAx>
        <c:axId val="401557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558128"/>
        <c:crosses val="autoZero"/>
        <c:auto val="1"/>
        <c:lblAlgn val="ctr"/>
        <c:lblOffset val="100"/>
        <c:noMultiLvlLbl val="0"/>
      </c:catAx>
      <c:valAx>
        <c:axId val="40155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557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Men</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Politics and Economy</c:v>
                </c:pt>
                <c:pt idx="1">
                  <c:v>Entertainment</c:v>
                </c:pt>
                <c:pt idx="2">
                  <c:v>Social and Science</c:v>
                </c:pt>
              </c:strCache>
            </c:strRef>
          </c:cat>
          <c:val>
            <c:numRef>
              <c:f>Sheet1!$B$2:$B$4</c:f>
              <c:numCache>
                <c:formatCode>General</c:formatCode>
                <c:ptCount val="3"/>
                <c:pt idx="0">
                  <c:v>39</c:v>
                </c:pt>
                <c:pt idx="1">
                  <c:v>16</c:v>
                </c:pt>
                <c:pt idx="2">
                  <c:v>14</c:v>
                </c:pt>
              </c:numCache>
            </c:numRef>
          </c:val>
        </c:ser>
        <c:ser>
          <c:idx val="1"/>
          <c:order val="1"/>
          <c:tx>
            <c:strRef>
              <c:f>Sheet1!$C$1</c:f>
              <c:strCache>
                <c:ptCount val="1"/>
                <c:pt idx="0">
                  <c:v>Women</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Politics and Economy</c:v>
                </c:pt>
                <c:pt idx="1">
                  <c:v>Entertainment</c:v>
                </c:pt>
                <c:pt idx="2">
                  <c:v>Social and Science</c:v>
                </c:pt>
              </c:strCache>
            </c:strRef>
          </c:cat>
          <c:val>
            <c:numRef>
              <c:f>Sheet1!$C$2:$C$4</c:f>
              <c:numCache>
                <c:formatCode>General</c:formatCode>
                <c:ptCount val="3"/>
                <c:pt idx="0">
                  <c:v>7</c:v>
                </c:pt>
                <c:pt idx="1">
                  <c:v>17</c:v>
                </c:pt>
                <c:pt idx="2">
                  <c:v>8</c:v>
                </c:pt>
              </c:numCache>
            </c:numRef>
          </c:val>
        </c:ser>
        <c:dLbls>
          <c:dLblPos val="outEnd"/>
          <c:showLegendKey val="0"/>
          <c:showVal val="1"/>
          <c:showCatName val="0"/>
          <c:showSerName val="0"/>
          <c:showPercent val="0"/>
          <c:showBubbleSize val="0"/>
        </c:dLbls>
        <c:gapWidth val="444"/>
        <c:overlap val="-90"/>
        <c:axId val="510117992"/>
        <c:axId val="510118384"/>
      </c:barChart>
      <c:catAx>
        <c:axId val="510117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0118384"/>
        <c:crosses val="autoZero"/>
        <c:auto val="1"/>
        <c:lblAlgn val="ctr"/>
        <c:lblOffset val="100"/>
        <c:noMultiLvlLbl val="0"/>
      </c:catAx>
      <c:valAx>
        <c:axId val="510118384"/>
        <c:scaling>
          <c:orientation val="minMax"/>
        </c:scaling>
        <c:delete val="1"/>
        <c:axPos val="l"/>
        <c:numFmt formatCode="General" sourceLinked="1"/>
        <c:majorTickMark val="none"/>
        <c:minorTickMark val="none"/>
        <c:tickLblPos val="nextTo"/>
        <c:crossAx val="510117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c:f>
              <c:strCache>
                <c:ptCount val="1"/>
                <c:pt idx="0">
                  <c:v>Share of female headed households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Sheet2!$A$5:$A$31</c:f>
              <c:strCache>
                <c:ptCount val="27"/>
                <c:pt idx="0">
                  <c:v>Albania</c:v>
                </c:pt>
                <c:pt idx="1">
                  <c:v>Armenia</c:v>
                </c:pt>
                <c:pt idx="2">
                  <c:v>Belarus</c:v>
                </c:pt>
                <c:pt idx="3">
                  <c:v>Bulgaria</c:v>
                </c:pt>
                <c:pt idx="4">
                  <c:v>Croatia</c:v>
                </c:pt>
                <c:pt idx="5">
                  <c:v>Czech Republic</c:v>
                </c:pt>
                <c:pt idx="6">
                  <c:v>Cyprus</c:v>
                </c:pt>
                <c:pt idx="7">
                  <c:v>Estonia</c:v>
                </c:pt>
                <c:pt idx="8">
                  <c:v>Georgia</c:v>
                </c:pt>
                <c:pt idx="9">
                  <c:v>Greece</c:v>
                </c:pt>
                <c:pt idx="10">
                  <c:v>Hungary</c:v>
                </c:pt>
                <c:pt idx="11">
                  <c:v>Kazakhstan</c:v>
                </c:pt>
                <c:pt idx="12">
                  <c:v>Kyrgyz</c:v>
                </c:pt>
                <c:pt idx="13">
                  <c:v>Latvia</c:v>
                </c:pt>
                <c:pt idx="14">
                  <c:v>Lithuania</c:v>
                </c:pt>
                <c:pt idx="15">
                  <c:v>Macedonia</c:v>
                </c:pt>
                <c:pt idx="16">
                  <c:v>Moldova</c:v>
                </c:pt>
                <c:pt idx="17">
                  <c:v>Montenegro</c:v>
                </c:pt>
                <c:pt idx="18">
                  <c:v>Poland</c:v>
                </c:pt>
                <c:pt idx="19">
                  <c:v>Romania</c:v>
                </c:pt>
                <c:pt idx="20">
                  <c:v>Russia</c:v>
                </c:pt>
                <c:pt idx="21">
                  <c:v>Serbia</c:v>
                </c:pt>
                <c:pt idx="22">
                  <c:v>Slovakia</c:v>
                </c:pt>
                <c:pt idx="23">
                  <c:v>Slovenia</c:v>
                </c:pt>
                <c:pt idx="24">
                  <c:v>Tajikistan</c:v>
                </c:pt>
                <c:pt idx="25">
                  <c:v>Turkey</c:v>
                </c:pt>
                <c:pt idx="26">
                  <c:v>Ukraine</c:v>
                </c:pt>
              </c:strCache>
            </c:strRef>
          </c:cat>
          <c:val>
            <c:numRef>
              <c:f>Sheet2!$B$5:$B$31</c:f>
              <c:numCache>
                <c:formatCode>General</c:formatCode>
                <c:ptCount val="27"/>
                <c:pt idx="0">
                  <c:v>12</c:v>
                </c:pt>
                <c:pt idx="1">
                  <c:v>33</c:v>
                </c:pt>
                <c:pt idx="2">
                  <c:v>72</c:v>
                </c:pt>
                <c:pt idx="3">
                  <c:v>39</c:v>
                </c:pt>
                <c:pt idx="4">
                  <c:v>35</c:v>
                </c:pt>
                <c:pt idx="5">
                  <c:v>30</c:v>
                </c:pt>
                <c:pt idx="6">
                  <c:v>23</c:v>
                </c:pt>
                <c:pt idx="7">
                  <c:v>58</c:v>
                </c:pt>
                <c:pt idx="8">
                  <c:v>33</c:v>
                </c:pt>
                <c:pt idx="9">
                  <c:v>27</c:v>
                </c:pt>
                <c:pt idx="10">
                  <c:v>32</c:v>
                </c:pt>
                <c:pt idx="11">
                  <c:v>51</c:v>
                </c:pt>
                <c:pt idx="12">
                  <c:v>33</c:v>
                </c:pt>
                <c:pt idx="13">
                  <c:v>59</c:v>
                </c:pt>
                <c:pt idx="14">
                  <c:v>56</c:v>
                </c:pt>
                <c:pt idx="15">
                  <c:v>20</c:v>
                </c:pt>
                <c:pt idx="16">
                  <c:v>41</c:v>
                </c:pt>
                <c:pt idx="17">
                  <c:v>25</c:v>
                </c:pt>
                <c:pt idx="18">
                  <c:v>39</c:v>
                </c:pt>
                <c:pt idx="19">
                  <c:v>31</c:v>
                </c:pt>
                <c:pt idx="20">
                  <c:v>82</c:v>
                </c:pt>
                <c:pt idx="21">
                  <c:v>32</c:v>
                </c:pt>
                <c:pt idx="22">
                  <c:v>37</c:v>
                </c:pt>
                <c:pt idx="23">
                  <c:v>52</c:v>
                </c:pt>
                <c:pt idx="24">
                  <c:v>23</c:v>
                </c:pt>
                <c:pt idx="25">
                  <c:v>13</c:v>
                </c:pt>
                <c:pt idx="26">
                  <c:v>55</c:v>
                </c:pt>
              </c:numCache>
            </c:numRef>
          </c:val>
        </c:ser>
        <c:dLbls>
          <c:dLblPos val="outEnd"/>
          <c:showLegendKey val="0"/>
          <c:showVal val="1"/>
          <c:showCatName val="0"/>
          <c:showSerName val="0"/>
          <c:showPercent val="0"/>
          <c:showBubbleSize val="0"/>
        </c:dLbls>
        <c:gapWidth val="444"/>
        <c:overlap val="-90"/>
        <c:axId val="510119168"/>
        <c:axId val="510119560"/>
      </c:barChart>
      <c:catAx>
        <c:axId val="510119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0119560"/>
        <c:crosses val="autoZero"/>
        <c:auto val="1"/>
        <c:lblAlgn val="ctr"/>
        <c:lblOffset val="100"/>
        <c:noMultiLvlLbl val="0"/>
      </c:catAx>
      <c:valAx>
        <c:axId val="510119560"/>
        <c:scaling>
          <c:orientation val="minMax"/>
        </c:scaling>
        <c:delete val="1"/>
        <c:axPos val="l"/>
        <c:numFmt formatCode="General" sourceLinked="1"/>
        <c:majorTickMark val="none"/>
        <c:minorTickMark val="none"/>
        <c:tickLblPos val="nextTo"/>
        <c:crossAx val="5101191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Tobacco smoking (%, 2011)</a:t>
            </a:r>
          </a:p>
        </c:rich>
      </c:tx>
      <c:layout>
        <c:manualLayout>
          <c:xMode val="edge"/>
          <c:yMode val="edge"/>
          <c:x val="0.16529469530594401"/>
          <c:y val="1.066666666666669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Sheet1!$A$12</c:f>
              <c:strCache>
                <c:ptCount val="1"/>
                <c:pt idx="0">
                  <c:v>Tobacco smoking (%, 2011)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Sheet1!$B$11:$C$11</c:f>
              <c:strCache>
                <c:ptCount val="2"/>
                <c:pt idx="0">
                  <c:v>Men</c:v>
                </c:pt>
                <c:pt idx="1">
                  <c:v>Women</c:v>
                </c:pt>
              </c:strCache>
            </c:strRef>
          </c:cat>
          <c:val>
            <c:numRef>
              <c:f>Sheet1!$B$12:$C$12</c:f>
              <c:numCache>
                <c:formatCode>General</c:formatCode>
                <c:ptCount val="2"/>
                <c:pt idx="0">
                  <c:v>43</c:v>
                </c:pt>
                <c:pt idx="1">
                  <c:v>5</c:v>
                </c:pt>
              </c:numCache>
            </c:numRef>
          </c:val>
        </c:ser>
        <c:dLbls>
          <c:dLblPos val="outEnd"/>
          <c:showLegendKey val="0"/>
          <c:showVal val="1"/>
          <c:showCatName val="0"/>
          <c:showSerName val="0"/>
          <c:showPercent val="0"/>
          <c:showBubbleSize val="0"/>
        </c:dLbls>
        <c:gapWidth val="444"/>
        <c:overlap val="-90"/>
        <c:axId val="704254376"/>
        <c:axId val="704254768"/>
      </c:barChart>
      <c:catAx>
        <c:axId val="704254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04254768"/>
        <c:crosses val="autoZero"/>
        <c:auto val="1"/>
        <c:lblAlgn val="ctr"/>
        <c:lblOffset val="100"/>
        <c:noMultiLvlLbl val="0"/>
      </c:catAx>
      <c:valAx>
        <c:axId val="704254768"/>
        <c:scaling>
          <c:orientation val="minMax"/>
        </c:scaling>
        <c:delete val="1"/>
        <c:axPos val="l"/>
        <c:numFmt formatCode="General" sourceLinked="1"/>
        <c:majorTickMark val="none"/>
        <c:minorTickMark val="none"/>
        <c:tickLblPos val="nextTo"/>
        <c:crossAx val="7042543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Alcohol consumption (l per capita)</a:t>
            </a:r>
          </a:p>
        </c:rich>
      </c:tx>
      <c:layout>
        <c:manualLayout>
          <c:xMode val="edge"/>
          <c:yMode val="edge"/>
          <c:x val="0.12082772765987"/>
          <c:y val="1.593625498007969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Sheet1!$A$7</c:f>
              <c:strCache>
                <c:ptCount val="1"/>
                <c:pt idx="0">
                  <c:v>Alcohol consumption (l per capita)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Sheet1!$B$6:$C$6</c:f>
              <c:strCache>
                <c:ptCount val="2"/>
                <c:pt idx="0">
                  <c:v>Men</c:v>
                </c:pt>
                <c:pt idx="1">
                  <c:v>Women</c:v>
                </c:pt>
              </c:strCache>
            </c:strRef>
          </c:cat>
          <c:val>
            <c:numRef>
              <c:f>Sheet1!$B$7:$C$7</c:f>
              <c:numCache>
                <c:formatCode>General</c:formatCode>
                <c:ptCount val="2"/>
                <c:pt idx="0">
                  <c:v>25.9</c:v>
                </c:pt>
                <c:pt idx="1">
                  <c:v>8.9</c:v>
                </c:pt>
              </c:numCache>
            </c:numRef>
          </c:val>
        </c:ser>
        <c:dLbls>
          <c:dLblPos val="outEnd"/>
          <c:showLegendKey val="0"/>
          <c:showVal val="1"/>
          <c:showCatName val="0"/>
          <c:showSerName val="0"/>
          <c:showPercent val="0"/>
          <c:showBubbleSize val="0"/>
        </c:dLbls>
        <c:gapWidth val="444"/>
        <c:overlap val="-90"/>
        <c:axId val="704255552"/>
        <c:axId val="678134560"/>
      </c:barChart>
      <c:catAx>
        <c:axId val="704255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78134560"/>
        <c:crosses val="autoZero"/>
        <c:auto val="1"/>
        <c:lblAlgn val="ctr"/>
        <c:lblOffset val="100"/>
        <c:noMultiLvlLbl val="0"/>
      </c:catAx>
      <c:valAx>
        <c:axId val="678134560"/>
        <c:scaling>
          <c:orientation val="minMax"/>
        </c:scaling>
        <c:delete val="1"/>
        <c:axPos val="l"/>
        <c:numFmt formatCode="General" sourceLinked="1"/>
        <c:majorTickMark val="none"/>
        <c:minorTickMark val="none"/>
        <c:tickLblPos val="nextTo"/>
        <c:crossAx val="7042555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0.58021</cdr:x>
      <cdr:y>0.30729</cdr:y>
    </cdr:from>
    <cdr:to>
      <cdr:x>0.62604</cdr:x>
      <cdr:y>0.91146</cdr:y>
    </cdr:to>
    <cdr:sp macro="" textlink="">
      <cdr:nvSpPr>
        <cdr:cNvPr id="2" name="Oval 1"/>
        <cdr:cNvSpPr/>
      </cdr:nvSpPr>
      <cdr:spPr>
        <a:xfrm xmlns:a="http://schemas.openxmlformats.org/drawingml/2006/main">
          <a:off x="2652714" y="842963"/>
          <a:ext cx="209550" cy="165735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D5D9-836F-4111-A57B-E0489F6E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10291</Words>
  <Characters>58660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 Georgieva</dc:creator>
  <cp:keywords/>
  <dc:description/>
  <cp:lastModifiedBy>Sophia V. Georgieva</cp:lastModifiedBy>
  <cp:revision>6</cp:revision>
  <cp:lastPrinted>2017-01-25T20:14:00Z</cp:lastPrinted>
  <dcterms:created xsi:type="dcterms:W3CDTF">2017-04-11T07:40:00Z</dcterms:created>
  <dcterms:modified xsi:type="dcterms:W3CDTF">2017-04-27T07:43:00Z</dcterms:modified>
</cp:coreProperties>
</file>